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1A6C" w14:textId="365FA859" w:rsidR="009246AD" w:rsidRPr="00CB6923" w:rsidRDefault="00090990" w:rsidP="00AB34C5">
      <w:pPr>
        <w:pStyle w:val="BATitle"/>
        <w:jc w:val="left"/>
      </w:pPr>
      <w:r w:rsidRPr="00CB6923">
        <w:t>N</w:t>
      </w:r>
      <w:r w:rsidR="00A6494C" w:rsidRPr="00CB6923">
        <w:t>ew magnetic resonance and computational methods to study crossover reactions in Li-air and redox-flow batteries using TEMPO</w:t>
      </w:r>
    </w:p>
    <w:p w14:paraId="1C168797" w14:textId="30B9C36C" w:rsidR="009246AD" w:rsidRPr="00CB6923" w:rsidRDefault="00CB09CB" w:rsidP="00AB34C5">
      <w:pPr>
        <w:pStyle w:val="BBAuthorName"/>
        <w:jc w:val="left"/>
      </w:pPr>
      <w:r w:rsidRPr="00CB6923">
        <w:t>Evelyna Wang, Evan Wenbo Zhao</w:t>
      </w:r>
      <w:r w:rsidR="00130063" w:rsidRPr="00CB6923">
        <w:rPr>
          <w:vertAlign w:val="superscript"/>
        </w:rPr>
        <w:t>#</w:t>
      </w:r>
      <w:r w:rsidRPr="00CB6923">
        <w:t>, Clare P. Grey*</w:t>
      </w:r>
      <w:r w:rsidR="009246AD" w:rsidRPr="00CB6923">
        <w:t xml:space="preserve"> </w:t>
      </w:r>
    </w:p>
    <w:p w14:paraId="19E6357B" w14:textId="77777777" w:rsidR="001A5392" w:rsidRPr="00CB6923" w:rsidRDefault="009246AD" w:rsidP="00AB34C5">
      <w:pPr>
        <w:pStyle w:val="BCAuthorAddress"/>
        <w:jc w:val="left"/>
        <w:rPr>
          <w:b/>
        </w:rPr>
      </w:pPr>
      <w:r w:rsidRPr="00CB6923">
        <w:t>AUTHOR ADDRESS</w:t>
      </w:r>
      <w:r w:rsidRPr="00CB6923">
        <w:rPr>
          <w:b/>
        </w:rPr>
        <w:t xml:space="preserve"> </w:t>
      </w:r>
    </w:p>
    <w:p w14:paraId="275C6421" w14:textId="618ACB17" w:rsidR="009246AD" w:rsidRPr="00CB6923" w:rsidRDefault="001A5392" w:rsidP="00AB34C5">
      <w:pPr>
        <w:pStyle w:val="BCAuthorAddress"/>
        <w:jc w:val="left"/>
      </w:pPr>
      <w:r w:rsidRPr="00CB6923">
        <w:t>Department of Chemistry, University of Cambridge, Lensfield Road, Cambridge CB2 1EW, UK</w:t>
      </w:r>
    </w:p>
    <w:p w14:paraId="26D3EBC1" w14:textId="2B00DC66" w:rsidR="007B254B" w:rsidRPr="00CB6923" w:rsidRDefault="00AB34C5" w:rsidP="00683131">
      <w:pPr>
        <w:pStyle w:val="FACorrespondingAuthorFootnote"/>
        <w:spacing w:after="0"/>
        <w:jc w:val="left"/>
      </w:pPr>
      <w:r w:rsidRPr="00CB6923">
        <w:t xml:space="preserve">KEYWORDS </w:t>
      </w:r>
    </w:p>
    <w:p w14:paraId="1E7A0947" w14:textId="2DFBF256" w:rsidR="00683131" w:rsidRPr="00CB6923" w:rsidRDefault="006F0079" w:rsidP="00683131">
      <w:pPr>
        <w:pStyle w:val="FACorrespondingAuthorFootnote"/>
        <w:spacing w:after="0"/>
        <w:jc w:val="left"/>
      </w:pPr>
      <w:r w:rsidRPr="00CB6923">
        <w:t xml:space="preserve">Lithium-air batteries, Redox-flow batteries, </w:t>
      </w:r>
      <w:r w:rsidR="00566746" w:rsidRPr="00CB6923">
        <w:t>R</w:t>
      </w:r>
      <w:r w:rsidRPr="00CB6923">
        <w:t xml:space="preserve">edox molecules, </w:t>
      </w:r>
      <w:r w:rsidR="00566746" w:rsidRPr="00CB6923">
        <w:t>R</w:t>
      </w:r>
      <w:r w:rsidRPr="00CB6923">
        <w:t>edox mediators</w:t>
      </w:r>
    </w:p>
    <w:p w14:paraId="4AC2A09D" w14:textId="77777777" w:rsidR="000C05CC" w:rsidRPr="00CB6923" w:rsidRDefault="000C05CC" w:rsidP="00324128">
      <w:pPr>
        <w:pStyle w:val="FACorrespondingAuthorFootnote"/>
        <w:spacing w:after="240"/>
        <w:jc w:val="left"/>
      </w:pPr>
    </w:p>
    <w:p w14:paraId="2AE65C57" w14:textId="77777777" w:rsidR="00A8195F" w:rsidRPr="00CB6923" w:rsidRDefault="00A8195F">
      <w:pPr>
        <w:spacing w:after="0"/>
        <w:jc w:val="left"/>
      </w:pPr>
      <w:r w:rsidRPr="00CB6923">
        <w:br w:type="page"/>
      </w:r>
    </w:p>
    <w:p w14:paraId="1C765312" w14:textId="1155FD62" w:rsidR="00E523D6" w:rsidRPr="00CB6923" w:rsidRDefault="00AB34C5" w:rsidP="00683131">
      <w:pPr>
        <w:pStyle w:val="BDAbstract"/>
      </w:pPr>
      <w:r w:rsidRPr="00CB6923">
        <w:lastRenderedPageBreak/>
        <w:t xml:space="preserve">ABSTRACT </w:t>
      </w:r>
    </w:p>
    <w:p w14:paraId="226F2DB6" w14:textId="0D19A16D" w:rsidR="00AB34C5" w:rsidRPr="00CB6923" w:rsidRDefault="00E86BD2" w:rsidP="000702AD">
      <w:pPr>
        <w:pStyle w:val="BGKeywords"/>
      </w:pPr>
      <w:r w:rsidRPr="00CB6923">
        <w:t>Redox-active molecules or ions are important in a variety of electrochemical energy storage systems. In lithium-air batteries (LABs), redox active mediators are added as soluble catalysts that mitigate (dis)charge overpotentials as well as promot</w:t>
      </w:r>
      <w:r w:rsidR="0078488F" w:rsidRPr="00CB6923">
        <w:t>e</w:t>
      </w:r>
      <w:r w:rsidRPr="00CB6923">
        <w:t xml:space="preserve"> solution-phase reactions that improve the capacity and cycle life of a cell. Redox flow batteries (RFBs) are dependent on the dissolved species to carry and store charge. In both of these systems, crossover </w:t>
      </w:r>
      <w:r w:rsidR="009D7568" w:rsidRPr="00CB6923">
        <w:t>phenomena</w:t>
      </w:r>
      <w:r w:rsidRPr="00CB6923">
        <w:t>, whereby the redox</w:t>
      </w:r>
      <w:r w:rsidR="00D72283" w:rsidRPr="00CB6923">
        <w:t>-</w:t>
      </w:r>
      <w:r w:rsidRPr="00CB6923">
        <w:t>active species in solution diffuse from one side of the cell to the other</w:t>
      </w:r>
      <w:r w:rsidR="009D7568" w:rsidRPr="00CB6923">
        <w:t>, result in capacity loss</w:t>
      </w:r>
      <w:r w:rsidRPr="00CB6923">
        <w:t>.</w:t>
      </w:r>
      <w:r w:rsidR="00941AF3" w:rsidRPr="00CB6923">
        <w:t xml:space="preserve"> </w:t>
      </w:r>
      <w:r w:rsidRPr="00CB6923">
        <w:t>Here, w</w:t>
      </w:r>
      <w:r w:rsidR="00F96CDE" w:rsidRPr="00CB6923">
        <w:t>e</w:t>
      </w:r>
      <w:r w:rsidR="00AB0DA1" w:rsidRPr="00CB6923">
        <w:t xml:space="preserve"> </w:t>
      </w:r>
      <w:r w:rsidRPr="00CB6923">
        <w:t xml:space="preserve">report a technique to monitor crossover reactions in lithium-air batteries and redox-flow batteries, exploiting methodology previously developed to monitor radical formation in redox flow batteries. In this technique, radical concentrations are directly quantified operando </w:t>
      </w:r>
      <w:r w:rsidR="009D7568" w:rsidRPr="00CB6923">
        <w:t xml:space="preserve">by </w:t>
      </w:r>
      <w:r w:rsidR="004744B7" w:rsidRPr="00CB6923">
        <w:t>flowing</w:t>
      </w:r>
      <w:r w:rsidRPr="00CB6923">
        <w:t xml:space="preserve"> an electrolyte solution containing </w:t>
      </w:r>
      <w:bookmarkStart w:id="0" w:name="_Hlk80223066"/>
      <w:r w:rsidRPr="00CB6923">
        <w:t xml:space="preserve">2,2,6,6-tetramethylpiperidinyloxyl </w:t>
      </w:r>
      <w:bookmarkEnd w:id="0"/>
      <w:r w:rsidRPr="00CB6923">
        <w:t>(TEMPO)</w:t>
      </w:r>
      <w:r w:rsidR="004744B7" w:rsidRPr="00CB6923">
        <w:t xml:space="preserve"> </w:t>
      </w:r>
      <w:r w:rsidRPr="00CB6923">
        <w:t xml:space="preserve">through nuclear magnetic resonance (NMR) and electron paramagnetic resonance (EPR) spectrometers. We apply this to Li-TEMPO flow batteries and find </w:t>
      </w:r>
      <w:r w:rsidR="00EC28DC" w:rsidRPr="00CB6923">
        <w:t>the coulombic efficiency is only 50%</w:t>
      </w:r>
      <w:r w:rsidR="005D312F" w:rsidRPr="00CB6923">
        <w:t>;</w:t>
      </w:r>
      <w:r w:rsidR="008D7AE6" w:rsidRPr="00CB6923">
        <w:t xml:space="preserve"> </w:t>
      </w:r>
      <w:r w:rsidR="00EC28DC" w:rsidRPr="00CB6923">
        <w:t xml:space="preserve">50% of the oxidized </w:t>
      </w:r>
      <w:r w:rsidRPr="00CB6923">
        <w:t>TEMPO radical</w:t>
      </w:r>
      <w:r w:rsidR="00EC28DC" w:rsidRPr="00CB6923">
        <w:t xml:space="preserve">, </w:t>
      </w:r>
      <w:r w:rsidRPr="00CB6923">
        <w:t>TEMPO</w:t>
      </w:r>
      <w:r w:rsidRPr="00CB6923">
        <w:rPr>
          <w:vertAlign w:val="superscript"/>
        </w:rPr>
        <w:t>+</w:t>
      </w:r>
      <w:r w:rsidR="00EC28DC" w:rsidRPr="00CB6923">
        <w:t>, f</w:t>
      </w:r>
      <w:r w:rsidRPr="00CB6923">
        <w:t>ormed at the cathode</w:t>
      </w:r>
      <w:r w:rsidR="005D312F" w:rsidRPr="00CB6923">
        <w:t>,</w:t>
      </w:r>
      <w:r w:rsidRPr="00CB6923">
        <w:t xml:space="preserve"> </w:t>
      </w:r>
      <w:r w:rsidR="005D312F" w:rsidRPr="00CB6923">
        <w:t xml:space="preserve">crosses </w:t>
      </w:r>
      <w:r w:rsidRPr="00CB6923">
        <w:t xml:space="preserve">over to the anode </w:t>
      </w:r>
      <w:r w:rsidR="00F2044D" w:rsidRPr="00CB6923">
        <w:t>where it is</w:t>
      </w:r>
      <w:r w:rsidR="00EC28DC" w:rsidRPr="00CB6923">
        <w:t xml:space="preserve"> </w:t>
      </w:r>
      <w:r w:rsidRPr="00CB6923">
        <w:t>reduced, regenerating TEMPO.</w:t>
      </w:r>
      <w:r w:rsidR="00941AF3" w:rsidRPr="00CB6923">
        <w:t xml:space="preserve"> </w:t>
      </w:r>
      <w:r w:rsidR="00B84830" w:rsidRPr="00CB6923">
        <w:t xml:space="preserve">Numerical modelling simulations of static systems cannot capture the extent of redox shuttling seen experimentally unless extremely </w:t>
      </w:r>
      <w:r w:rsidR="00C60AF7" w:rsidRPr="00CB6923">
        <w:t>fast diffusion</w:t>
      </w:r>
      <w:r w:rsidR="00B84830" w:rsidRPr="00CB6923">
        <w:t xml:space="preserve"> </w:t>
      </w:r>
      <w:r w:rsidR="005D312F" w:rsidRPr="00CB6923">
        <w:t>of TEMPO and TEMPO</w:t>
      </w:r>
      <w:r w:rsidR="005D312F" w:rsidRPr="00CB6923">
        <w:rPr>
          <w:vertAlign w:val="superscript"/>
        </w:rPr>
        <w:t>+</w:t>
      </w:r>
      <w:r w:rsidR="005D312F" w:rsidRPr="00CB6923">
        <w:t xml:space="preserve"> </w:t>
      </w:r>
      <w:r w:rsidR="00B84830" w:rsidRPr="00CB6923">
        <w:t>is assumed</w:t>
      </w:r>
      <w:r w:rsidR="00C60AF7" w:rsidRPr="00CB6923">
        <w:t xml:space="preserve"> in 1D models or </w:t>
      </w:r>
      <w:r w:rsidR="00076C38" w:rsidRPr="00CB6923">
        <w:t>convection</w:t>
      </w:r>
      <w:r w:rsidR="00C60AF7" w:rsidRPr="00CB6923">
        <w:t xml:space="preserve"> is included in 2D models</w:t>
      </w:r>
      <w:r w:rsidR="000707F7" w:rsidRPr="00CB6923">
        <w:t xml:space="preserve">, confirming that </w:t>
      </w:r>
      <w:r w:rsidR="00B84830" w:rsidRPr="00CB6923">
        <w:t xml:space="preserve">redox shuttling is enhanced significantly by flow. </w:t>
      </w:r>
      <w:r w:rsidRPr="00CB6923">
        <w:t>Finally, we tested Nafion membranes in both flow cells and static LABs and found that the membrane limited crossover of TEMPO and TEMPO</w:t>
      </w:r>
      <w:r w:rsidRPr="00CB6923">
        <w:rPr>
          <w:vertAlign w:val="superscript"/>
        </w:rPr>
        <w:t>+</w:t>
      </w:r>
      <w:r w:rsidRPr="00CB6923">
        <w:t xml:space="preserve"> by factors of ~15x and ~7x respectively.</w:t>
      </w:r>
    </w:p>
    <w:p w14:paraId="2B6CCEDA" w14:textId="77777777" w:rsidR="00A8195F" w:rsidRPr="00CB6923" w:rsidRDefault="00A8195F">
      <w:pPr>
        <w:spacing w:after="0"/>
        <w:jc w:val="left"/>
      </w:pPr>
      <w:r w:rsidRPr="00CB6923">
        <w:br w:type="page"/>
      </w:r>
    </w:p>
    <w:p w14:paraId="71F0636F" w14:textId="627130DF" w:rsidR="004668C5" w:rsidRPr="00CB6923" w:rsidRDefault="004668C5" w:rsidP="004668C5">
      <w:pPr>
        <w:pStyle w:val="TAMainText"/>
        <w:spacing w:after="240"/>
        <w:ind w:firstLine="0"/>
        <w:jc w:val="left"/>
      </w:pPr>
      <w:r w:rsidRPr="00CB6923">
        <w:lastRenderedPageBreak/>
        <w:t>INTRODUCTION</w:t>
      </w:r>
    </w:p>
    <w:p w14:paraId="377715CF" w14:textId="339277C8" w:rsidR="00416C39" w:rsidRPr="00CB6923" w:rsidRDefault="004668C5" w:rsidP="004668C5">
      <w:pPr>
        <w:pStyle w:val="TAMainText"/>
        <w:spacing w:after="240"/>
        <w:ind w:firstLine="0"/>
        <w:jc w:val="left"/>
      </w:pPr>
      <w:r w:rsidRPr="00CB6923">
        <w:tab/>
        <w:t>Next</w:t>
      </w:r>
      <w:r w:rsidR="00B52267" w:rsidRPr="00CB6923">
        <w:t>-</w:t>
      </w:r>
      <w:r w:rsidRPr="00CB6923">
        <w:t>generation battery chemistries are an extremely active area of research, the work being motivated by growing demand for high performance energy storage devices, which are cheaper, use more sustainable materials, have higher energy densities, and can be scaled to sizes relevant for grid scale storage.</w:t>
      </w:r>
      <w:r w:rsidRPr="00CB6923">
        <w:rPr>
          <w:rFonts w:ascii="Times New Roman" w:hAnsi="Times New Roman"/>
          <w:szCs w:val="24"/>
        </w:rPr>
        <w:fldChar w:fldCharType="begin" w:fldLock="1"/>
      </w:r>
      <w:r w:rsidRPr="00CB6923">
        <w:rPr>
          <w:rFonts w:ascii="Times New Roman" w:hAnsi="Times New Roman"/>
          <w:szCs w:val="24"/>
        </w:rPr>
        <w:instrText>ADDIN CSL_CITATION {"citationItems":[{"id":"ITEM-1","itemData":{"author":[{"dropping-particle":"","family":"Li","given":"Yanguang","non-dropping-particle":"","parse-names":false,"suffix":""},{"dropping-particle":"","family":"Lu","given":"Jun","non-dropping-particle":"","parse-names":false,"suffix":""}],"container-title":"ACS Energy Letters","id":"ITEM-1","issue":"6","issued":{"date-parts":[["2017"]]},"page":"1370-1377","title":"Metal-Air Batteries: Will They Be the Future Electrochemical Energy Storage Device of Choice?","type":"article-journal","volume":"2"},"uris":["http://www.mendeley.com/documents/?uuid=1aa86ea5-def9-4b48-af6e-39e683d1617f"]},{"id":"ITEM-2","itemData":{"DOI":"10.1021/acs.chemrev.9b00545","ISSN":"15206890","PMID":"32090540","abstract":"Nonaqueous lithium-air batteries have garnered considerable research interest over the past decade due to their extremely high theoretical energy densities and potentially low cost. Significant advances have been achieved both in the mechanistic understanding of the cell reactions and in the development of effective strategies to help realize a practical energy storage device. By drawing attention to reports published mainly within the past 8 years, this review provides an updated mechanistic picture of the lithium peroxide based cell reactions and highlights key remaining challenges, including those due to the parasitic processes occurring at the reaction product-electrolyte, product-cathode, electrolyte-cathode, and electrolyte-anode interfaces. We introduce the fundamental principles and critically evaluate the effectiveness of the different strategies that have been proposed to mitigate the various issues of this chemistry, which include the use of solid catalysts, redox mediators, solvating additives for oxygen reaction intermediates, gas separation membranes, etc. Recently established cell chemistries based on the superoxide, hydroxide, and oxide phases are also summarized and discussed.","author":[{"dropping-particle":"","family":"Liu","given":"Tao","non-dropping-particle":"","parse-names":false,"suffix":""},{"dropping-particle":"","family":"Vivek","given":"J. Padmanabhan","non-dropping-particle":"","parse-names":false,"suffix":""},{"dropping-particle":"","family":"Zhao","given":"Evan Wenbo","non-dropping-particle":"","parse-names":false,"suffix":""},{"dropping-particle":"","family":"Lei","given":"Jiang","non-dropping-particle":"","parse-names":false,"suffix":""},{"dropping-particle":"","family":"Garcia-Araez","given":"Nuria","non-dropping-particle":"","parse-names":false,"suffix":""},{"dropping-particle":"","family":"Grey","given":"Clare P.","non-dropping-particle":"","parse-names":false,"suffix":""}],"container-title":"Chemical Reviews","id":"ITEM-2","issue":"14","issued":{"date-parts":[["2020"]]},"page":"6558-6625","title":"Current Challenges and Routes Forward for Nonaqueous Lithium-Air Batteries","type":"article-journal","volume":"120"},"uris":["http://www.mendeley.com/documents/?uuid=f6b3b854-8f24-497f-8002-7d503d60824e"]},{"id":"ITEM-3","itemData":{"author":[{"dropping-particle":"","family":"Aurbach","given":"D.","non-dropping-particle":"","parse-names":false,"suffix":""},{"dropping-particle":"","family":"McCloskey","given":"B.D.","non-dropping-particle":"","parse-names":false,"suffix":""},{"dropping-particle":"","family":"Nazar","given":"L.F.","non-dropping-particle":"","parse-names":false,"suffix":""},{"dropping-particle":"","family":"Bruce","given":"P.G.","non-dropping-particle":"","parse-names":false,"suffix":""}],"container-title":"Nature Energy","id":"ITEM-3","issued":{"date-parts":[["2016"]]},"page":"16128","title":"Advances in Understanding Mechanisms Underpinning Lithium-air Batteries","type":"article-journal","volume":"1"},"uris":["http://www.mendeley.com/documents/?uuid=098b2989-9064-45a0-b550-382aa03e542b"]}],"mendeley":{"formattedCitation":"&lt;sup&gt;1–3&lt;/sup&gt;","plainTextFormattedCitation":"1–3","previouslyFormattedCitation":"&lt;sup&gt;1–3&lt;/sup&gt;"},"properties":{"noteIndex":0},"schema":"https://github.com/citation-style-language/schema/raw/master/csl-citation.json"}</w:instrText>
      </w:r>
      <w:r w:rsidRPr="00CB6923">
        <w:rPr>
          <w:rFonts w:ascii="Times New Roman" w:hAnsi="Times New Roman"/>
          <w:szCs w:val="24"/>
        </w:rPr>
        <w:fldChar w:fldCharType="separate"/>
      </w:r>
      <w:r w:rsidRPr="00CB6923">
        <w:rPr>
          <w:rFonts w:ascii="Times New Roman" w:hAnsi="Times New Roman"/>
          <w:noProof/>
          <w:szCs w:val="24"/>
          <w:vertAlign w:val="superscript"/>
        </w:rPr>
        <w:t>1–3</w:t>
      </w:r>
      <w:r w:rsidRPr="00CB6923">
        <w:rPr>
          <w:rFonts w:ascii="Times New Roman" w:hAnsi="Times New Roman"/>
          <w:szCs w:val="24"/>
        </w:rPr>
        <w:fldChar w:fldCharType="end"/>
      </w:r>
      <w:r w:rsidR="00683131" w:rsidRPr="00CB6923">
        <w:t xml:space="preserve"> </w:t>
      </w:r>
      <w:r w:rsidRPr="00CB6923">
        <w:t>Each of these technologies comes with its own challenges, which need to be overcome to realize a practical device.</w:t>
      </w:r>
      <w:r w:rsidR="00941AF3" w:rsidRPr="00CB6923">
        <w:t xml:space="preserve"> </w:t>
      </w:r>
      <w:r w:rsidR="008D1A82" w:rsidRPr="00CB6923">
        <w:t>In this work,</w:t>
      </w:r>
      <w:r w:rsidRPr="00CB6923">
        <w:t xml:space="preserve"> we develop a new in situ metrology to explore crossover effects and redox shuttles</w:t>
      </w:r>
      <w:r w:rsidR="00263D5E" w:rsidRPr="00CB6923">
        <w:t xml:space="preserve">, challenges </w:t>
      </w:r>
      <w:r w:rsidR="00AB039F" w:rsidRPr="00CB6923">
        <w:t>relevant</w:t>
      </w:r>
      <w:r w:rsidR="00CC4630" w:rsidRPr="00CB6923">
        <w:t xml:space="preserve"> to</w:t>
      </w:r>
      <w:r w:rsidRPr="00CB6923">
        <w:t xml:space="preserve"> two next</w:t>
      </w:r>
      <w:r w:rsidR="00B52267" w:rsidRPr="00CB6923">
        <w:t>-</w:t>
      </w:r>
      <w:r w:rsidRPr="00CB6923">
        <w:t xml:space="preserve">generation technologies, </w:t>
      </w:r>
      <w:r w:rsidR="00EC28DC" w:rsidRPr="00CB6923">
        <w:t>lithium</w:t>
      </w:r>
      <w:r w:rsidRPr="00CB6923">
        <w:t>-air batteries and non-aqueous redox flow batteries</w:t>
      </w:r>
      <w:r w:rsidR="00B77B40" w:rsidRPr="00CB6923">
        <w:t>.</w:t>
      </w:r>
    </w:p>
    <w:p w14:paraId="1E395CB6" w14:textId="3B6D5141" w:rsidR="00AB34C5" w:rsidRPr="00CB6923" w:rsidRDefault="00416C39" w:rsidP="00416C39">
      <w:pPr>
        <w:pStyle w:val="TAMainText"/>
        <w:spacing w:after="240"/>
        <w:ind w:firstLine="720"/>
        <w:jc w:val="left"/>
        <w:rPr>
          <w:rFonts w:ascii="Times New Roman" w:hAnsi="Times New Roman"/>
          <w:szCs w:val="24"/>
        </w:rPr>
      </w:pPr>
      <w:r w:rsidRPr="00CB6923">
        <w:t>The lithium-air battery (LAB) is the only battery system that promises energy densities comparable to fossil fuels, yet there are many challenges</w:t>
      </w:r>
      <w:r w:rsidR="000B0154" w:rsidRPr="00CB6923">
        <w:t xml:space="preserve"> </w:t>
      </w:r>
      <w:r w:rsidRPr="00CB6923">
        <w:t>to be overcome.</w:t>
      </w:r>
      <w:r w:rsidR="00043665" w:rsidRPr="00CB6923">
        <w:rPr>
          <w:rFonts w:ascii="Times New Roman" w:hAnsi="Times New Roman"/>
          <w:szCs w:val="24"/>
        </w:rPr>
        <w:fldChar w:fldCharType="begin" w:fldLock="1"/>
      </w:r>
      <w:r w:rsidR="00043665" w:rsidRPr="00CB6923">
        <w:rPr>
          <w:rFonts w:ascii="Times New Roman" w:hAnsi="Times New Roman"/>
          <w:szCs w:val="24"/>
        </w:rPr>
        <w:instrText>ADDIN CSL_CITATION {"citationItems":[{"id":"ITEM-1","itemData":{"DOI":"10.1021/acs.chemrev.9b00545","ISSN":"15206890","PMID":"32090540","abstract":"Nonaqueous lithium-air batteries have garnered considerable research interest over the past decade due to their extremely high theoretical energy densities and potentially low cost. Significant advances have been achieved both in the mechanistic understanding of the cell reactions and in the development of effective strategies to help realize a practical energy storage device. By drawing attention to reports published mainly within the past 8 years, this review provides an updated mechanistic picture of the lithium peroxide based cell reactions and highlights key remaining challenges, including those due to the parasitic processes occurring at the reaction product-electrolyte, product-cathode, electrolyte-cathode, and electrolyte-anode interfaces. We introduce the fundamental principles and critically evaluate the effectiveness of the different strategies that have been proposed to mitigate the various issues of this chemistry, which include the use of solid catalysts, redox mediators, solvating additives for oxygen reaction intermediates, gas separation membranes, etc. Recently established cell chemistries based on the superoxide, hydroxide, and oxide phases are also summarized and discussed.","author":[{"dropping-particle":"","family":"Liu","given":"Tao","non-dropping-particle":"","parse-names":false,"suffix":""},{"dropping-particle":"","family":"Vivek","given":"J. Padmanabhan","non-dropping-particle":"","parse-names":false,"suffix":""},{"dropping-particle":"","family":"Zhao","given":"Evan Wenbo","non-dropping-particle":"","parse-names":false,"suffix":""},{"dropping-particle":"","family":"Lei","given":"Jiang","non-dropping-particle":"","parse-names":false,"suffix":""},{"dropping-particle":"","family":"Garcia-Araez","given":"Nuria","non-dropping-particle":"","parse-names":false,"suffix":""},{"dropping-particle":"","family":"Grey","given":"Clare P.","non-dropping-particle":"","parse-names":false,"suffix":""}],"container-title":"Chemical Reviews","id":"ITEM-1","issue":"14","issued":{"date-parts":[["2020"]]},"page":"6558-6625","title":"Current Challenges and Routes Forward for Nonaqueous Lithium-Air Batteries","type":"article-journal","volume":"120"},"uris":["http://www.mendeley.com/documents/?uuid=f6b3b854-8f24-497f-8002-7d503d60824e"]},{"id":"ITEM-2","itemData":{"author":[{"dropping-particle":"","family":"Aurbach","given":"D.","non-dropping-particle":"","parse-names":false,"suffix":""},{"dropping-particle":"","family":"McCloskey","given":"B.D.","non-dropping-particle":"","parse-names":false,"suffix":""},{"dropping-particle":"","family":"Nazar","given":"L.F.","non-dropping-particle":"","parse-names":false,"suffix":""},{"dropping-particle":"","family":"Bruce","given":"P.G.","non-dropping-particle":"","parse-names":false,"suffix":""}],"container-title":"Nature Energy","id":"ITEM-2","issued":{"date-parts":[["2016"]]},"page":"16128","title":"Advances in Understanding Mechanisms Underpinning Lithium-air Batteries","type":"article-journal","volume":"1"},"uris":["http://www.mendeley.com/documents/?uuid=098b2989-9064-45a0-b550-382aa03e542b"]}],"mendeley":{"formattedCitation":"&lt;sup&gt;2,3&lt;/sup&gt;","plainTextFormattedCitation":"2,3","previouslyFormattedCitation":"&lt;sup&gt;2,3&lt;/sup&gt;"},"properties":{"noteIndex":0},"schema":"https://github.com/citation-style-language/schema/raw/master/csl-citation.json"}</w:instrText>
      </w:r>
      <w:r w:rsidR="00043665" w:rsidRPr="00CB6923">
        <w:rPr>
          <w:rFonts w:ascii="Times New Roman" w:hAnsi="Times New Roman"/>
          <w:szCs w:val="24"/>
        </w:rPr>
        <w:fldChar w:fldCharType="separate"/>
      </w:r>
      <w:r w:rsidR="00043665" w:rsidRPr="00CB6923">
        <w:rPr>
          <w:rFonts w:ascii="Times New Roman" w:hAnsi="Times New Roman"/>
          <w:noProof/>
          <w:szCs w:val="24"/>
          <w:vertAlign w:val="superscript"/>
        </w:rPr>
        <w:t>2,3</w:t>
      </w:r>
      <w:r w:rsidR="00043665" w:rsidRPr="00CB6923">
        <w:rPr>
          <w:rFonts w:ascii="Times New Roman" w:hAnsi="Times New Roman"/>
          <w:szCs w:val="24"/>
        </w:rPr>
        <w:fldChar w:fldCharType="end"/>
      </w:r>
      <w:r w:rsidR="00043665" w:rsidRPr="00CB6923">
        <w:rPr>
          <w:rFonts w:ascii="Times New Roman" w:hAnsi="Times New Roman"/>
          <w:szCs w:val="24"/>
        </w:rPr>
        <w:t xml:space="preserve"> In a typical LAB during discharge, lithium metal is oxidized at the anode, forming Li</w:t>
      </w:r>
      <w:r w:rsidR="00043665" w:rsidRPr="00CB6923">
        <w:rPr>
          <w:rFonts w:ascii="Times New Roman" w:hAnsi="Times New Roman"/>
          <w:szCs w:val="24"/>
          <w:vertAlign w:val="superscript"/>
        </w:rPr>
        <w:t>+</w:t>
      </w:r>
      <w:r w:rsidR="00043665" w:rsidRPr="00CB6923">
        <w:rPr>
          <w:rFonts w:ascii="Times New Roman" w:hAnsi="Times New Roman"/>
          <w:szCs w:val="24"/>
        </w:rPr>
        <w:t xml:space="preserve"> ions that diffuse to the porous cathode and react with </w:t>
      </w:r>
      <w:r w:rsidR="00F1423F" w:rsidRPr="00CB6923">
        <w:rPr>
          <w:rFonts w:ascii="Times New Roman" w:hAnsi="Times New Roman"/>
          <w:szCs w:val="24"/>
        </w:rPr>
        <w:t>oxygen</w:t>
      </w:r>
      <w:r w:rsidR="00043665" w:rsidRPr="00CB6923">
        <w:rPr>
          <w:rFonts w:ascii="Times New Roman" w:hAnsi="Times New Roman"/>
          <w:szCs w:val="24"/>
        </w:rPr>
        <w:t xml:space="preserve"> gas, where the </w:t>
      </w:r>
      <w:r w:rsidR="00F1423F" w:rsidRPr="00CB6923">
        <w:rPr>
          <w:rFonts w:ascii="Times New Roman" w:hAnsi="Times New Roman"/>
          <w:szCs w:val="24"/>
        </w:rPr>
        <w:t>O</w:t>
      </w:r>
      <w:r w:rsidR="00F1423F" w:rsidRPr="00CB6923">
        <w:rPr>
          <w:rFonts w:ascii="Times New Roman" w:hAnsi="Times New Roman"/>
          <w:szCs w:val="24"/>
          <w:vertAlign w:val="subscript"/>
        </w:rPr>
        <w:t>2</w:t>
      </w:r>
      <w:r w:rsidR="00043665" w:rsidRPr="00CB6923">
        <w:rPr>
          <w:rFonts w:ascii="Times New Roman" w:hAnsi="Times New Roman"/>
          <w:szCs w:val="24"/>
        </w:rPr>
        <w:t xml:space="preserve"> is (reversibly) reduced to form solid lithium peroxide, Li</w:t>
      </w:r>
      <w:r w:rsidR="00024378" w:rsidRPr="00CB6923">
        <w:rPr>
          <w:rFonts w:ascii="Times New Roman" w:hAnsi="Times New Roman"/>
          <w:szCs w:val="24"/>
          <w:vertAlign w:val="subscript"/>
        </w:rPr>
        <w:t>2</w:t>
      </w:r>
      <w:r w:rsidR="00043665" w:rsidRPr="00CB6923">
        <w:rPr>
          <w:rFonts w:ascii="Times New Roman" w:hAnsi="Times New Roman"/>
          <w:szCs w:val="24"/>
        </w:rPr>
        <w:t>O</w:t>
      </w:r>
      <w:r w:rsidR="00043665" w:rsidRPr="00CB6923">
        <w:rPr>
          <w:rFonts w:ascii="Times New Roman" w:hAnsi="Times New Roman"/>
          <w:szCs w:val="24"/>
          <w:vertAlign w:val="subscript"/>
        </w:rPr>
        <w:t>2</w:t>
      </w:r>
      <w:r w:rsidR="00D1496C" w:rsidRPr="00CB6923">
        <w:rPr>
          <w:rFonts w:ascii="Times New Roman" w:hAnsi="Times New Roman"/>
          <w:szCs w:val="24"/>
        </w:rPr>
        <w:t>.</w:t>
      </w:r>
      <w:r w:rsidR="00043665" w:rsidRPr="00CB6923">
        <w:rPr>
          <w:rFonts w:ascii="Times New Roman" w:hAnsi="Times New Roman"/>
          <w:szCs w:val="24"/>
        </w:rPr>
        <w:t xml:space="preserve"> </w:t>
      </w:r>
      <w:r w:rsidR="00D1496C" w:rsidRPr="00CB6923">
        <w:rPr>
          <w:rFonts w:ascii="Times New Roman" w:hAnsi="Times New Roman"/>
          <w:szCs w:val="24"/>
        </w:rPr>
        <w:t>H</w:t>
      </w:r>
      <w:r w:rsidR="00043665" w:rsidRPr="00CB6923">
        <w:rPr>
          <w:rFonts w:ascii="Times New Roman" w:hAnsi="Times New Roman"/>
          <w:szCs w:val="24"/>
        </w:rPr>
        <w:t xml:space="preserve">owever, the electronically insulating </w:t>
      </w:r>
      <w:r w:rsidR="00E24230" w:rsidRPr="00CB6923">
        <w:rPr>
          <w:rFonts w:ascii="Times New Roman" w:hAnsi="Times New Roman"/>
          <w:szCs w:val="24"/>
        </w:rPr>
        <w:t>Li</w:t>
      </w:r>
      <w:r w:rsidR="00E24230" w:rsidRPr="00CB6923">
        <w:rPr>
          <w:rFonts w:ascii="Times New Roman" w:hAnsi="Times New Roman"/>
          <w:szCs w:val="24"/>
          <w:vertAlign w:val="subscript"/>
        </w:rPr>
        <w:t>2</w:t>
      </w:r>
      <w:r w:rsidR="00E24230" w:rsidRPr="00CB6923">
        <w:rPr>
          <w:rFonts w:ascii="Times New Roman" w:hAnsi="Times New Roman"/>
          <w:szCs w:val="24"/>
        </w:rPr>
        <w:t>O</w:t>
      </w:r>
      <w:r w:rsidR="00E24230" w:rsidRPr="00CB6923">
        <w:rPr>
          <w:rFonts w:ascii="Times New Roman" w:hAnsi="Times New Roman"/>
          <w:szCs w:val="24"/>
          <w:vertAlign w:val="subscript"/>
        </w:rPr>
        <w:t>2</w:t>
      </w:r>
      <w:r w:rsidR="00E24230" w:rsidRPr="00CB6923">
        <w:rPr>
          <w:rFonts w:ascii="Times New Roman" w:hAnsi="Times New Roman"/>
          <w:szCs w:val="24"/>
        </w:rPr>
        <w:t xml:space="preserve"> </w:t>
      </w:r>
      <w:r w:rsidR="00043665" w:rsidRPr="00CB6923">
        <w:rPr>
          <w:rFonts w:ascii="Times New Roman" w:hAnsi="Times New Roman"/>
          <w:szCs w:val="24"/>
        </w:rPr>
        <w:t xml:space="preserve">phase that forms and deposits on the cathode prevents electron transport, </w:t>
      </w:r>
      <w:r w:rsidR="00082C4C" w:rsidRPr="00CB6923">
        <w:rPr>
          <w:rFonts w:ascii="Times New Roman" w:hAnsi="Times New Roman"/>
          <w:szCs w:val="24"/>
        </w:rPr>
        <w:t>inhibiting</w:t>
      </w:r>
      <w:r w:rsidR="00043665" w:rsidRPr="00CB6923">
        <w:rPr>
          <w:rFonts w:ascii="Times New Roman" w:hAnsi="Times New Roman"/>
          <w:szCs w:val="24"/>
        </w:rPr>
        <w:t xml:space="preserve"> further reduction of O</w:t>
      </w:r>
      <w:r w:rsidR="00043665" w:rsidRPr="00CB6923">
        <w:rPr>
          <w:rFonts w:ascii="Times New Roman" w:hAnsi="Times New Roman"/>
          <w:szCs w:val="24"/>
          <w:vertAlign w:val="subscript"/>
        </w:rPr>
        <w:t>2</w:t>
      </w:r>
      <w:r w:rsidR="00043665" w:rsidRPr="00CB6923">
        <w:rPr>
          <w:rFonts w:ascii="Times New Roman" w:hAnsi="Times New Roman"/>
          <w:szCs w:val="24"/>
        </w:rPr>
        <w:t xml:space="preserve">, and eventually limiting the discharge capacity of a LAB. </w:t>
      </w:r>
      <w:r w:rsidR="000325E5" w:rsidRPr="00CB6923">
        <w:rPr>
          <w:rFonts w:ascii="Times New Roman" w:hAnsi="Times New Roman"/>
          <w:szCs w:val="24"/>
        </w:rPr>
        <w:t>During</w:t>
      </w:r>
      <w:r w:rsidR="00043665" w:rsidRPr="00CB6923">
        <w:rPr>
          <w:rFonts w:ascii="Times New Roman" w:hAnsi="Times New Roman"/>
          <w:szCs w:val="24"/>
        </w:rPr>
        <w:t xml:space="preserve"> charge, the insulating Li</w:t>
      </w:r>
      <w:r w:rsidR="00043665" w:rsidRPr="00CB6923">
        <w:rPr>
          <w:rFonts w:ascii="Times New Roman" w:hAnsi="Times New Roman"/>
          <w:szCs w:val="24"/>
          <w:vertAlign w:val="subscript"/>
        </w:rPr>
        <w:t>2</w:t>
      </w:r>
      <w:r w:rsidR="00043665" w:rsidRPr="00CB6923">
        <w:rPr>
          <w:rFonts w:ascii="Times New Roman" w:hAnsi="Times New Roman"/>
          <w:szCs w:val="24"/>
        </w:rPr>
        <w:t>O</w:t>
      </w:r>
      <w:r w:rsidR="00043665" w:rsidRPr="00CB6923">
        <w:rPr>
          <w:rFonts w:ascii="Times New Roman" w:hAnsi="Times New Roman"/>
          <w:szCs w:val="24"/>
          <w:vertAlign w:val="subscript"/>
        </w:rPr>
        <w:t>2</w:t>
      </w:r>
      <w:r w:rsidR="00043665" w:rsidRPr="00CB6923">
        <w:rPr>
          <w:rFonts w:ascii="Times New Roman" w:hAnsi="Times New Roman"/>
          <w:szCs w:val="24"/>
        </w:rPr>
        <w:t xml:space="preserve"> causes </w:t>
      </w:r>
      <w:r w:rsidR="000325E5" w:rsidRPr="00CB6923">
        <w:rPr>
          <w:rFonts w:ascii="Times New Roman" w:hAnsi="Times New Roman"/>
          <w:szCs w:val="24"/>
        </w:rPr>
        <w:t xml:space="preserve">an </w:t>
      </w:r>
      <w:r w:rsidR="00043665" w:rsidRPr="00CB6923">
        <w:rPr>
          <w:rFonts w:ascii="Times New Roman" w:hAnsi="Times New Roman"/>
          <w:szCs w:val="24"/>
        </w:rPr>
        <w:t>increase in the potential during galvanostatic oxidation, driving side reactions, such as electrode degradation.</w:t>
      </w:r>
      <w:r w:rsidR="00DD4718" w:rsidRPr="00CB6923">
        <w:rPr>
          <w:rFonts w:ascii="Times New Roman" w:hAnsi="Times New Roman"/>
          <w:szCs w:val="24"/>
        </w:rPr>
        <w:fldChar w:fldCharType="begin" w:fldLock="1"/>
      </w:r>
      <w:r w:rsidR="00DD4718" w:rsidRPr="00CB6923">
        <w:rPr>
          <w:rFonts w:ascii="Times New Roman" w:hAnsi="Times New Roman"/>
          <w:szCs w:val="24"/>
        </w:rPr>
        <w:instrText>ADDIN CSL_CITATION {"citationItems":[{"id":"ITEM-1","itemData":{"DOI":"10.1021/acs.chemrev.9b00545","ISSN":"15206890","PMID":"32090540","abstract":"Nonaqueous lithium-air batteries have garnered considerable research interest over the past decade due to their extremely high theoretical energy densities and potentially low cost. Significant advances have been achieved both in the mechanistic understanding of the cell reactions and in the development of effective strategies to help realize a practical energy storage device. By drawing attention to reports published mainly within the past 8 years, this review provides an updated mechanistic picture of the lithium peroxide based cell reactions and highlights key remaining challenges, including those due to the parasitic processes occurring at the reaction product-electrolyte, product-cathode, electrolyte-cathode, and electrolyte-anode interfaces. We introduce the fundamental principles and critically evaluate the effectiveness of the different strategies that have been proposed to mitigate the various issues of this chemistry, which include the use of solid catalysts, redox mediators, solvating additives for oxygen reaction intermediates, gas separation membranes, etc. Recently established cell chemistries based on the superoxide, hydroxide, and oxide phases are also summarized and discussed.","author":[{"dropping-particle":"","family":"Liu","given":"Tao","non-dropping-particle":"","parse-names":false,"suffix":""},{"dropping-particle":"","family":"Vivek","given":"J. Padmanabhan","non-dropping-particle":"","parse-names":false,"suffix":""},{"dropping-particle":"","family":"Zhao","given":"Evan Wenbo","non-dropping-particle":"","parse-names":false,"suffix":""},{"dropping-particle":"","family":"Lei","given":"Jiang","non-dropping-particle":"","parse-names":false,"suffix":""},{"dropping-particle":"","family":"Garcia-Araez","given":"Nuria","non-dropping-particle":"","parse-names":false,"suffix":""},{"dropping-particle":"","family":"Grey","given":"Clare P.","non-dropping-particle":"","parse-names":false,"suffix":""}],"container-title":"Chemical Reviews","id":"ITEM-1","issue":"14","issued":{"date-parts":[["2020"]]},"page":"6558-6625","title":"Current Challenges and Routes Forward for Nonaqueous Lithium-Air Batteries","type":"article-journal","volume":"120"},"uris":["http://www.mendeley.com/documents/?uuid=f6b3b854-8f24-497f-8002-7d503d60824e"]},{"id":"ITEM-2","itemData":{"author":[{"dropping-particle":"","family":"Aurbach","given":"D.","non-dropping-particle":"","parse-names":false,"suffix":""},{"dropping-particle":"","family":"McCloskey","given":"B.D.","non-dropping-particle":"","parse-names":false,"suffix":""},{"dropping-particle":"","family":"Nazar","given":"L.F.","non-dropping-particle":"","parse-names":false,"suffix":""},{"dropping-particle":"","family":"Bruce","given":"P.G.","non-dropping-particle":"","parse-names":false,"suffix":""}],"container-title":"Nature Energy","id":"ITEM-2","issued":{"date-parts":[["2016"]]},"page":"16128","title":"Advances in Understanding Mechanisms Underpinning Lithium-air Batteries","type":"article-journal","volume":"1"},"uris":["http://www.mendeley.com/documents/?uuid=098b2989-9064-45a0-b550-382aa03e542b"]}],"mendeley":{"formattedCitation":"&lt;sup&gt;2,3&lt;/sup&gt;","plainTextFormattedCitation":"2,3","previouslyFormattedCitation":"&lt;sup&gt;2,3&lt;/sup&gt;"},"properties":{"noteIndex":0},"schema":"https://github.com/citation-style-language/schema/raw/master/csl-citation.json"}</w:instrText>
      </w:r>
      <w:r w:rsidR="00DD4718" w:rsidRPr="00CB6923">
        <w:rPr>
          <w:rFonts w:ascii="Times New Roman" w:hAnsi="Times New Roman"/>
          <w:szCs w:val="24"/>
        </w:rPr>
        <w:fldChar w:fldCharType="separate"/>
      </w:r>
      <w:r w:rsidR="00DD4718" w:rsidRPr="00CB6923">
        <w:rPr>
          <w:rFonts w:ascii="Times New Roman" w:hAnsi="Times New Roman"/>
          <w:noProof/>
          <w:szCs w:val="24"/>
          <w:vertAlign w:val="superscript"/>
        </w:rPr>
        <w:t>2,3</w:t>
      </w:r>
      <w:r w:rsidR="00DD4718" w:rsidRPr="00CB6923">
        <w:rPr>
          <w:rFonts w:ascii="Times New Roman" w:hAnsi="Times New Roman"/>
          <w:szCs w:val="24"/>
        </w:rPr>
        <w:fldChar w:fldCharType="end"/>
      </w:r>
    </w:p>
    <w:p w14:paraId="4669F63C" w14:textId="724380CC" w:rsidR="005B6DCD" w:rsidRPr="00CB6923" w:rsidRDefault="005B6DCD" w:rsidP="00416C39">
      <w:pPr>
        <w:pStyle w:val="TAMainText"/>
        <w:spacing w:after="240"/>
        <w:ind w:firstLine="720"/>
        <w:jc w:val="left"/>
        <w:rPr>
          <w:rFonts w:ascii="Times New Roman" w:hAnsi="Times New Roman"/>
          <w:szCs w:val="24"/>
        </w:rPr>
      </w:pPr>
      <w:r w:rsidRPr="00CB6923">
        <w:t>One promising method for removing the solid lithium peroxide deposits at lower potentials on charge is to employ solution phase redox mediators</w:t>
      </w:r>
      <w:r w:rsidR="009A47FC" w:rsidRPr="00CB6923">
        <w:t xml:space="preserve"> (RMs)</w:t>
      </w:r>
      <w:r w:rsidRPr="00CB6923">
        <w:t>, also termed soluble catalysts.</w:t>
      </w:r>
      <w:r w:rsidRPr="00CB6923">
        <w:rPr>
          <w:rFonts w:ascii="Times New Roman" w:hAnsi="Times New Roman"/>
          <w:szCs w:val="24"/>
        </w:rPr>
        <w:fldChar w:fldCharType="begin" w:fldLock="1"/>
      </w:r>
      <w:r w:rsidRPr="00CB6923">
        <w:rPr>
          <w:rFonts w:ascii="Times New Roman" w:hAnsi="Times New Roman"/>
          <w:szCs w:val="24"/>
        </w:rPr>
        <w:instrText>ADDIN CSL_CITATION {"citationItems":[{"id":"ITEM-1","itemData":{"DOI":"10.1002/adma.201704162","ISSN":"15214095","abstract":"© 2017 WILEY-VCH Verlag GmbH  &amp;  Co. KGaA, Weinheim Li–O 2  batteries have received much attention due to their extremely large theoretical energy density. However, the high overpotentials required for charging Li–O 2  batteries lower their energy efficiency and degrade the electrolytes and carbon electrodes. This problem is one of the main obstacles in developing practical Li–O 2  batteries. To solve this problem, it is important to facilitate the oxidation of Li 2 O 2  upon charging by using effective electrocatalysis. Using solid catalysts is not too effective for oxidizing the electronically isolating Li-peroxide layers. In turn, for soluble catalysts, red-ox mediators (RMs) are homogeneously dissolved in the electrolyte solutions and can effectively oxidize all of the Li 2 O 2  precipitated during discharge. RMs can decompose solid Li 2 O 2  species no matter their size, morphology, or thickness and thus dramatically increase energy efficiency. However, some negative side effects, such as the shuttle reactions of RMs and deterioration of the Li-metal occur. Therefore, it is necessary to study the activity and stability of RMs in Li–O 2  batteries in detail. Herein, recent studies related to redox mediators are reviewed and the mechanisms of redox reactions are illustrated. The development opportunities of RMs for this important battery technology are discussed and future directions are suggested.","author":[{"dropping-particle":"","family":"Park","given":"Jin Bum","non-dropping-particle":"","parse-names":false,"suffix":""},{"dropping-particle":"","family":"Lee","given":"Seon Hwa","non-dropping-particle":"","parse-names":false,"suffix":""},{"dropping-particle":"","family":"Jung","given":"Hun Gi","non-dropping-particle":"","parse-names":false,"suffix":""},{"dropping-particle":"","family":"Aurbach","given":"Doron","non-dropping-particle":"","parse-names":false,"suffix":""},{"dropping-particle":"","family":"Sun","given":"Yang Kook","non-dropping-particle":"","parse-names":false,"suffix":""}],"container-title":"Advanced Materials","id":"ITEM-1","issue":"1","issued":{"date-parts":[["2018"]]},"page":"1-13","title":"Redox Mediators for Li–O2 Batteries: Status and Perspectives","type":"article-journal","volume":"30"},"uris":["http://www.mendeley.com/documents/?uuid=04e12c9e-542c-4ce9-b27a-f2c7e45c6803"]}],"mendeley":{"formattedCitation":"&lt;sup&gt;4&lt;/sup&gt;","plainTextFormattedCitation":"4","previouslyFormattedCitation":"&lt;sup&gt;4&lt;/sup&gt;"},"properties":{"noteIndex":0},"schema":"https://github.com/citation-style-language/schema/raw/master/csl-citation.json"}</w:instrText>
      </w:r>
      <w:r w:rsidRPr="00CB6923">
        <w:rPr>
          <w:rFonts w:ascii="Times New Roman" w:hAnsi="Times New Roman"/>
          <w:szCs w:val="24"/>
        </w:rPr>
        <w:fldChar w:fldCharType="separate"/>
      </w:r>
      <w:r w:rsidRPr="00CB6923">
        <w:rPr>
          <w:rFonts w:ascii="Times New Roman" w:hAnsi="Times New Roman"/>
          <w:noProof/>
          <w:szCs w:val="24"/>
          <w:vertAlign w:val="superscript"/>
        </w:rPr>
        <w:t>4</w:t>
      </w:r>
      <w:r w:rsidRPr="00CB6923">
        <w:rPr>
          <w:rFonts w:ascii="Times New Roman" w:hAnsi="Times New Roman"/>
          <w:szCs w:val="24"/>
        </w:rPr>
        <w:fldChar w:fldCharType="end"/>
      </w:r>
      <w:r w:rsidRPr="00CB6923">
        <w:rPr>
          <w:rFonts w:ascii="Times New Roman" w:hAnsi="Times New Roman"/>
          <w:szCs w:val="24"/>
        </w:rPr>
        <w:t xml:space="preserve"> These catalysts undergo electron transfer at the electrode, then diffuse to, and chemically oxidize the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deposits, pinning the charge voltage at the redox potential of the mediator.</w:t>
      </w:r>
      <w:r w:rsidRPr="00CB6923">
        <w:rPr>
          <w:rFonts w:ascii="Times New Roman" w:hAnsi="Times New Roman"/>
          <w:szCs w:val="24"/>
        </w:rPr>
        <w:fldChar w:fldCharType="begin" w:fldLock="1"/>
      </w:r>
      <w:r w:rsidRPr="00CB6923">
        <w:rPr>
          <w:rFonts w:ascii="Times New Roman" w:hAnsi="Times New Roman"/>
          <w:szCs w:val="24"/>
        </w:rPr>
        <w:instrText>ADDIN CSL_CITATION {"citationItems":[{"id":"ITEM-1","itemData":{"DOI":"10.1021/ja508400m","ISSN":"15205126","abstract":"Nonaqueous Li-O2 batteries are an intensively studied future energy storage technology because of their high theoretical energy density. However, a number of barriers prevent a practical application, and one of the major challenges is the reduction of the high charge overpotential: Whereas lithium peroxide (Li2O2) is formed during discharge at around 2.7 V (vs Li+/Li), its electrochemical decomposition during the charge process requires potentials up to 4.5 V. This high potential gap leads to a low round-trip efficiency of the cell, and more importantly, the high charge potential causes electrochemical decomposition of other cell constituents. Dissolved oxidation catalysts can act as mobile redox mediators (RM), which enable the oxidation of Li2O2 particles even without a direct electric contact to the positive electrode. Herein we show that the addition of 10 mM TEMPO (2,2,6,6-tetramethylpiperidinyloxyl), homogeneously dissolved in the electrolyte, provides a distinct reduction of the charging potentials by 500 mV. Moreover, TEMPO enables a significant enhancement of the cycling stability leading to a doubling of the cycle life. The efficiency of the TEMPO mediated catalysis was further investigated by a parallel monitoring of the cell pressure, which excludes a considerable contribution of a parasitic shuttle (i.e., internal ionic short circuit) to the anode during cycling. We prove the suitability of TEMPO by a systematic study of the relevant physical and chemical properties, i.e., its (electro)chemical stability, redox potential, diffusion coefficient and the influence on the oxygen solubility. Furthermore, the charging mechanisms of Li-O2 cells with and without TEMPO were compared by combining different electrochemical and analytical techniques.","author":[{"dropping-particle":"","family":"Bergner","given":"Benjamin J.","non-dropping-particle":"","parse-names":false,"suffix":""},{"dropping-particle":"","family":"Schürmann","given":"Adrian","non-dropping-particle":"","parse-names":false,"suffix":""},{"dropping-particle":"","family":"Peppler","given":"Klaus","non-dropping-particle":"","parse-names":false,"suffix":""},{"dropping-particle":"","family":"Garsuch","given":"Arnd","non-dropping-particle":"","parse-names":false,"suffix":""},{"dropping-particle":"","family":"Janek","given":"Jürgen","non-dropping-particle":"","parse-names":false,"suffix":""}],"container-title":"Journal of the American Chemical Society","id":"ITEM-1","issue":"42","issued":{"date-parts":[["2014"]]},"page":"15054-15064","title":"TEMPO: A mobile catalyst for rechargeable Li-O2 batteries","type":"article-journal","volume":"136"},"uris":["http://www.mendeley.com/documents/?uuid=a2897d28-efc5-41ea-b031-0dda3d6ad6d2"]}],"mendeley":{"formattedCitation":"&lt;sup&gt;5&lt;/sup&gt;","plainTextFormattedCitation":"5","previouslyFormattedCitation":"&lt;sup&gt;5&lt;/sup&gt;"},"properties":{"noteIndex":0},"schema":"https://github.com/citation-style-language/schema/raw/master/csl-citation.json"}</w:instrText>
      </w:r>
      <w:r w:rsidRPr="00CB6923">
        <w:rPr>
          <w:rFonts w:ascii="Times New Roman" w:hAnsi="Times New Roman"/>
          <w:szCs w:val="24"/>
        </w:rPr>
        <w:fldChar w:fldCharType="separate"/>
      </w:r>
      <w:r w:rsidRPr="00CB6923">
        <w:rPr>
          <w:rFonts w:ascii="Times New Roman" w:hAnsi="Times New Roman"/>
          <w:noProof/>
          <w:szCs w:val="24"/>
          <w:vertAlign w:val="superscript"/>
        </w:rPr>
        <w:t>5</w:t>
      </w:r>
      <w:r w:rsidRPr="00CB6923">
        <w:rPr>
          <w:rFonts w:ascii="Times New Roman" w:hAnsi="Times New Roman"/>
          <w:szCs w:val="24"/>
        </w:rPr>
        <w:fldChar w:fldCharType="end"/>
      </w:r>
      <w:r w:rsidRPr="00CB6923">
        <w:rPr>
          <w:rFonts w:ascii="Times New Roman" w:hAnsi="Times New Roman"/>
          <w:szCs w:val="24"/>
        </w:rPr>
        <w:t xml:space="preserve"> 2,2,6,6-tetramethylpiperidinyloxyl (TEMPO) is commonly used as a mediator in </w:t>
      </w:r>
      <w:r w:rsidRPr="00CB6923">
        <w:rPr>
          <w:rFonts w:ascii="Times New Roman" w:hAnsi="Times New Roman"/>
          <w:szCs w:val="24"/>
        </w:rPr>
        <w:lastRenderedPageBreak/>
        <w:t xml:space="preserve">organic synthesis during the oxidation of alcohols into ketones, </w:t>
      </w:r>
      <w:r w:rsidR="006B45AB" w:rsidRPr="00CB6923">
        <w:rPr>
          <w:rFonts w:ascii="Times New Roman" w:hAnsi="Times New Roman"/>
          <w:szCs w:val="24"/>
        </w:rPr>
        <w:t>and</w:t>
      </w:r>
      <w:r w:rsidRPr="00CB6923">
        <w:rPr>
          <w:rFonts w:ascii="Times New Roman" w:hAnsi="Times New Roman"/>
          <w:szCs w:val="24"/>
        </w:rPr>
        <w:t xml:space="preserve"> therefore a suitable candidate as a charge redox mediator in LABs.</w:t>
      </w:r>
      <w:r w:rsidR="00F63C23" w:rsidRPr="00CB6923">
        <w:rPr>
          <w:rFonts w:ascii="Times New Roman" w:hAnsi="Times New Roman"/>
          <w:szCs w:val="24"/>
        </w:rPr>
        <w:fldChar w:fldCharType="begin" w:fldLock="1"/>
      </w:r>
      <w:r w:rsidR="00F63C23" w:rsidRPr="00CB6923">
        <w:rPr>
          <w:rFonts w:ascii="Times New Roman" w:hAnsi="Times New Roman"/>
          <w:szCs w:val="24"/>
        </w:rPr>
        <w:instrText>ADDIN CSL_CITATION {"citationItems":[{"id":"ITEM-1","itemData":{"DOI":"10.1002/recl.19941130307","ISSN":"01650513","abstract":"A method for the selective oxidation of the primary hydroxyl functions of polysaccharides is described. The oxidation is mediate</w:instrText>
      </w:r>
      <w:r w:rsidR="00F63C23" w:rsidRPr="00CB6923">
        <w:rPr>
          <w:rFonts w:ascii="Times New Roman" w:hAnsi="Times New Roman" w:hint="eastAsia"/>
          <w:szCs w:val="24"/>
        </w:rPr>
        <w:instrText>d by 2,2,6,6</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tetramethyl</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1</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piperidinyloxy (TEMPO) and hypobromite is used as the regenerating oxidant. At pH 10.5</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11 a selectivity of 98% for cold water soluble potato starch and &gt;90% for dahlia inulin was found. Copyright © 1994 WILEY</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VCH Verlag GmbH &amp; C</w:instrText>
      </w:r>
      <w:r w:rsidR="00F63C23" w:rsidRPr="00CB6923">
        <w:rPr>
          <w:rFonts w:ascii="Times New Roman" w:hAnsi="Times New Roman"/>
          <w:szCs w:val="24"/>
        </w:rPr>
        <w:instrText>o. KGaA, Weinheim","author":[{"dropping-particle":"","family":"Nooy","given":"A. E.J.","non-dropping-particle":"de","parse-names":false,"suffix":""},{"dropping-particle":"","family":"Besemer","given":"A. C.","non-dropping-particle":"","parse-names":false,</w:instrText>
      </w:r>
      <w:r w:rsidR="00F63C23" w:rsidRPr="00CB6923">
        <w:rPr>
          <w:rFonts w:ascii="Times New Roman" w:hAnsi="Times New Roman" w:hint="eastAsia"/>
          <w:szCs w:val="24"/>
        </w:rPr>
        <w:instrText>"suffix":""},{"dropping-particle":"","family":"Bekkum","given":"H.","non-dropping-particle":"van","parse-names":false,"suffix":""}],"container-title":"Recueil des Travaux Chimiques des Pays</w:instrText>
      </w:r>
      <w:r w:rsidR="00F63C23" w:rsidRPr="00CB6923">
        <w:rPr>
          <w:rFonts w:ascii="Times New Roman" w:hAnsi="Times New Roman" w:hint="eastAsia"/>
          <w:szCs w:val="24"/>
        </w:rPr>
        <w:instrText>‐</w:instrText>
      </w:r>
      <w:r w:rsidR="00F63C23" w:rsidRPr="00CB6923">
        <w:rPr>
          <w:rFonts w:ascii="Times New Roman" w:hAnsi="Times New Roman" w:hint="eastAsia"/>
          <w:szCs w:val="24"/>
        </w:rPr>
        <w:instrText>Bas","id":"ITEM-1","issue":"3","issued":{"date-parts":[["1994"]]}</w:instrText>
      </w:r>
      <w:r w:rsidR="00F63C23" w:rsidRPr="00CB6923">
        <w:rPr>
          <w:rFonts w:ascii="Times New Roman" w:hAnsi="Times New Roman"/>
          <w:szCs w:val="24"/>
        </w:rPr>
        <w:instrText>,"page":"165-166","title":"Highly selective tempo mediated oxidation of primary alcohol groups in polysaccharides","type":"article-journal","volume":"113"},"uris":["http://www.mendeley.com/documents/?uuid=aa933beb-dd00-4a68-9530-2ed82e08549f"]},{"id":"ITEM-2","itemData":{"DOI":"10.1021/acs.chemrev.7b00763","ISSN":"15206890","PMID":"29707945","abstract":"N-Oxyl compounds represent a diverse group of reagents that find widespread use as catalysts for the selective oxidation of organic molecules in both laboratory and industrial applications. While turnover of N-oxyl catalysts in oxidation reactions may be accomplished with a variety of stoichiometric oxidants, N-oxyl reagents have also been extensively used as catalysts under electrochemical conditions in the absence of chemical oxidants. Several classes of N-oxyl compounds undergo facile redox reactions at electrode surfaces, enabling them to mediate a wide range of electrosynthetic reactions. Electrochemical studies also provide insights into the structural properties and mechanisms of chemical and electrochemical catalysis by N-oxyl compounds. This review provides a comprehensive survey of the electrochemical properties and electrocatalytic applications of aminoxyls, imidoxyls, and related reagents, of which the two prototypical and widely used examples are 2,2,6,6-tetramethylpiperidine N-oxyl (TEMPO) and phthalimide N-oxyl (PINO).","author":[{"dropping-particle":"","family":"Nutting","given":"Jordan E.","non-dropping-particle":"","parse-names":false,"suffix":""},{"dropping-particle":"","family":"Rafiee","given":"Mohammad","non-dropping-particle":"","parse-names":false,"suffix":""},{"dropping-particle":"","family":"Stahl","given":"Shannon S.","non-dropping-particle":"","parse-names":false,"suffix":""}],"container-title":"Chemical Reviews","id":"ITEM-2","issue":"9","issued":{"date-parts":[["2018"]]},"page":"4834-4885","title":"Tetramethylpiperidine N-Oxyl (TEMPO), Phthalimide N-Oxyl (PINO), and Related N-Oxyl Species: Electrochemical Properties and Their Use in Electrocatalytic Reactions","type":"article-journal","volume":"118"},"uris":["http://www.mendeley.com/documents/?uuid=40c01436-e8b5-48d1-8caf-cda0f191596d"]}],"mendeley":{"formattedCitation":"&lt;sup&gt;6,7&lt;/sup&gt;","plainTextFormattedCitation":"6,7","previouslyFormattedCitation":"&lt;sup&gt;6,7&lt;/sup&gt;"},"properties":{"noteIndex":0},"schema":"https://github.com/citation-style-language/schema/raw/master/csl-citation.json"}</w:instrText>
      </w:r>
      <w:r w:rsidR="00F63C23" w:rsidRPr="00CB6923">
        <w:rPr>
          <w:rFonts w:ascii="Times New Roman" w:hAnsi="Times New Roman"/>
          <w:szCs w:val="24"/>
        </w:rPr>
        <w:fldChar w:fldCharType="separate"/>
      </w:r>
      <w:r w:rsidR="00F63C23" w:rsidRPr="00CB6923">
        <w:rPr>
          <w:rFonts w:ascii="Times New Roman" w:hAnsi="Times New Roman"/>
          <w:noProof/>
          <w:szCs w:val="24"/>
          <w:vertAlign w:val="superscript"/>
        </w:rPr>
        <w:t>6,7</w:t>
      </w:r>
      <w:r w:rsidR="00F63C23" w:rsidRPr="00CB6923">
        <w:rPr>
          <w:rFonts w:ascii="Times New Roman" w:hAnsi="Times New Roman"/>
          <w:szCs w:val="24"/>
        </w:rPr>
        <w:fldChar w:fldCharType="end"/>
      </w:r>
      <w:r w:rsidR="00F63C23" w:rsidRPr="00CB6923">
        <w:rPr>
          <w:rFonts w:ascii="Times New Roman" w:hAnsi="Times New Roman"/>
          <w:szCs w:val="24"/>
        </w:rPr>
        <w:t xml:space="preserve"> TEMPO was first demonstrated as an oxidation mediator in LABs by Bergner et al.</w:t>
      </w:r>
      <w:r w:rsidR="00F63C23" w:rsidRPr="00CB6923">
        <w:rPr>
          <w:rFonts w:ascii="Times New Roman" w:hAnsi="Times New Roman"/>
          <w:szCs w:val="24"/>
        </w:rPr>
        <w:fldChar w:fldCharType="begin" w:fldLock="1"/>
      </w:r>
      <w:r w:rsidR="001B647F" w:rsidRPr="00CB6923">
        <w:rPr>
          <w:rFonts w:ascii="Times New Roman" w:hAnsi="Times New Roman"/>
          <w:szCs w:val="24"/>
        </w:rPr>
        <w:instrText>ADDIN CSL_CITATION {"citationItems":[{"id":"ITEM-1","itemData":{"DOI":"10.1021/ja508400m","ISSN":"15205126","abstract":"Nonaqueous Li-O2 batteries are an intensively studied future energy storage technology because of their high theoretical energy density. However, a number of barriers prevent a practical application, and one of the major challenges is the reduction of the high charge overpotential: Whereas lithium peroxide (Li2O2) is formed during discharge at around 2.7 V (vs Li+/Li), its electrochemical decomposition during the charge process requires potentials up to 4.5 V. This high potential gap leads to a low round-trip efficiency of the cell, and more importantly, the high charge potential causes electrochemical decomposition of other cell constituents. Dissolved oxidation catalysts can act as mobile redox mediators (RM), which enable the oxidation of Li2O2 particles even without a direct electric contact to the positive electrode. Herein we show that the addition of 10 mM TEMPO (2,2,6,6-tetramethylpiperidinyloxyl), homogeneously dissolved in the electrolyte, provides a distinct reduction of the charging potentials by 500 mV. Moreover, TEMPO enables a significant enhancement of the cycling stability leading to a doubling of the cycle life. The efficiency of the TEMPO mediated catalysis was further investigated by a parallel monitoring of the cell pressure, which excludes a considerable contribution of a parasitic shuttle (i.e., internal ionic short circuit) to the anode during cycling. We prove the suitability of TEMPO by a systematic study of the relevant physical and chemical properties, i.e., its (electro)chemical stability, redox potential, diffusion coefficient and the influence on the oxygen solubility. Furthermore, the charging mechanisms of Li-O2 cells with and without TEMPO were compared by combining different electrochemical and analytical techniques.","author":[{"dropping-particle":"","family":"Bergner","given":"Benjamin J.","non-dropping-particle":"","parse-names":false,"suffix":""},{"dropping-particle":"","family":"Schürmann","given":"Adrian","non-dropping-particle":"","parse-names":false,"suffix":""},{"dropping-particle":"","family":"Peppler","given":"Klaus","non-dropping-particle":"","parse-names":false,"suffix":""},{"dropping-particle":"","family":"Garsuch","given":"Arnd","non-dropping-particle":"","parse-names":false,"suffix":""},{"dropping-particle":"","family":"Janek","given":"Jürgen","non-dropping-particle":"","parse-names":false,"suffix":""}],"container-title":"Journal of the American Chemical Society","id":"ITEM-1","issue":"42","issued":{"date-parts":[["2014"]]},"page":"15054-15064","title":"TEMPO: A mobile catalyst for rechargeable Li-O2 batteries","type":"article-journal","volume":"136"},"uris":["http://www.mendeley.com/documents/?uuid=a2897d28-efc5-41ea-b031-0dda3d6ad6d2"]}],"mendeley":{"formattedCitation":"&lt;sup&gt;5&lt;/sup&gt;","plainTextFormattedCitation":"5","previouslyFormattedCitation":"&lt;sup&gt;5&lt;/sup&gt;"},"properties":{"noteIndex":0},"schema":"https://github.com/citation-style-language/schema/raw/master/csl-citation.json"}</w:instrText>
      </w:r>
      <w:r w:rsidR="00F63C23" w:rsidRPr="00CB6923">
        <w:rPr>
          <w:rFonts w:ascii="Times New Roman" w:hAnsi="Times New Roman"/>
          <w:szCs w:val="24"/>
        </w:rPr>
        <w:fldChar w:fldCharType="separate"/>
      </w:r>
      <w:r w:rsidR="00F63C23" w:rsidRPr="00CB6923">
        <w:rPr>
          <w:rFonts w:ascii="Times New Roman" w:hAnsi="Times New Roman"/>
          <w:noProof/>
          <w:szCs w:val="24"/>
          <w:vertAlign w:val="superscript"/>
        </w:rPr>
        <w:t>5</w:t>
      </w:r>
      <w:r w:rsidR="00F63C23" w:rsidRPr="00CB6923">
        <w:rPr>
          <w:rFonts w:ascii="Times New Roman" w:hAnsi="Times New Roman"/>
          <w:szCs w:val="24"/>
        </w:rPr>
        <w:fldChar w:fldCharType="end"/>
      </w:r>
      <w:r w:rsidR="00F63C23" w:rsidRPr="00CB6923">
        <w:rPr>
          <w:rFonts w:ascii="Times New Roman" w:hAnsi="Times New Roman"/>
          <w:szCs w:val="24"/>
        </w:rPr>
        <w:t xml:space="preserve"> </w:t>
      </w:r>
    </w:p>
    <w:p w14:paraId="44C70CFA" w14:textId="5A9E1A9A" w:rsidR="004E6F5E" w:rsidRPr="00CB6923" w:rsidRDefault="00F63C23" w:rsidP="00416C39">
      <w:pPr>
        <w:pStyle w:val="TAMainText"/>
        <w:spacing w:after="240"/>
        <w:ind w:firstLine="720"/>
        <w:jc w:val="left"/>
        <w:rPr>
          <w:rFonts w:ascii="Times New Roman" w:hAnsi="Times New Roman"/>
          <w:szCs w:val="24"/>
        </w:rPr>
      </w:pPr>
      <w:r w:rsidRPr="00CB6923">
        <w:rPr>
          <w:rFonts w:ascii="Times New Roman" w:hAnsi="Times New Roman"/>
          <w:szCs w:val="24"/>
        </w:rPr>
        <w:t>A second next-generation technology, and one that is inherently scalable, is a</w:t>
      </w:r>
      <w:r w:rsidR="00E77792" w:rsidRPr="00CB6923">
        <w:rPr>
          <w:rFonts w:ascii="Times New Roman" w:hAnsi="Times New Roman"/>
          <w:szCs w:val="24"/>
        </w:rPr>
        <w:t>n organic</w:t>
      </w:r>
      <w:r w:rsidRPr="00CB6923">
        <w:rPr>
          <w:rFonts w:ascii="Times New Roman" w:hAnsi="Times New Roman"/>
          <w:szCs w:val="24"/>
        </w:rPr>
        <w:t xml:space="preserve"> redox flow battery (RFB). These batteries are widely studied for grid-level energy storage, in order to address the intermittency of renewable energy sources, such as solar and wind. However, they face challenges with degradation of solution species, self-discharge, and low energy densities.</w:t>
      </w:r>
      <w:r w:rsidRPr="00CB6923">
        <w:rPr>
          <w:rFonts w:ascii="Times New Roman" w:hAnsi="Times New Roman"/>
          <w:szCs w:val="24"/>
        </w:rPr>
        <w:fldChar w:fldCharType="begin" w:fldLock="1"/>
      </w:r>
      <w:r w:rsidR="009C4068" w:rsidRPr="00CB6923">
        <w:rPr>
          <w:rFonts w:ascii="Times New Roman" w:hAnsi="Times New Roman"/>
          <w:szCs w:val="24"/>
        </w:rPr>
        <w:instrText>ADDIN CSL_CITATION {"citationItems":[{"id":"ITEM-1","itemData":{"DOI":"10.1149/2.012112esl","ISSN":"10990062","abstract":"A novel all-organic redox flow battery employing 2,2,6,6-tetramethyl-1- piperidinyloxyNaClO 4acetonitrile and N-Methyl- phthalimideNaClO 4acetonitrile as catholyte and anolyte, respectively, is investigated by electrochemical measurements. The quasi-reversible and stable redox reactions are tested by cycle voltammetry. The diffusion coefficient of 0.02 M 2,2,6,6-tetramethyl-1-piperidinyloxy and 0.02 M N-Methylphthalimide in the supporting electrolyte are all in the range of 0.7-1.1 × 10 -5 cm 2s -1 at room temperature. Stable charge-discharge curves and high coulombic efficiency (90) for the first 20 cycles are obtained through charge-discharge test. © 2011 The Electrochemical Society.","author":[{"dropping-particle":"","family":"Li","given":"Zhen","non-dropping-particle":"","parse-names":false,"suffix":""},{"dropping-particle":"","family":"Li","given":"Sha","non-dropping-particle":"","parse-names":false,"suffix":""},{"dropping-particle":"","family":"Liu","given":"Suqin","non-dropping-particle":"","parse-names":false,"suffix":""},{"dropping-particle":"","family":"Huang","given":"Kelong","non-dropping-particle":"","parse-names":false,"suffix":""},{"dropping-particle":"","family":"Fang","given":"Dong","non-dropping-particle":"","parse-names":false,"suffix":""},{"dropping-particle":"","family":"Wang","given":"Fengchao","non-dropping-particle":"","parse-names":false,"suffix":""},{"dropping-particle":"","family":"Peng","given":"Sui","non-dropping-particle":"","parse-names":false,"suffix":""}],"container-title":"Electrochemical and Solid-State Letters","id":"ITEM-1","issue":"12","issued":{"date-parts":[["2011"]]},"page":"171-174","title":"Electrochemical properties of an all-organic redox flow battery using 2,2,6,6-tetramethyl-1-piperidinyloxy and N-Methylphthalimide","type":"article-journal","volume":"14"},"uris":["http://www.mendeley.com/documents/?uuid=8812ce62-873d-4e2e-a97c-affc57e31cdb"]},{"id":"ITEM-2","itemData":{"DOI":"10.1002/adma.201403746","ISSN":"15214095","abstract":"(Figure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Materials","id":"ITEM-2","issue":"45","issued":{"date-parts":[["2014"]]},"page":"7649-7653","title":"TEMPO-based catholyte for high-energy density nonaqueous redox flow batteries","type":"article-journal","volume":"26"},"uris":["http://www.mendeley.com/documents/?uuid=17e82180-a534-4d54-a24d-2c09af0923cd"]},{"id":"ITEM-3","itemData":{"DOI":"10.1039/c3ra00115f","ISSN":"20462069","abstract":"The non-aqueous redox flow battery (RFB) is one of the emerging large-scale energy storage systems that may overcome the low energy density limited by breakdown of water at a high voltage in aqueous RFBs. Yet development of the non-aqueous RFB is at an early stage, so its components are not thoroughly understood. As a key component of non-aqueous RFBs, the role of the membrane is to suppress cross-contamination between the anolyte and catholyte confined in two separate compartments, and to transport the charge carrier ions selectively for the completion of the circuit during cell operation. In this review, recent studies on non-aqueous redox flow systems are summarized including redox couples, electrolytes, and systems including membranes. A focus is placed on comparison of battery performance in terms of the current and power density through membranes. In addition, we introduce syntheses and characterization of membranes used for non-aqueous RFBs. © 2013 The Royal Society of Chemistry.","author":[{"dropping-particle":"","family":"Shin","given":"Sung Hee","non-dropping-particle":"","parse-names":false,"suffix":""},{"dropping-particle":"","family":"Yun","given":"Sung Hyun","non-dropping-particle":"","parse-names":false,"suffix":""},{"dropping-particle":"","family":"Moon","given":"Seung Hyeon","non-dropping-particle":"","parse-names":false,"suffix":""}],"container-title":"RSC Advances","id":"ITEM-3","issue":"24","issued":{"date-parts":[["2013"]]},"page":"9095-9116","title":"A review of current developments in non-aqueous redox flow batteries: Characterization of their membranes for design perspective","type":"article-journal","volume":"3"},"uris":["http://www.mendeley.com/documents/?uuid=c3eb4e74-1c60-4f2a-bb7d-c4f59edc5781"]}],"mendeley":{"formattedCitation":"&lt;sup&gt;8–10&lt;/sup&gt;","plainTextFormattedCitation":"8–10","previouslyFormattedCitation":"&lt;sup&gt;8–10&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8–10</w:t>
      </w:r>
      <w:r w:rsidRPr="00CB6923">
        <w:rPr>
          <w:rFonts w:ascii="Times New Roman" w:hAnsi="Times New Roman"/>
          <w:szCs w:val="24"/>
        </w:rPr>
        <w:fldChar w:fldCharType="end"/>
      </w:r>
      <w:r w:rsidRPr="00CB6923">
        <w:rPr>
          <w:rFonts w:ascii="Times New Roman" w:hAnsi="Times New Roman"/>
          <w:szCs w:val="24"/>
        </w:rPr>
        <w:t xml:space="preserve"> </w:t>
      </w:r>
      <w:r w:rsidR="003C1646" w:rsidRPr="00CB6923">
        <w:rPr>
          <w:rFonts w:ascii="Times New Roman" w:hAnsi="Times New Roman"/>
          <w:szCs w:val="24"/>
        </w:rPr>
        <w:t>H</w:t>
      </w:r>
      <w:r w:rsidRPr="00CB6923">
        <w:rPr>
          <w:rFonts w:ascii="Times New Roman" w:hAnsi="Times New Roman"/>
          <w:szCs w:val="24"/>
        </w:rPr>
        <w:t xml:space="preserve">ybrid-semi flow </w:t>
      </w:r>
      <w:r w:rsidR="00B01F09" w:rsidRPr="00CB6923">
        <w:rPr>
          <w:rFonts w:ascii="Times New Roman" w:hAnsi="Times New Roman"/>
          <w:szCs w:val="24"/>
        </w:rPr>
        <w:t>design</w:t>
      </w:r>
      <w:r w:rsidR="003C1646" w:rsidRPr="00CB6923">
        <w:rPr>
          <w:rFonts w:ascii="Times New Roman" w:hAnsi="Times New Roman"/>
          <w:szCs w:val="24"/>
        </w:rPr>
        <w:t>s have also been studied, which</w:t>
      </w:r>
      <w:r w:rsidRPr="00CB6923">
        <w:rPr>
          <w:rFonts w:ascii="Times New Roman" w:hAnsi="Times New Roman"/>
          <w:szCs w:val="24"/>
        </w:rPr>
        <w:t xml:space="preserve"> </w:t>
      </w:r>
      <w:r w:rsidR="00B01F09" w:rsidRPr="00CB6923">
        <w:rPr>
          <w:rFonts w:ascii="Times New Roman" w:hAnsi="Times New Roman"/>
          <w:szCs w:val="24"/>
        </w:rPr>
        <w:t>enable higher voltages by using a Li metal anode and flowing non</w:t>
      </w:r>
      <w:r w:rsidR="009E665B" w:rsidRPr="00CB6923">
        <w:rPr>
          <w:rFonts w:ascii="Times New Roman" w:hAnsi="Times New Roman"/>
          <w:szCs w:val="24"/>
        </w:rPr>
        <w:t>-</w:t>
      </w:r>
      <w:r w:rsidR="00B01F09" w:rsidRPr="00CB6923">
        <w:rPr>
          <w:rFonts w:ascii="Times New Roman" w:hAnsi="Times New Roman"/>
          <w:szCs w:val="24"/>
        </w:rPr>
        <w:t>aqueous catholyte.</w:t>
      </w:r>
      <w:r w:rsidRPr="00CB6923">
        <w:rPr>
          <w:rFonts w:ascii="Times New Roman" w:hAnsi="Times New Roman"/>
          <w:szCs w:val="24"/>
        </w:rPr>
        <w:fldChar w:fldCharType="begin" w:fldLock="1"/>
      </w:r>
      <w:r w:rsidR="009C4068" w:rsidRPr="00CB6923">
        <w:rPr>
          <w:rFonts w:ascii="Times New Roman" w:hAnsi="Times New Roman"/>
          <w:szCs w:val="24"/>
        </w:rPr>
        <w:instrText>ADDIN CSL_CITATION {"citationItems":[{"id":"ITEM-1","itemData":{"DOI":"10.1016/j.jiec.2019.08.027","ISSN":"22345957","abstract":"Non-aqueous lithium-ion redox flow batteries (Li-RFBs) have recently garnered much interest because of their high operating voltage and energy density. Albeit these outstanding advantages, challenges, such as poor cyclability and efficiency, still remain in employing the practical application. In an attempt to address these problems, a series of 2,2,6,6-tetramethylpiperidine 1-oxyl (TEMPO) and TEMPO derivatives catholytes were prepared and investigated as redox-active materials. Electrochemical evaluation exhibited that the introduction of polar and electron-withdrawing substituents to TEMPO was able to enhance the rate capability and cycling stability, when compared to those with the neat TEMPO. Extensive analysis of the electrochemical properties revealed that the electrophilic heteroatom stabilized the radical as well as alleviated the catholyte degradation. Overall, a careful selection of redox-active species demonstrates great promise in improving the current redox flow battery technology.","author":[{"dropping-particle":"","family":"Ok","given":"Byeori","non-dropping-particle":"","parse-names":false,"suffix":""},{"dropping-particle":"","family":"Na","given":"Wonjun","non-dropping-particle":"","parse-names":false,"suffix":""},{"dropping-particle":"","family":"Kwon","given":"Tae Hoon","non-dropping-particle":"","parse-names":false,"suffix":""},{"dropping-particle":"","family":"Kwon","given":"Young Wan","non-dropping-particle":"","parse-names":false,"suffix":""},{"dropping-particle":"","family":"Cho","given":"Sangho","non-dropping-particle":"","parse-names":false,"suffix":""},{"dropping-particle":"","family":"Hong","given":"Soon Man","non-dropping-particle":"","parse-names":false,"suffix":""},{"dropping-particle":"","family":"Lee","given":"Albert S.","non-dropping-particle":"","parse-names":false,"suffix":""},{"dropping-particle":"","family":"Lee","given":"Jin Hong","non-dropping-particle":"","parse-names":false,"suffix":""},{"dropping-particle":"","family":"Koo","given":"Chong Min","non-dropping-particle":"","parse-names":false,"suffix":""}],"container-title":"Journal of Industrial and Engineering Chemistry","id":"ITEM-1","issued":{"date-parts":[["2019"]]},"page":"545-550","publisher":"The Korean Society of Industrial and Engineering Chemistry","title":"Understanding the enhanced electrochemical performance of TEMPO derivatives in non-aqueous lithium ion redox flow batteries","type":"article-journal","volume":"80"},"uris":["http://www.mendeley.com/documents/?uuid=897187ab-096d-49fd-a87e-b4080e8e2e19"]},{"id":"ITEM-2","itemData":{"DOI":"10.1002/adma.201403746","ISSN":"15214095","abstract":"(Figure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Materials","id":"ITEM-2","issue":"45","issued":{"date-parts":[["2014"]]},"page":"7649-7653","title":"TEMPO-based catholyte for high-energy density nonaqueous redox flow batteries","type":"article-journal","volume":"26"},"uris":["http://www.mendeley.com/documents/?uuid=17e82180-a534-4d54-a24d-2c09af0923cd"]}],"mendeley":{"formattedCitation":"&lt;sup&gt;9,11&lt;/sup&gt;","plainTextFormattedCitation":"9,11","previouslyFormattedCitation":"&lt;sup&gt;9,11&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9,11</w:t>
      </w:r>
      <w:r w:rsidRPr="00CB6923">
        <w:rPr>
          <w:rFonts w:ascii="Times New Roman" w:hAnsi="Times New Roman"/>
          <w:szCs w:val="24"/>
        </w:rPr>
        <w:fldChar w:fldCharType="end"/>
      </w:r>
      <w:r w:rsidRPr="00CB6923">
        <w:rPr>
          <w:rFonts w:ascii="Times New Roman" w:hAnsi="Times New Roman"/>
          <w:szCs w:val="24"/>
        </w:rPr>
        <w:t xml:space="preserve"> </w:t>
      </w:r>
      <w:r w:rsidR="00671F46" w:rsidRPr="00CB6923">
        <w:rPr>
          <w:rFonts w:ascii="Times New Roman" w:hAnsi="Times New Roman"/>
          <w:szCs w:val="24"/>
        </w:rPr>
        <w:t xml:space="preserve">Of relevance to this work, </w:t>
      </w:r>
      <w:r w:rsidR="00245153" w:rsidRPr="00CB6923">
        <w:rPr>
          <w:rFonts w:ascii="Times New Roman" w:hAnsi="Times New Roman"/>
          <w:szCs w:val="24"/>
        </w:rPr>
        <w:t>the hybrid flow design has been applied</w:t>
      </w:r>
      <w:r w:rsidR="009A47FC" w:rsidRPr="00CB6923">
        <w:rPr>
          <w:rFonts w:ascii="Times New Roman" w:hAnsi="Times New Roman"/>
          <w:szCs w:val="24"/>
        </w:rPr>
        <w:t xml:space="preserve"> to</w:t>
      </w:r>
      <w:r w:rsidR="00245153" w:rsidRPr="00CB6923">
        <w:rPr>
          <w:rFonts w:ascii="Times New Roman" w:hAnsi="Times New Roman"/>
          <w:szCs w:val="24"/>
        </w:rPr>
        <w:t xml:space="preserve"> LABs,</w:t>
      </w:r>
      <w:r w:rsidR="00245153" w:rsidRPr="00CB6923">
        <w:rPr>
          <w:rFonts w:ascii="Times New Roman" w:hAnsi="Times New Roman"/>
          <w:szCs w:val="24"/>
        </w:rPr>
        <w:fldChar w:fldCharType="begin" w:fldLock="1"/>
      </w:r>
      <w:r w:rsidR="009C4068" w:rsidRPr="00CB6923">
        <w:rPr>
          <w:rFonts w:ascii="Times New Roman" w:hAnsi="Times New Roman"/>
          <w:szCs w:val="24"/>
        </w:rPr>
        <w:instrText>ADDIN CSL_CITATION {"citationItems":[{"id":"ITEM-1","itemData":{"DOI":"10.1016/j.electacta.2015.06.071","ISSN":"00134686","abstract":"A two-dimensional model is developed for an aprotic lithium oxygen (Li-O&lt;inf&gt;2&lt;/inf&gt;) flow battery, in which the organic electrolyte is recirculated through the cathode to enhance oxygen supply. The conventional Li-O&lt;inf&gt;2&lt;/inf&gt; battery model is extended to incorporate convection effects. In contrast to the classic flow battery models, the pore structure change caused by the insoluble discharge product of Li-O&lt;inf&gt;2&lt;/inf&gt; batteries is considered. A parametric study is performed to study the influence of model parameters on cathode specific capacity. Results show that contrary to conventional Li-O&lt;inf&gt;2&lt;/inf&gt; cells, electrolyte with a lower conductivity would increase the specific capacity of the Li-O&lt;inf&gt;2&lt;/inf&gt; flow cell. The results also reveal those parameters that are influential to battery capacity. Based on the analysis, two methods, dual layer cathode and alternating electrolyte flow, are proposed to enhance battery capacity. The dual layer cathode has 105% higher capacity than a single layer cathode at the current density of 1.5 mA cm&lt;sup&gt;-2&lt;/sup&gt;. Alternating electrolyte flow can increase the cathode capacity by 3.7% at the current density of 0.2 mA cm&lt;sup&gt;-2&lt;/sup&gt;.","author":[{"dropping-particle":"","family":"Huang","given":"Jing","non-dropping-particle":"","parse-names":false,"suffix":""},{"dropping-particle":"","family":"Faghri","given":"Amir","non-dropping-particle":"","parse-names":false,"suffix":""}],"container-title":"Electrochimica Acta","id":"ITEM-1","issued":{"date-parts":[["2015"]]},"page":"908-918","publisher":"Elsevier Ltd","title":"Capacity Enhancement of a Lithium Oxygen Flow Battery","type":"article-journal","volume":"174"},"uris":["http://www.mendeley.com/documents/?uuid=ee9f353d-613b-46a6-beca-ecfbe6d3823a"]}],"mendeley":{"formattedCitation":"&lt;sup&gt;12&lt;/sup&gt;","plainTextFormattedCitation":"12","previouslyFormattedCitation":"&lt;sup&gt;12&lt;/sup&gt;"},"properties":{"noteIndex":0},"schema":"https://github.com/citation-style-language/schema/raw/master/csl-citation.json"}</w:instrText>
      </w:r>
      <w:r w:rsidR="00245153" w:rsidRPr="00CB6923">
        <w:rPr>
          <w:rFonts w:ascii="Times New Roman" w:hAnsi="Times New Roman"/>
          <w:szCs w:val="24"/>
        </w:rPr>
        <w:fldChar w:fldCharType="separate"/>
      </w:r>
      <w:r w:rsidR="009C4068" w:rsidRPr="00CB6923">
        <w:rPr>
          <w:rFonts w:ascii="Times New Roman" w:hAnsi="Times New Roman"/>
          <w:noProof/>
          <w:szCs w:val="24"/>
          <w:vertAlign w:val="superscript"/>
        </w:rPr>
        <w:t>12</w:t>
      </w:r>
      <w:r w:rsidR="00245153" w:rsidRPr="00CB6923">
        <w:rPr>
          <w:rFonts w:ascii="Times New Roman" w:hAnsi="Times New Roman"/>
          <w:szCs w:val="24"/>
        </w:rPr>
        <w:fldChar w:fldCharType="end"/>
      </w:r>
      <w:r w:rsidR="00245153" w:rsidRPr="00CB6923">
        <w:rPr>
          <w:rFonts w:ascii="Times New Roman" w:hAnsi="Times New Roman"/>
          <w:szCs w:val="24"/>
        </w:rPr>
        <w:t xml:space="preserve"> and </w:t>
      </w:r>
      <w:r w:rsidR="00671F46" w:rsidRPr="00CB6923">
        <w:rPr>
          <w:rFonts w:ascii="Times New Roman" w:hAnsi="Times New Roman"/>
          <w:szCs w:val="24"/>
        </w:rPr>
        <w:t xml:space="preserve">many of the molecules </w:t>
      </w:r>
      <w:r w:rsidR="00B87CAA" w:rsidRPr="00CB6923">
        <w:rPr>
          <w:rFonts w:ascii="Times New Roman" w:hAnsi="Times New Roman"/>
          <w:szCs w:val="24"/>
        </w:rPr>
        <w:t>(</w:t>
      </w:r>
      <w:r w:rsidR="00671F46" w:rsidRPr="00CB6923">
        <w:rPr>
          <w:rFonts w:ascii="Times New Roman" w:hAnsi="Times New Roman"/>
          <w:szCs w:val="24"/>
        </w:rPr>
        <w:t>or ions</w:t>
      </w:r>
      <w:r w:rsidR="00B87CAA" w:rsidRPr="00CB6923">
        <w:rPr>
          <w:rFonts w:ascii="Times New Roman" w:hAnsi="Times New Roman"/>
          <w:szCs w:val="24"/>
        </w:rPr>
        <w:t xml:space="preserve">) </w:t>
      </w:r>
      <w:r w:rsidR="00617F51" w:rsidRPr="00CB6923">
        <w:rPr>
          <w:rFonts w:ascii="Times New Roman" w:hAnsi="Times New Roman"/>
          <w:szCs w:val="24"/>
        </w:rPr>
        <w:t>and</w:t>
      </w:r>
      <w:r w:rsidR="00671F46" w:rsidRPr="00CB6923">
        <w:rPr>
          <w:rFonts w:ascii="Times New Roman" w:hAnsi="Times New Roman"/>
          <w:szCs w:val="24"/>
        </w:rPr>
        <w:t xml:space="preserve"> their derivatives proposed as </w:t>
      </w:r>
      <w:r w:rsidR="009A407F" w:rsidRPr="00CB6923">
        <w:rPr>
          <w:rFonts w:ascii="Times New Roman" w:hAnsi="Times New Roman"/>
          <w:szCs w:val="24"/>
        </w:rPr>
        <w:t>RMs</w:t>
      </w:r>
      <w:r w:rsidR="00671F46" w:rsidRPr="00CB6923">
        <w:rPr>
          <w:rFonts w:ascii="Times New Roman" w:hAnsi="Times New Roman"/>
          <w:szCs w:val="24"/>
        </w:rPr>
        <w:t xml:space="preserve"> in LABs have also been considered as redox active molecules (catholytes or anolytes) in RFBs.</w:t>
      </w:r>
      <w:r w:rsidR="00245153" w:rsidRPr="00CB6923">
        <w:rPr>
          <w:rFonts w:ascii="Times New Roman" w:hAnsi="Times New Roman"/>
          <w:szCs w:val="24"/>
        </w:rPr>
        <w:fldChar w:fldCharType="begin" w:fldLock="1"/>
      </w:r>
      <w:r w:rsidR="009C4068" w:rsidRPr="00CB6923">
        <w:rPr>
          <w:rFonts w:ascii="Times New Roman" w:hAnsi="Times New Roman"/>
          <w:szCs w:val="24"/>
        </w:rPr>
        <w:instrText>ADDIN CSL_CITATION {"citationItems":[{"id":"ITEM-1","itemData":{"author":[{"dropping-particle":"","family":"Zhu","given":"Yun Guang","non-dropping-particle":"","parse-names":false,"suffix":""},{"dropping-particle":"","family":"Wang","given":"Xingzhu","non-dropping-particle":"","parse-names":false,"suffix":""},{"dropping-particle":"","family":"Jia","given":"Chuankun","non-dropping-particle":"","parse-names":false,"suffix":""},{"dropping-particle":"","family":"Yang","given":"Jing","non-dropping-particle":"","parse-names":false,"suffix":""},{"dropping-particle":"","family":"Wang","given":"Qing","non-dropping-particle":"","parse-names":false,"suffix":""}],"container-title":"ACS Catalysis","id":"ITEM-1","issued":{"date-parts":[["2016"]]},"page":"6191-6197","title":"Redox-Mediated ORR and OER Reactions: Redox Flow Lithium Oxygen Batteres Enabled with a Pair of Soluble Redox Catalysts","type":"article-journal","volume":"6"},"uris":["http://www.mendeley.com/documents/?uuid=2640e80f-6f48-4d48-ba59-6dad526a3f51"]}],"mendeley":{"formattedCitation":"&lt;sup&gt;13&lt;/sup&gt;","plainTextFormattedCitation":"13","previouslyFormattedCitation":"&lt;sup&gt;13&lt;/sup&gt;"},"properties":{"noteIndex":0},"schema":"https://github.com/citation-style-language/schema/raw/master/csl-citation.json"}</w:instrText>
      </w:r>
      <w:r w:rsidR="00245153" w:rsidRPr="00CB6923">
        <w:rPr>
          <w:rFonts w:ascii="Times New Roman" w:hAnsi="Times New Roman"/>
          <w:szCs w:val="24"/>
        </w:rPr>
        <w:fldChar w:fldCharType="separate"/>
      </w:r>
      <w:r w:rsidR="009C4068" w:rsidRPr="00CB6923">
        <w:rPr>
          <w:rFonts w:ascii="Times New Roman" w:hAnsi="Times New Roman"/>
          <w:noProof/>
          <w:szCs w:val="24"/>
          <w:vertAlign w:val="superscript"/>
        </w:rPr>
        <w:t>13</w:t>
      </w:r>
      <w:r w:rsidR="00245153" w:rsidRPr="00CB6923">
        <w:rPr>
          <w:rFonts w:ascii="Times New Roman" w:hAnsi="Times New Roman"/>
          <w:szCs w:val="24"/>
        </w:rPr>
        <w:fldChar w:fldCharType="end"/>
      </w:r>
      <w:r w:rsidR="00671F46" w:rsidRPr="00CB6923">
        <w:rPr>
          <w:rFonts w:ascii="Times New Roman" w:hAnsi="Times New Roman"/>
          <w:szCs w:val="24"/>
        </w:rPr>
        <w:t xml:space="preserve"> For example, TEMPO can be employed as the catholyte charge carrying species in aqueous and </w:t>
      </w:r>
      <w:r w:rsidR="00CC2241" w:rsidRPr="00CB6923">
        <w:rPr>
          <w:rFonts w:ascii="Times New Roman" w:hAnsi="Times New Roman"/>
          <w:szCs w:val="24"/>
        </w:rPr>
        <w:t>non-aqueous</w:t>
      </w:r>
      <w:r w:rsidR="00671F46" w:rsidRPr="00CB6923">
        <w:rPr>
          <w:rFonts w:ascii="Times New Roman" w:hAnsi="Times New Roman"/>
          <w:szCs w:val="24"/>
        </w:rPr>
        <w:t xml:space="preserve"> RFBs and hybrid flow batteries.</w:t>
      </w:r>
      <w:r w:rsidR="00671F46" w:rsidRPr="00CB6923">
        <w:rPr>
          <w:rFonts w:ascii="Times New Roman" w:hAnsi="Times New Roman"/>
          <w:szCs w:val="24"/>
        </w:rPr>
        <w:fldChar w:fldCharType="begin" w:fldLock="1"/>
      </w:r>
      <w:r w:rsidR="009C4068" w:rsidRPr="00CB6923">
        <w:rPr>
          <w:rFonts w:ascii="Times New Roman" w:hAnsi="Times New Roman"/>
          <w:szCs w:val="24"/>
        </w:rPr>
        <w:instrText>ADDIN CSL_CITATION {"citationItems":[{"id":"ITEM-1","itemData":{"DOI":"10.1016/j.chempr.2019.04.021","ISSN":"24519294","abstract":"With the rapidly falling cost of photovoltaic and wind energy generation, grid-scale integration of renewable energy becomes inevitable. This, however, is impeded by the intrinsic intermittency of these renewable energy resources. Safe, cost-effective storage could solve this problem. Aqueous organic redox flow batteries (AORFBs), which store energy externally in low-cost electroactive water-soluble organic molecules, have emerged as promising for this application. Current AORFBs are limited by short lifetimes and the limited choices for redox-active material for the positive electrolyte. We report a long-lifetime TMAP-TEMPO/BTMAP-Vi all-organic aqueous flow battery, the capacity retention rate of which is among the highest of all-organic AORFBs. We discuss the potential cause of the stabilization of the free radical posolyte molecule. The results we report here constitute an important step toward massive-scale intermittent renewable energy penetration into the future electric grid.","author":[{"dropping-particle":"","family":"Liu","given":"Yahua","non-dropping-particle":"","parse-names":false,"suffix":""},{"dropping-particle":"","family":"Goulet","given":"Marc Antoni","non-dropping-particle":"","parse-names":false,"suffix":""},{"dropping-particle":"","family":"Tong","given":"Liuchuan","non-dropping-particle":"","parse-names":false,"suffix":""},{"dropping-particle":"","family":"Liu","given":"Yazhi","non-dropping-particle":"","parse-names":false,"suffix":""},{"dropping-particle":"","family":"Ji","given":"Yunlong","non-dropping-particle":"","parse-names":false,"suffix":""},{"dropping-particle":"","family":"Wu","given":"Liang","non-dropping-particle":"","parse-names":false,"suffix":""},{"dropping-particle":"","family":"Gordon","given":"Roy G.","non-dropping-particle":"","parse-names":false,"suffix":""},{"dropping-particle":"","family":"Aziz","given":"Michael J.","non-dropping-particle":"","parse-names":false,"suffix":""},{"dropping-particle":"","family":"Yang","given":"Zhengjin","non-dropping-particle":"","parse-names":false,"suffix":""},{"dropping-particle":"","family":"Xu","given":"Tongwen","non-dropping-particle":"","parse-names":false,"suffix":""}],"container-title":"Chem","id":"ITEM-1","issue":"7","issued":{"date-parts":[["2019"]]},"page":"1861-1870","publisher":"Elsevier Inc.","title":"A Long-Lifetime All-Organic Aqueous Flow Battery Utilizing TMAP-TEMPO Radical","type":"article-journal","volume":"5"},"uris":["http://www.mendeley.com/documents/?uuid=864f529a-e4b2-4c68-a3c7-e6bd1bd04f09"]},{"id":"ITEM-2","itemData":{"DOI":"10.1149/2.012112esl","ISSN":"10990062","abstract":"A novel all-organic redox flow battery employing 2,2,6,6-tetramethyl-1- piperidinyloxyNaClO 4acetonitrile and N-Methyl- phthalimideNaClO 4acetonitrile as catholyte and anolyte, respectively, is investigated by electrochemical measurements. The quasi-reversible and stable redox reactions are tested by cycle voltammetry. The diffusion coefficient of 0.02 M 2,2,6,6-tetramethyl-1-piperidinyloxy and 0.02 M N-Methylphthalimide in the supporting electrolyte are all in the range of 0.7-1.1 × 10 -5 cm 2s -1 at room temperature. Stable charge-discharge curves and high coulombic efficiency (90) for the first 20 cycles are obtained through charge-discharge test. © 2011 The Electrochemical Society.","author":[{"dropping-particle":"","family":"Li","given":"Zhen","non-dropping-particle":"","parse-names":false,"suffix":""},{"dropping-particle":"","family":"Li","given":"Sha","non-dropping-particle":"","parse-names":false,"suffix":""},{"dropping-particle":"","family":"Liu","given":"Suqin","non-dropping-particle":"","parse-names":false,"suffix":""},{"dropping-particle":"","family":"Huang","given":"Kelong","non-dropping-particle":"","parse-names":false,"suffix":""},{"dropping-particle":"","family":"Fang","given":"Dong","non-dropping-particle":"","parse-names":false,"suffix":""},{"dropping-particle":"","family":"Wang","given":"Fengchao","non-dropping-particle":"","parse-names":false,"suffix":""},{"dropping-particle":"","family":"Peng","given":"Sui","non-dropping-particle":"","parse-names":false,"suffix":""}],"container-title":"Electrochemical and Solid-State Letters","id":"ITEM-2","issue":"12","issued":{"date-parts":[["2011"]]},"page":"171-174","title":"Electrochemical properties of an all-organic redox flow battery using 2,2,6,6-tetramethyl-1-piperidinyloxy and N-Methylphthalimide","type":"article-journal","volume":"14"},"uris":["http://www.mendeley.com/documents/?uuid=8812ce62-873d-4e2e-a97c-affc57e31cdb"]},{"id":"ITEM-3","itemData":{"DOI":"10.1016/j.jiec.2019.08.027","ISSN":"22345957","abstract":"Non-aqueous lithium-ion redox flow batteries (Li-RFBs) have recently garnered much interest because of their high operating voltage and energy density. Albeit these outstanding advantages, challenges, such as poor cyclability and efficiency, still remain in employing the practical application. In an attempt to address these problems, a series of 2,2,6,6-tetramethylpiperidine 1-oxyl (TEMPO) and TEMPO derivatives catholytes were prepared and investigated as redox-active materials. Electrochemical evaluation exhibited that the introduction of polar and electron-withdrawing substituents to TEMPO was able to enhance the rate capability and cycling stability, when compared to those with the neat TEMPO. Extensive analysis of the electrochemical properties revealed that the electrophilic heteroatom stabilized the radical as well as alleviated the catholyte degradation. Overall, a careful selection of redox-active species demonstrates great promise in improving the current redox flow battery technology.","author":[{"dropping-particle":"","family":"Ok","given":"Byeori","non-dropping-particle":"","parse-names":false,"suffix":""},{"dropping-particle":"","family":"Na","given":"Wonjun","non-dropping-particle":"","parse-names":false,"suffix":""},{"dropping-particle":"","family":"Kwon","given":"Tae Hoon","non-dropping-particle":"","parse-names":false,"suffix":""},{"dropping-particle":"","family":"Kwon","given":"Young Wan","non-dropping-particle":"","parse-names":false,"suffix":""},{"dropping-particle":"","family":"Cho","given":"Sangho","non-dropping-particle":"","parse-names":false,"suffix":""},{"dropping-particle":"","family":"Hong","given":"Soon Man","non-dropping-particle":"","parse-names":false,"suffix":""},{"dropping-particle":"","family":"Lee","given":"Albert S.","non-dropping-particle":"","parse-names":false,"suffix":""},{"dropping-particle":"","family":"Lee","given":"Jin Hong","non-dropping-particle":"","parse-names":false,"suffix":""},{"dropping-particle":"","family":"Koo","given":"Chong Min","non-dropping-particle":"","parse-names":false,"suffix":""}],"container-title":"Journal of Industrial and Engineering Chemistry","id":"ITEM-3","issued":{"date-parts":[["2019"]]},"page":"545-550","publisher":"The Korean Society of Industrial and Engineering Chemistry","title":"Understanding the enhanced electrochemical performance of TEMPO derivatives in non-aqueous lithium ion redox flow batteries","type":"article-journal","volume":"80"},"uris":["http://www.mendeley.com/documents/?uuid=897187ab-096d-49fd-a87e-b4080e8e2e19"]}],"mendeley":{"formattedCitation":"&lt;sup&gt;8,11,14&lt;/sup&gt;","plainTextFormattedCitation":"8,11,14","previouslyFormattedCitation":"&lt;sup&gt;8,11,14&lt;/sup&gt;"},"properties":{"noteIndex":0},"schema":"https://github.com/citation-style-language/schema/raw/master/csl-citation.json"}</w:instrText>
      </w:r>
      <w:r w:rsidR="00671F46" w:rsidRPr="00CB6923">
        <w:rPr>
          <w:rFonts w:ascii="Times New Roman" w:hAnsi="Times New Roman"/>
          <w:szCs w:val="24"/>
        </w:rPr>
        <w:fldChar w:fldCharType="separate"/>
      </w:r>
      <w:r w:rsidR="009C4068" w:rsidRPr="00CB6923">
        <w:rPr>
          <w:rFonts w:ascii="Times New Roman" w:hAnsi="Times New Roman"/>
          <w:noProof/>
          <w:szCs w:val="24"/>
          <w:vertAlign w:val="superscript"/>
        </w:rPr>
        <w:t>8,11,14</w:t>
      </w:r>
      <w:r w:rsidR="00671F46" w:rsidRPr="00CB6923">
        <w:rPr>
          <w:rFonts w:ascii="Times New Roman" w:hAnsi="Times New Roman"/>
          <w:szCs w:val="24"/>
        </w:rPr>
        <w:fldChar w:fldCharType="end"/>
      </w:r>
    </w:p>
    <w:p w14:paraId="589C9BCF" w14:textId="4D942283" w:rsidR="00CB27AA" w:rsidRPr="00CB6923" w:rsidRDefault="00E46249" w:rsidP="00CB27AA">
      <w:pPr>
        <w:pStyle w:val="TAMainText"/>
        <w:spacing w:after="240"/>
        <w:ind w:firstLine="720"/>
        <w:jc w:val="left"/>
        <w:rPr>
          <w:rFonts w:ascii="Times New Roman" w:hAnsi="Times New Roman"/>
          <w:szCs w:val="24"/>
        </w:rPr>
      </w:pPr>
      <w:bookmarkStart w:id="1" w:name="_Hlk88049660"/>
      <w:r w:rsidRPr="00CB6923">
        <w:rPr>
          <w:rFonts w:ascii="Times New Roman" w:hAnsi="Times New Roman"/>
          <w:szCs w:val="24"/>
        </w:rPr>
        <w:t>In both RFBs and LABs, mass transport of redox active species is crucial to rate capabilities and overall performance,</w:t>
      </w:r>
      <w:r w:rsidR="008C2182" w:rsidRPr="00CB6923">
        <w:rPr>
          <w:rFonts w:ascii="Times New Roman" w:hAnsi="Times New Roman"/>
          <w:szCs w:val="24"/>
        </w:rPr>
        <w:t xml:space="preserve"> as shown experimentally and computationally.</w:t>
      </w:r>
      <w:r w:rsidR="00551A3E" w:rsidRPr="00CB6923">
        <w:fldChar w:fldCharType="begin" w:fldLock="1"/>
      </w:r>
      <w:r w:rsidR="00B60A05" w:rsidRPr="00CB6923">
        <w:instrText>ADDIN CSL_CITATION {"citationItems":[{"id":"ITEM-1","itemData":{"DOI":"10.1016/j.electacta.2015.06.071","ISSN":"00134686","abstract":"A two-dimensional model is developed for an aprotic lithium oxygen (Li-O&lt;inf&gt;2&lt;/inf&gt;) flow battery, in which the organic electrolyte is recirculated through the cathode to enhance oxygen supply. The conventional Li-O&lt;inf&gt;2&lt;/inf&gt; battery model is extended to incorporate convection effects. In contrast to the classic flow battery models, the pore structure change caused by the insoluble discharge product of Li-O&lt;inf&gt;2&lt;/inf&gt; batteries is considered. A parametric study is performed to study the influence of model parameters on cathode specific capacity. Results show that contrary to conventional Li-O&lt;inf&gt;2&lt;/inf&gt; cells, electrolyte with a lower conductivity would increase the specific capacity of the Li-O&lt;inf&gt;2&lt;/inf&gt; flow cell. The results also reveal those parameters that are influential to battery capacity. Based on the analysis, two methods, dual layer cathode and alternating electrolyte flow, are proposed to enhance battery capacity. The dual layer cathode has 105% higher capacity than a single layer cathode at the current density of 1.5 mA cm&lt;sup&gt;-2&lt;/sup&gt;. Alternating electrolyte flow can increase the cathode capacity by 3.7% at the current density of 0.2 mA cm&lt;sup&gt;-2&lt;/sup&gt;.","author":[{"dropping-particle":"","family":"Huang","given":"Jing","non-dropping-particle":"","parse-names":false,"suffix":""},{"dropping-particle":"","family":"Faghri","given":"Amir","non-dropping-particle":"","parse-names":false,"suffix":""}],"container-title":"Electrochimica Acta","id":"ITEM-1","issued":{"date-parts":[["2015"]]},"page":"908-918","publisher":"Elsevier Ltd","title":"Capacity Enhancement of a Lithium Oxygen Flow Battery","type":"article-journal","volume":"174"},"uris":["http://www.mendeley.com/documents/?uuid=ee9f353d-613b-46a6-beca-ecfbe6d3823a"]},{"id":"ITEM-2","itemData":{"DOI":"10.1016/j.energy.2014.12.062","ISSN":"03605442","abstract":"In this study, a new organic lithium oxygen (Li-O2) battery structure is proposed to enhance battery capacity. The electrolyte is forced to recirculate through the cathode and then saturated with oxygen in a tank external to the battery. The forced convection enhances oxygen transport and alleviates the problem of electrode blockage during discharge. A two dimensional, transient, non-isothermal simulation model is developed to study the heat and mass transfer within the battery and validate the proposed design. Results show that this novel active cathode design improves the battery capacity at all discharge current densities. The capacity of the Li-O2 battery is increased by 15.5 times (from 12.2mAhg-1 to 201mAhg-1) at the discharge current of 2.0mAcm-2 when a conventional passive electrode is replaced by the newly designed active electrode. Furthermore, a cathode with non-uniform porosity is suggested and simulation results show that it can reach a higher discharge capacity without decreasing its power density. Detailed mass transport processes in the battery are also studied.","author":[{"dropping-particle":"","family":"Li","given":"Xianglin","non-dropping-particle":"","parse-names":false,"suffix":""},{"dropping-particle":"","family":"Huang","given":"Jing","non-dropping-particle":"","parse-names":false,"suffix":""},{"dropping-particle":"","family":"Faghri","given":"Amir","non-dropping-particle":"","parse-names":false,"suffix":""}],"container-title":"Energy","id":"ITEM-2","issued":{"date-parts":[["2015"]]},"page":"489-500","publisher":"Elsevier","title":"Modeling study of a Li-O2 battery with an active cathode","type":"article-journal","volume":"81"},"uris":["http://www.mendeley.com/documents/?uuid=755e9f3f-6470-49e0-9934-1e7947cf4b71"]},{"id":"ITEM-3","itemData":{"DOI":"10.1149/1.1606454","ISSN":"00134651","abstract":"The oxygen transport properties of several organic electrolytes were characterized through measurements of oxygen solubility and electrolyte viscosity. Oxygen diffusion coefficients were calculated from electrolyte viscosities using the Stokes-Einstein relation. Oxygen solubility, electrolyte viscosity, and oxygen partial pressure were all directly correlated to discharge capacity and rate capability. Substantial improvement in cell performance was achieved through electrolyte optimization and increased oxygen partial pressure. The concentration of oxygen in the electrode under discharge was calculated using a semi-infinite medium model with simultaneous diffusion and reaction. The model was used to explain the dependence of cell performance on oxygen transport in organic electrolyte. © 2003 The Electrochemical Society. All rights reserved.","author":[{"dropping-particle":"","family":"Read","given":"J.","non-dropping-particle":"","parse-names":false,"suffix":""},{"dropping-particle":"","family":"Mutolo","given":"K.","non-dropping-particle":"","parse-names":false,"suffix":""},{"dropping-particle":"","family":"Ervin","given":"M.","non-dropping-particle":"","parse-names":false,"suffix":""},{"dropping-particle":"","family":"Behl","given":"W.","non-dropping-particle":"","parse-names":false,"suffix":""},{"dropping-particle":"","family":"Wolfenstine","given":"J.","non-dropping-particle":"","parse-names":false,"suffix":""},{"dropping-particle":"","family":"Driedger","given":"A.","non-dropping-particle":"","parse-names":false,"suffix":""},{"dropping-particle":"","family":"Foster","given":"D.","non-dropping-particle":"","parse-names":false,"suffix":""}],"container-title":"Journal of The Electrochemical Society","id":"ITEM-3","issue":"10","issued":{"date-parts":[["2003"]]},"page":"A1351","title":"Oxygen Transport Properties of Organic Electrolytes and Performance of Lithium/Oxygen Battery","type":"article-journal","volume":"150"},"uris":["http://www.mendeley.com/documents/?uuid=85c90d49-b1c4-4bbf-a4a6-90bdebc71d4a"]},{"id":"ITEM-4","itemData":{"author":[{"dropping-particle":"","family":"Schurmann","given":"A.","non-dropping-particle":"","parse-names":false,"suffix":""},{"dropping-particle":"","family":"Haas","given":"R.","non-dropping-particle":"","parse-names":false,"suffix":""},{"dropping-particle":"","family":"Murat","given":"M.","non-dropping-particle":"","parse-names":false,"suffix":""},{"dropping-particle":"","family":"Kuritz","given":"N.","non-dropping-particle":"","parse-names":false,"suffix":""},{"dropping-particle":"","family":"Balaish","given":"M.","non-dropping-particle":"","parse-names":false,"suffix":""},{"dropping-particle":"","family":"Ein-Eli","given":"Y.","non-dropping-particle":"","parse-names":false,"suffix":""},{"dropping-particle":"","family":"Janek","given":"J.","non-dropping-particle":"","parse-names":false,"suffix":""},{"dropping-particle":"","family":"Natan","given":"A.","non-dropping-particle":"","parse-names":false,"suffix":""},{"dropping-particle":"","family":"Schroder","given":"D.","non-dropping-particle":"","parse-names":false,"suffix":""}],"container-title":"Journal of The Electrochemical Society","id":"ITEM-4","issue":"13","issued":{"date-parts":[["2018"]]},"page":"A3095-A3099","title":"Diffusivity and Solubility of Oxygen in Solvents for Metal/Oxygen Batteries: A Combined Theoretical and Experimental Study","type":"article-journal","volume":"165"},"uris":["http://www.mendeley.com/documents/?uuid=c8d34f17-2b20-40dd-8dc1-ce68d7bdfd66"]},{"id":"ITEM-5","itemData":{"author":[{"dropping-particle":"","family":"Gittleson","given":"F.S.","non-dropping-particle":"","parse-names":false,"suffix":""},{"dropping-particle":"","family":"Jones","given":"R.E.","non-dropping-particle":"","parse-names":false,"suffix":""},{"dropping-particle":"","family":"Ward","given":"D.K.","non-dropping-particle":"","parse-names":false,"suffix":""},{"dropping-particle":"","family":"Foster","given":"M.E.","non-dropping-particle":"","parse-names":false,"suffix":""}],"container-title":"Energy &amp; Environmental Science","id":"ITEM-5","issued":{"date-parts":[["2017"]]},"page":"1167-1179","title":"Oxygen solubility and transport in Li-air battery electrolytes: establishing criteria and strategies for electrolyte design","type":"article-journal","volume":"10"},"uris":["http://www.mendeley.com/documents/?uuid=5387a62b-1c1d-4452-b0f7-209cb912bc8c"]}],"mendeley":{"formattedCitation":"&lt;sup&gt;12,15–18&lt;/sup&gt;","plainTextFormattedCitation":"12,15–18","previouslyFormattedCitation":"&lt;sup&gt;12,15–18&lt;/sup&gt;"},"properties":{"noteIndex":0},"schema":"https://github.com/citation-style-language/schema/raw/master/csl-citation.json"}</w:instrText>
      </w:r>
      <w:r w:rsidR="00551A3E" w:rsidRPr="00CB6923">
        <w:fldChar w:fldCharType="separate"/>
      </w:r>
      <w:r w:rsidR="00592AF7" w:rsidRPr="00CB6923">
        <w:rPr>
          <w:noProof/>
          <w:vertAlign w:val="superscript"/>
        </w:rPr>
        <w:t>12,15–18</w:t>
      </w:r>
      <w:r w:rsidR="00551A3E" w:rsidRPr="00CB6923">
        <w:fldChar w:fldCharType="end"/>
      </w:r>
      <w:r w:rsidRPr="00CB6923">
        <w:rPr>
          <w:rFonts w:ascii="Times New Roman" w:hAnsi="Times New Roman"/>
          <w:szCs w:val="24"/>
        </w:rPr>
        <w:t xml:space="preserve"> </w:t>
      </w:r>
      <w:r w:rsidR="001B7D28" w:rsidRPr="00CB6923">
        <w:rPr>
          <w:rFonts w:ascii="Times New Roman" w:hAnsi="Times New Roman"/>
          <w:szCs w:val="24"/>
        </w:rPr>
        <w:t xml:space="preserve">One </w:t>
      </w:r>
      <w:r w:rsidR="00CB27AA" w:rsidRPr="00CB6923">
        <w:rPr>
          <w:rFonts w:ascii="Times New Roman" w:hAnsi="Times New Roman"/>
          <w:szCs w:val="24"/>
        </w:rPr>
        <w:t xml:space="preserve">problem </w:t>
      </w:r>
      <w:r w:rsidR="00D02CC6" w:rsidRPr="00CB6923">
        <w:rPr>
          <w:rFonts w:ascii="Times New Roman" w:hAnsi="Times New Roman"/>
          <w:szCs w:val="24"/>
        </w:rPr>
        <w:t>in these systems</w:t>
      </w:r>
      <w:r w:rsidR="001B7D28" w:rsidRPr="00CB6923">
        <w:rPr>
          <w:rFonts w:ascii="Times New Roman" w:hAnsi="Times New Roman"/>
          <w:szCs w:val="24"/>
        </w:rPr>
        <w:t xml:space="preserve">, however, is that the mobility of the redox active species also leads to </w:t>
      </w:r>
      <w:r w:rsidR="00CB27AA" w:rsidRPr="00CB6923">
        <w:rPr>
          <w:rFonts w:ascii="Times New Roman" w:hAnsi="Times New Roman"/>
          <w:szCs w:val="24"/>
        </w:rPr>
        <w:t>crossover from anode to cathode or vice versa</w:t>
      </w:r>
      <w:r w:rsidR="00EB1A93" w:rsidRPr="00CB6923">
        <w:rPr>
          <w:rFonts w:ascii="Times New Roman" w:hAnsi="Times New Roman"/>
          <w:szCs w:val="24"/>
        </w:rPr>
        <w:t xml:space="preserve">, and the </w:t>
      </w:r>
      <w:r w:rsidR="001C6B07" w:rsidRPr="00CB6923">
        <w:t>effect of mass transport on</w:t>
      </w:r>
      <w:r w:rsidR="00FA7908" w:rsidRPr="00CB6923">
        <w:t xml:space="preserve"> this</w:t>
      </w:r>
      <w:r w:rsidR="001C6B07" w:rsidRPr="00CB6923">
        <w:t xml:space="preserve"> crossover is </w:t>
      </w:r>
      <w:r w:rsidR="00FA7908" w:rsidRPr="00CB6923">
        <w:t xml:space="preserve">rarely </w:t>
      </w:r>
      <w:r w:rsidR="001C6B07" w:rsidRPr="00CB6923">
        <w:t>explicitly discussed</w:t>
      </w:r>
      <w:r w:rsidR="00CB27AA" w:rsidRPr="00CB6923">
        <w:rPr>
          <w:rFonts w:ascii="Times New Roman" w:hAnsi="Times New Roman"/>
          <w:szCs w:val="24"/>
        </w:rPr>
        <w:t>.</w:t>
      </w:r>
      <w:bookmarkEnd w:id="1"/>
      <w:r w:rsidR="00CB27AA" w:rsidRPr="00CB6923">
        <w:rPr>
          <w:rFonts w:ascii="Times New Roman" w:hAnsi="Times New Roman"/>
          <w:szCs w:val="24"/>
        </w:rPr>
        <w:t xml:space="preserve"> </w:t>
      </w:r>
      <w:r w:rsidR="006A60F5" w:rsidRPr="00CB6923">
        <w:rPr>
          <w:rFonts w:ascii="Times New Roman" w:hAnsi="Times New Roman"/>
          <w:szCs w:val="24"/>
        </w:rPr>
        <w:t xml:space="preserve">Crossover </w:t>
      </w:r>
      <w:r w:rsidR="00CB27AA" w:rsidRPr="00CB6923">
        <w:rPr>
          <w:rFonts w:ascii="Times New Roman" w:hAnsi="Times New Roman"/>
          <w:szCs w:val="24"/>
        </w:rPr>
        <w:t>create</w:t>
      </w:r>
      <w:r w:rsidR="006A60F5" w:rsidRPr="00CB6923">
        <w:rPr>
          <w:rFonts w:ascii="Times New Roman" w:hAnsi="Times New Roman"/>
          <w:szCs w:val="24"/>
        </w:rPr>
        <w:t>s</w:t>
      </w:r>
      <w:r w:rsidR="00CB27AA" w:rsidRPr="00CB6923">
        <w:rPr>
          <w:rFonts w:ascii="Times New Roman" w:hAnsi="Times New Roman"/>
          <w:szCs w:val="24"/>
        </w:rPr>
        <w:t xml:space="preserve"> major challenges by limiting the capacity </w:t>
      </w:r>
      <w:r w:rsidR="00CF1232" w:rsidRPr="00CB6923">
        <w:rPr>
          <w:rFonts w:ascii="Times New Roman" w:hAnsi="Times New Roman"/>
          <w:szCs w:val="24"/>
        </w:rPr>
        <w:t>per cycl</w:t>
      </w:r>
      <w:r w:rsidR="001B7D28" w:rsidRPr="00CB6923">
        <w:rPr>
          <w:rFonts w:ascii="Times New Roman" w:hAnsi="Times New Roman"/>
          <w:szCs w:val="24"/>
        </w:rPr>
        <w:t xml:space="preserve">e and </w:t>
      </w:r>
      <w:r w:rsidR="00CB27AA" w:rsidRPr="00CB6923">
        <w:rPr>
          <w:rFonts w:ascii="Times New Roman" w:hAnsi="Times New Roman"/>
          <w:szCs w:val="24"/>
        </w:rPr>
        <w:t>promoting self-discharge via redox shuttle mechanisms</w:t>
      </w:r>
      <w:r w:rsidR="00DB7C80" w:rsidRPr="00CB6923">
        <w:rPr>
          <w:rFonts w:ascii="Times New Roman" w:hAnsi="Times New Roman"/>
          <w:szCs w:val="24"/>
        </w:rPr>
        <w:t>.</w:t>
      </w:r>
      <w:r w:rsidR="001105D7"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{"citationItems":[{"id":"ITEM-1","itemData":{"DOI":"10.1016/j.est.2019.101109","ISSN":"2352152X","abstract":"Vanadium-redox-flow batteries (VRFB) are the most commercialized flow batteries. Many models are designed to improve several parameters and setups to increase the efficiency or decrease costs. The open circuit voltage (OCV) inside VRFB models is either modelled based on state of charge (SOC) or the vanadium ion concentrations. In both cases a form of the Nernst equation is used to approximate the OCV and feeding the Nernst equation with results from measurements or theory. Measurements to approximate the OCV at a SOC are state of the art. The theoretical input for the Nernst equation still lacks of precision and approaches to increase the precision, were studied in the last decade. Here an empirical approach shows possible improvements to link the measured OCV with the theoretical SOC. The improvements are performed by fitting mathematical functions to the differences between the theoretical and measured data with leas square. This is performed for anion exchange membranes (AEM) with great success. The mean error for the approach of Zlotorowicz et al. [1] is below 1% with a maximum error of 3%. The fitting functions is interpreted as effects influencing the energy conversion processes, like crossover, changes in material characteristics and further side reactions. Fitting the cation exchange membrane (CEM), using the same approach, proves to be more challenging. The mean error is 1.9 to 2.8% with a maximum error of 23%, which shows different approaches might improve CEM based VRFBs. The processes inside a stack with a CEM follow different processes than for AEMs and slight connection to other energy conversion systems with flow cells could be drawn. The temperature dependency shows further influences than defined in by the Nernst equation, for a VRFB. Depending on the approach the temperature shifts the OCV curve along the SOC range or changes all four fitting parameters. The results show possibilities and helps to choose from different approaches of modelling the correlation between ion concentration and SOC for AEM and CEM with temperature influences.","author":[{"dropping-particle":"","family":"Kleinsteinberg","given":"B.","non-dropping-particle":"","parse-names":false,"suffix":""},{"dropping-particle":"","family":"Klick","given":"S.","non-dropping-particle":"","parse-names":false,"suffix":""},{"dropping-particle":"","family":"Sauer","given":"Dirk Uwe","non-dropping-particle":"","parse-names":false,"suffix":""}],"container-title":"Journal of Energy Storage","id":"ITEM-1","issue":"February","issued":{"date-parts":[["2020"]]},"page":"101109","publisher":"Elsevier","title":"Empirical approach to determine open-circuit voltage of a vanadium-redox-flow battery for models, based on published data for anion-exchange and cation-exchange membranes and temperature dependency","type":"article-journal","volume":"28"},"uris":["http://www.mendeley.com/documents/?uuid=b79dca8f-5332-41f9-bc64-bab7bb5f9426"]},{"id":"ITEM-2","itemData":{"DOI":"10.1149/2.0901810jes","ISSN":"0013-4651","abstract":"© The Author(s) 2018. Published by ECS.  For resolving the low-energy efficiency issue of Li-O 2 batteries, many kinds of redox mediators (RMs) have been adapted. However, studies looking into the problems of RMs in these systems are insufficient. We compare herein effects and problems of RMs in Li-O 2 batteries by applying unique methodology, based on two types of cells, comparison between argon and oxygen atmospheres and combining electrochemistry in conjunction with spectroscopy. Using systematic electrochemical measurements, representative RMs in Li-O 2 battery prototypes were thoroughly explored with respect to oxygen presence, voltage ranges and scan rates. By this comparative, multi-parameters study we reached valuable insights. We identified possible routes for RMs degradation in Li-O 2 batteries related to the cathode side, using bi-compartments cells with solid electrolyte that blocks the crossover between the cathode and the Li metal sides. Based on comparative electrochemical and spectroscopic analyses, we confirmed that degradation of the RMs activity was caused by intrinsic decomposition of the RMs in the electrolyte solution at the cathode part, even before further reactions with reduced oxygen species. This work provides a realistic view of the role of important RMs in Li-oxygen cells and suggests guidelines for effective screening and selecting suitable RMs, mandatory components in Li-O 2 batteries.","author":[{"dropping-particle":"","family":"Kwak","given":"Won-Jin","non-dropping-particle":"","parse-names":false,"suffix":""},{"dropping-particle":"","family":"Kim","given":"Hun","non-dropping-particle":"","parse-names":false,"suffix":""},{"dropping-particle":"","family":"Jung","given":"Hun-Gi","non-dropping-particle":"","parse-names":false,"suffix":""},{"dropping-particle":"","family":"Aurbach","given":"Doron","non-dropping-particle":"","parse-names":false,"suffix":""},{"dropping-particle":"","family":"Sun","given":"Yang-Kook","non-dropping-particle":"","parse-names":false,"suffix":""}],"container-title":"Journal of The Electrochemical Society","id":"ITEM-2","issue":"10","issued":{"date-parts":[["2018"]]},"page":"A2274-A2293","title":" Review—A Comparative Evaluation of Redox Mediators for Li-O 2 Batteries: A Critical Review ","type":"article-journal","volume":"165"},"uris":["http://www.mendeley.com/documents/?uuid=abaca511-b2e1-43b5-986f-6a5febaf5674"]}],"mendeley":{"formattedCitation":"&lt;sup&gt;19,20&lt;/sup&gt;","plainTextFormattedCitation":"19,20","previouslyFormattedCitation":"&lt;sup&gt;19,20&lt;/sup&gt;"},"properties":{"noteIndex":0},"schema":"https://github.com/citation-style-language/schema/raw/master/csl-citation.json"}</w:instrText>
      </w:r>
      <w:r w:rsidR="001105D7" w:rsidRPr="00CB6923">
        <w:rPr>
          <w:rFonts w:ascii="Times New Roman" w:hAnsi="Times New Roman"/>
          <w:szCs w:val="24"/>
        </w:rPr>
        <w:fldChar w:fldCharType="separate"/>
      </w:r>
      <w:r w:rsidR="00592AF7" w:rsidRPr="00CB6923">
        <w:rPr>
          <w:rFonts w:ascii="Times New Roman" w:hAnsi="Times New Roman"/>
          <w:noProof/>
          <w:szCs w:val="24"/>
          <w:vertAlign w:val="superscript"/>
        </w:rPr>
        <w:t>19,20</w:t>
      </w:r>
      <w:r w:rsidR="001105D7" w:rsidRPr="00CB6923">
        <w:rPr>
          <w:rFonts w:ascii="Times New Roman" w:hAnsi="Times New Roman"/>
          <w:szCs w:val="24"/>
        </w:rPr>
        <w:fldChar w:fldCharType="end"/>
      </w:r>
      <w:r w:rsidR="00CB27AA" w:rsidRPr="00CB6923">
        <w:rPr>
          <w:rFonts w:ascii="Times New Roman" w:hAnsi="Times New Roman"/>
          <w:szCs w:val="24"/>
        </w:rPr>
        <w:t xml:space="preserve"> </w:t>
      </w:r>
      <w:r w:rsidR="00DB7C80" w:rsidRPr="00CB6923">
        <w:rPr>
          <w:rFonts w:ascii="Times New Roman" w:hAnsi="Times New Roman"/>
          <w:szCs w:val="24"/>
        </w:rPr>
        <w:t>T</w:t>
      </w:r>
      <w:r w:rsidR="009A47FC" w:rsidRPr="00CB6923">
        <w:rPr>
          <w:rFonts w:ascii="Times New Roman" w:hAnsi="Times New Roman"/>
          <w:szCs w:val="24"/>
        </w:rPr>
        <w:t xml:space="preserve">he Li metal solid electrolyte interphase (SEI) </w:t>
      </w:r>
      <w:r w:rsidR="001B7D28" w:rsidRPr="00CB6923">
        <w:rPr>
          <w:rFonts w:ascii="Times New Roman" w:hAnsi="Times New Roman"/>
          <w:szCs w:val="24"/>
        </w:rPr>
        <w:t xml:space="preserve">can also be significantly altered </w:t>
      </w:r>
      <w:r w:rsidR="00CB27AA" w:rsidRPr="00CB6923">
        <w:rPr>
          <w:rFonts w:ascii="Times New Roman" w:hAnsi="Times New Roman"/>
          <w:szCs w:val="24"/>
        </w:rPr>
        <w:t xml:space="preserve">when Li metal is </w:t>
      </w:r>
      <w:r w:rsidR="009A47FC" w:rsidRPr="00CB6923">
        <w:rPr>
          <w:rFonts w:ascii="Times New Roman" w:hAnsi="Times New Roman"/>
          <w:szCs w:val="24"/>
        </w:rPr>
        <w:t xml:space="preserve">used as an </w:t>
      </w:r>
      <w:r w:rsidR="00CB27AA" w:rsidRPr="00CB6923">
        <w:rPr>
          <w:rFonts w:ascii="Times New Roman" w:hAnsi="Times New Roman"/>
          <w:szCs w:val="24"/>
        </w:rPr>
        <w:t>anode</w:t>
      </w:r>
      <w:r w:rsidR="00B52267" w:rsidRPr="00CB6923">
        <w:rPr>
          <w:rFonts w:ascii="Times New Roman" w:hAnsi="Times New Roman"/>
          <w:szCs w:val="24"/>
        </w:rPr>
        <w:t>.</w:t>
      </w:r>
      <w:r w:rsidR="00CB27AA"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{"citationItems":[{"id":"ITEM-1","itemData":{"DOI":"10.1021/acsenergylett.0c00257","ISSN":"23808195","abstract":"For Li-air batteries, dissolved gas can cross over from the air electrode to the Li metal anode and affect the solid-electrolyte interphase (SEI) formation, a phenomenon that has not been fully characterized. In this work, the impact of atmospheric gases on the SEI properties is studied using electrochemical methods and ex situ characterization techniques, including X-ray photoelectron spectroscopy, X-ray diffraction, Fourier transform infrared spectroscopy, and scanning electron microscopy. The presence of O2 significantly improved the lithium cyclability; less lithium is consumed to form the SEI or is lost because of electrical disconnects. However, the SEI resistivity and plating overpotentials increased. Lithium cycled in an \"air-like\" mixed O2/N2 environment also demonstrated improved cycling efficiency, suggesting that dissolved O2 participates in electrolyte reduction, forming a homogeneous SEI, even at low concentrations. The impact of gas environments on Li metal plating and SEI formation represents an additional parameter in designing future Li-metal batteries.","author":[{"dropping-particle":"","family":"Wang","given":"Evelyna","non-dropping-particle":"","parse-names":false,"suffix":""},{"dropping-particle":"","family":"Dey","given":"Sunita","non-dropping-particle":"","parse-names":false,"suffix":""},{"dropping-particle":"","family":"Liu","given":"Tao","non-dropping-particle":"","parse-names":false,"suffix":""},{"dropping-particle":"","family":"Menkin","given":"Svetlana","non-dropping-particle":"","parse-names":false,"suffix":""},{"dropping-particle":"","family":"Grey","given":"Clare P.","non-dropping-particle":"","parse-names":false,"suffix":""}],"container-title":"ACS Energy Letters","id":"ITEM-1","issue":"4","issued":{"date-parts":[["2020"]]},"page":"1088-1094","title":"Effects of Atmospheric Gases on Li Metal Cyclability and Solid-Electrolyte Interphase Formation","type":"article-journal","volume":"5"},"uris":["http://www.mendeley.com/documents/?uuid=36e2aebc-bbf5-49cf-bdba-0bd1a5898148"]},{"id":"ITEM-2","itemData":{"DOI":"10.1039/c7ta02210g","ISSN":"20507496","abstract":"The recent introduction of redox mediators as soluble catalysts in electrolytes has aimed at overcoming the spatial constraint of solid catalysts in lithium-oxygen (Li-O2) batteries. The redox mediators show promise for improving electrochemical performance, for example, by decreasing the overpotential for oxygen evolution reactions. However, their catalytic activity degrades after a certain number of cycles, leading to an increase in overpotential with increasing cycle number. The shuttle effect of redox mediators has been considered to be associated with the failure of Li-O2 batteries containing the redox mediators, but, this effect does not fully explain the capacity fading observed with Li-O2 batteries. In this study, it is demonstrated that the failure of these types of Li-O2 cells occurs because of an irreversible decomposition of the redox mediators on Li metal, which both degrades Li metal and depletes the redox mediators. We also show that this decomposition occurs even though oxygen dissolved in the electrolytes forms stable protective layers of lithium oxides on the Li surface. One model redox mediator, 10-methylphenothiazine, is examined in a case study to clarify the failure mechanism of Li-O2 batteries.","author":[{"dropping-particle":"","family":"Ha","given":"Seongmin","non-dropping-particle":"","parse-names":false,"suffix":""},{"dropping-particle":"","family":"Kim","given":"Youngjin","non-dropping-particle":"","parse-names":false,"suffix":""},{"dropping-particle":"","family":"Koo","given":"Dongho","non-dropping-particle":"","parse-names":false,"suffix":""},{"dropping-particle":"","family":"Ha","given":"Kwang Ho","non-dropping-particle":"","parse-names":false,"suffix":""},{"dropping-particle":"","family":"Park","given":"Yuwon","non-dropping-particle":"","parse-names":false,"suffix":""},{"dropping-particle":"","family":"Kim","given":"Dong Min","non-dropping-particle":"","parse-names":false,"suffix":""},{"dropping-particle":"","family":"Son","given":"Samick","non-dropping-particle":"","parse-names":false,"suffix":""},{"dropping-particle":"","family":"Yim","given":"Taeeun","non-dropping-particle":"","parse-names":false,"suffix":""},{"dropping-particle":"","family":"Lee","given":"Kyu Tae","non-dropping-particle":"","parse-names":false,"suffix":""}],"container-title":"Journal of Materials Chemistry A","id":"ITEM-2","issue":"21","issued":{"date-parts":[["2017"]]},"page":"10609-10621","publisher":"Royal Society of Chemistry","title":"Investigation into the stability of Li metal anodes in Li-O2 batteries with a redox mediator","type":"article-journal","volume":"5"},"uris":["http://www.mendeley.com/documents/?uuid=145a6c2f-cd24-4d8a-8680-7030987f6a35"]}],"mendeley":{"formattedCitation":"&lt;sup&gt;21,22&lt;/sup&gt;","plainTextFormattedCitation":"21,22","previouslyFormattedCitation":"&lt;sup&gt;21,22&lt;/sup&gt;"},"properties":{"noteIndex":0},"schema":"https://github.com/citation-style-language/schema/raw/master/csl-citation.json"}</w:instrText>
      </w:r>
      <w:r w:rsidR="00CB27AA" w:rsidRPr="00CB6923">
        <w:rPr>
          <w:rFonts w:ascii="Times New Roman" w:hAnsi="Times New Roman"/>
          <w:szCs w:val="24"/>
        </w:rPr>
        <w:fldChar w:fldCharType="separate"/>
      </w:r>
      <w:r w:rsidR="00592AF7" w:rsidRPr="00CB6923">
        <w:rPr>
          <w:rFonts w:ascii="Times New Roman" w:hAnsi="Times New Roman"/>
          <w:noProof/>
          <w:szCs w:val="24"/>
          <w:vertAlign w:val="superscript"/>
        </w:rPr>
        <w:t>21,22</w:t>
      </w:r>
      <w:r w:rsidR="00CB27AA" w:rsidRPr="00CB6923">
        <w:rPr>
          <w:rFonts w:ascii="Times New Roman" w:hAnsi="Times New Roman"/>
          <w:szCs w:val="24"/>
        </w:rPr>
        <w:fldChar w:fldCharType="end"/>
      </w:r>
      <w:r w:rsidR="00CB27AA" w:rsidRPr="00CB6923">
        <w:rPr>
          <w:rFonts w:ascii="Times New Roman" w:hAnsi="Times New Roman"/>
          <w:szCs w:val="24"/>
        </w:rPr>
        <w:t xml:space="preserve"> Development of selective membranes to prevent crossover in </w:t>
      </w:r>
      <w:r w:rsidR="00CC2241" w:rsidRPr="00CB6923">
        <w:rPr>
          <w:rFonts w:ascii="Times New Roman" w:hAnsi="Times New Roman"/>
          <w:szCs w:val="24"/>
        </w:rPr>
        <w:t>non-aqueous</w:t>
      </w:r>
      <w:r w:rsidR="00CB27AA" w:rsidRPr="00CB6923">
        <w:rPr>
          <w:rFonts w:ascii="Times New Roman" w:hAnsi="Times New Roman"/>
          <w:szCs w:val="24"/>
        </w:rPr>
        <w:t xml:space="preserve"> systems remains a major area of research</w:t>
      </w:r>
      <w:r w:rsidR="001B7D28" w:rsidRPr="00CB6923">
        <w:rPr>
          <w:rFonts w:ascii="Times New Roman" w:hAnsi="Times New Roman"/>
          <w:szCs w:val="24"/>
        </w:rPr>
        <w:t>:</w:t>
      </w:r>
      <w:r w:rsidR="00CB27AA"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id":"ITEM-2","itemData":{"author":[{"dropping-particle":"","family":"Farooqui","given":"U.R.","non-dropping-particle":"","parse-names":false,"suffix":""},{"dropping-particle":"","family":"Ahmad","given":"A.L.","non-dropping-particle":"","parse-names":false,"suffix":""},{"dropping-particle":"","family":"Hamid","given":"N.A.","non-dropping-particle":"","parse-names":false,"suffix":""}],"container-title":"Renewable and Sustainable Energy Reviews","id":"ITEM-2","issued":{"date-parts":[["2017"]]},"page":"1114-1129","title":"Challenges and potential advantages of membranes in lithium air batteries: A review","type":"article-journal","volume":"77"},"uris":["http://www.mendeley.com/documents/?uuid=83973f41-f43f-4d5f-afbb-42966fb0bf20"]},{"id":"ITEM-3","itemData":{"DOI":"10.1039/c3ra00115f","ISSN":"20462069","abstract":"The non-aqueous redox flow battery (RFB) is one of the emerging large-scale energy storage systems that may overcome the low energy density limited by breakdown of water at a high voltage in aqueous RFBs. Yet development of the non-aqueous RFB is at an early stage, so its components are not thoroughly understood. As a key component of non-aqueous RFBs, the role of the membrane is to suppress cross-contamination between the anolyte and catholyte confined in two separate compartments, and to transport the charge carrier ions selectively for the completion of the circuit during cell operation. In this review, recent studies on non-aqueous redox flow systems are summarized including redox couples, electrolytes, and systems including membranes. A focus is placed on comparison of battery performance in terms of the current and power density through membranes. In addition, we introduce syntheses and characterization of membranes used for non-aqueous RFBs. © 2013 The Royal Society of Chemistry.","author":[{"dropping-particle":"","family":"Shin","given":"Sung Hee","non-dropping-particle":"","parse-names":false,"suffix":""},{"dropping-particle":"","family":"Yun","given":"Sung Hyun","non-dropping-particle":"","parse-names":false,"suffix":""},{"dropping-particle":"","family":"Moon","given":"Seung Hyeon","non-dropping-particle":"","parse-names":false,"suffix":""}],"container-title":"RSC Advances","id":"ITEM-3","issue":"24","issued":{"date-parts":[["2013"]]},"page":"9095-9116","title":"A review of current developments in non-aqueous redox flow batteries: Characterization of their membranes for design perspective","type":"article-journal","volume":"3"},"uris":["http://www.mendeley.com/documents/?uuid=c3eb4e74-1c60-4f2a-bb7d-c4f59edc5781"]},{"id":"ITEM-4","itemData":{"DOI":"10.1038/s41563-019-0536-8","ISSN":"14764660","PMID":"31792424","abstract":"Membranes with fast and selective ion transport are widely used for water purification and devices for energy conversion and storage including fuel cells, redox flow batteries and electrochemical reactors. However, it remains challenging to design cost-effective, easily processed ion-conductive membranes with well-defined pore architectures. Here, we report a new approach to designing membranes with narrow molecular-sized channels and hydrophilic functionality that enable fast transport of salt ions and high size-exclusion selectivity towards small organic molecules. These membranes, based on polymers of intrinsic microporosity containing Tröger’s base or amidoxime groups, demonstrate that exquisite control over subnanometre pore structure, the introduction of hydrophilic functional groups and thickness control all play important roles in achieving fast ion transport combined with high molecular selectivity. These membranes enable aqueous organic flow batteries with high energy efficiency and high capacity retention, suggesting their utility for a variety of energy-related devices and water purification processes.","author":[{"dropping-particle":"","family":"Tan","given":"Rui","non-dropping-particle":"","parse-names":false,"suffix":""},{"dropping-particle":"","family":"Wang","given":"Anqi","non-dropping-particle":"","parse-names":false,"suffix":""},{"dropping-particle":"","family":"Malpass-Evans","given":"Richard","non-dropping-particle":"","parse-names":false,"suffix":""},{"dropping-particle":"","family":"Williams","given":"Rhodri","non-dropping-particle":"","parse-names":false,"suffix":""},{"dropping-particle":"","family":"Zhao","given":"Evan Wenbo","non-dropping-particle":"","parse-names":false,"suffix":""},{"dropping-particle":"","family":"Liu","given":"Tao","non-dropping-particle":"","parse-names":false,"suffix":""},{"dropping-particle":"","family":"Ye","given":"Chunchun","non-dropping-particle":"","parse-names":false,"suffix":""},{"dropping-particle":"","family":"Zhou","given":"Xiaoqun","non-dropping-particle":"","parse-names":false,"suffix":""},{"dropping-particle":"","family":"Darwich","given":"Barbara Primera","non-dropping-particle":"","parse-names":false,"suffix":""},{"dropping-particle":"","family":"Fan","given":"Zhiyu","non-dropping-particle":"","parse-names":false,"suffix":""},{"dropping-particle":"","family":"Turcani","given":"Lukas","non-dropping-particle":"","parse-names":false,"suffix":""},{"dropping-particle":"","family":"Jackson","given":"Edward","non-dropping-particle":"","parse-names":false,"suffix":""},{"dropping-particle":"","family":"Chen","given":"Linjiang","non-dropping-particle":"","parse-names":false,"suffix":""},{"dropping-particle":"","family":"Chong","given":"Samantha Y.","non-dropping-particle":"","parse-names":false,"suffix":""},{"dropping-particle":"","family":"Li","given":"Tao","non-dropping-particle":"","parse-names":false,"suffix":""},{"dropping-particle":"","family":"Jelfs","given":"Kim E.","non-dropping-particle":"","parse-names":false,"suffix":""},{"dropping-particle":"","family":"Cooper","given":"Andrew I.","non-dropping-particle":"","parse-names":false,"suffix":""},{"dropping-particle":"","family":"Brandon","given":"Nigel P.","non-dropping-particle":"","parse-names":false,"suffix":""},{"dropping-particle":"","family":"Grey","given":"Clare P.","non-dropping-particle":"","parse-names":false,"suffix":""},{"dropping-particle":"","family":"McKeown","given":"Neil B.","non-dropping-particle":"","parse-names":false,"suffix":""},{"dropping-particle":"","family":"Song","given":"Qilei","non-dropping-particle":"","parse-names":false,"suffix":""}],"container-title":"Nature Materials","id":"ITEM-4","issue":"2","issued":{"date-parts":[["2020"]]},"page":"195-202","publisher":"Springer US","title":"Hydrophilic microporous membranes for selective ion separation and flow-battery energy storage","type":"article-journal","volume":"19"},"uris":["http://www.mendeley.com/documents/?uuid=f21654a3-9fd8-40de-b8a3-bece3ced82df"]},{"id":"ITEM-5","itemData":{"DOI":"10.1021/acsaem.1c00017","ISSN":"25740962","abstract":"The lack of suitable membranes for nonaqueous electrolytes limits cell capacity and cycle lifetime in organic redox flow cells. Using soluble, stable materials, we sought to compare the best performance that could be achieved with commercially available microporous separators and ion-selective membranes. We use organic species with proven stability to avoid deconvoluting capacity fade due to crossover and/or cell imbalance from materials degradation. We found a trade-off between lifetime and Coulombic efficiency: nonselective separators achieve more stable performance but suffer from low Coulombic efficiencies, while ion-selective membranes achieve high Coulombic efficiencies but experience capacity loss over time. When electrolytes are premixed prior to cycling, Coulombic efficiency remains high, but capacity is lost due to cell imbalance, which can be recovered by electrolyte rebalancing. The results of this study highlight the potential for gains in nonaqueous cell performance that may be enabled by suitable membranes.","author":[{"dropping-particle":"","family":"Liang","given":"Zhiming","non-dropping-particle":"","parse-names":false,"suffix":""},{"dropping-particle":"","family":"Attanayake","given":"N. Harsha","non-dropping-particle":"","parse-names":false,"suffix":""},{"dropping-particle":"V.","family":"Greco","given":"Katharine","non-dropping-particle":"","parse-names":false,"suffix":""},{"dropping-particle":"","family":"Neyhouse","given":"Bertrand J.","non-dropping-particle":"","parse-names":false,"suffix":""},{"dropping-particle":"","family":"Barton","given":"John L.","non-dropping-particle":"","parse-names":false,"suffix":""},{"dropping-particle":"","family":"Kaur","given":"Aman Preet","non-dropping-particle":"","parse-names":false,"suffix":""},{"dropping-particle":"","family":"Eubanks","given":"William L.","non-dropping-particle":"","parse-names":false,"suffix":""},{"dropping-particle":"","family":"Brushett","given":"Fikile R.","non-dropping-particle":"","parse-names":false,"suffix":""},{"dropping-particle":"","family":"Landon","given":"James","non-dropping-particle":"","parse-names":false,"suffix":""},{"dropping-particle":"","family":"Odom","given":"Susan A.","non-dropping-particle":"","parse-names":false,"suffix":""}],"container-title":"ACS Applied Energy Materials","id":"ITEM-5","issue":"6","issued":{"date-parts":[["2021"]]},"page":"5443-5451","title":"Comparison of Separators vs Membranes in Nonaqueous Redox Flow Battery Electrolytes Containing Small Molecule Active Materials","type":"article-journal","volume":"4"},"uris":["http://www.mendeley.com/documents/?uuid=23a09428-6305-478d-8a3e-a75ed9cf43ef"]}],"mendeley":{"formattedCitation":"&lt;sup&gt;10,23–26&lt;/sup&gt;","plainTextFormattedCitation":"10,23–26","previouslyFormattedCitation":"&lt;sup&gt;10,23–26&lt;/sup&gt;"},"properties":{"noteIndex":0},"schema":"https://github.com/citation-style-language/schema/raw/master/csl-citation.json"}</w:instrText>
      </w:r>
      <w:r w:rsidR="00CB27AA" w:rsidRPr="00CB6923">
        <w:rPr>
          <w:rFonts w:ascii="Times New Roman" w:hAnsi="Times New Roman"/>
          <w:szCs w:val="24"/>
        </w:rPr>
        <w:fldChar w:fldCharType="separate"/>
      </w:r>
      <w:r w:rsidR="00592AF7" w:rsidRPr="00CB6923">
        <w:rPr>
          <w:rFonts w:ascii="Times New Roman" w:hAnsi="Times New Roman"/>
          <w:noProof/>
          <w:szCs w:val="24"/>
          <w:vertAlign w:val="superscript"/>
        </w:rPr>
        <w:t>10,23–26</w:t>
      </w:r>
      <w:r w:rsidR="00CB27AA" w:rsidRPr="00CB6923">
        <w:rPr>
          <w:rFonts w:ascii="Times New Roman" w:hAnsi="Times New Roman"/>
          <w:szCs w:val="24"/>
        </w:rPr>
        <w:fldChar w:fldCharType="end"/>
      </w:r>
      <w:r w:rsidRPr="00CB6923">
        <w:rPr>
          <w:rFonts w:ascii="Times New Roman" w:hAnsi="Times New Roman"/>
          <w:szCs w:val="24"/>
        </w:rPr>
        <w:t xml:space="preserve"> </w:t>
      </w:r>
      <w:r w:rsidR="001B7D28" w:rsidRPr="00CB6923">
        <w:rPr>
          <w:rFonts w:ascii="Times New Roman" w:hAnsi="Times New Roman"/>
          <w:szCs w:val="24"/>
        </w:rPr>
        <w:t>critically</w:t>
      </w:r>
      <w:r w:rsidR="00CB27AA" w:rsidRPr="00CB6923">
        <w:rPr>
          <w:rFonts w:ascii="Times New Roman" w:hAnsi="Times New Roman"/>
          <w:szCs w:val="24"/>
        </w:rPr>
        <w:t xml:space="preserve">, the absence of effective and commercially </w:t>
      </w:r>
      <w:r w:rsidR="00CB27AA" w:rsidRPr="00CB6923">
        <w:rPr>
          <w:rFonts w:ascii="Times New Roman" w:hAnsi="Times New Roman"/>
          <w:szCs w:val="24"/>
        </w:rPr>
        <w:lastRenderedPageBreak/>
        <w:t>available membranes for non-aqueous systems necessitates new methodologies that allow detailed studies into crossover rates and reactions.</w:t>
      </w:r>
    </w:p>
    <w:p w14:paraId="45AC31D5" w14:textId="1DA319DB" w:rsidR="009D7568" w:rsidRPr="00CB6923" w:rsidRDefault="008E5601" w:rsidP="00416C39">
      <w:pPr>
        <w:pStyle w:val="TAMainText"/>
        <w:spacing w:after="240"/>
        <w:ind w:firstLine="720"/>
        <w:jc w:val="left"/>
        <w:rPr>
          <w:rFonts w:ascii="Times New Roman" w:hAnsi="Times New Roman"/>
          <w:szCs w:val="24"/>
        </w:rPr>
      </w:pPr>
      <w:r w:rsidRPr="00CB6923">
        <w:t xml:space="preserve">Previous reports on crossover reactions </w:t>
      </w:r>
      <w:r w:rsidR="00851DD0" w:rsidRPr="00CB6923">
        <w:rPr>
          <w:rFonts w:ascii="Times New Roman" w:hAnsi="Times New Roman"/>
          <w:szCs w:val="24"/>
        </w:rPr>
        <w:t xml:space="preserve">in RFBs and their membranes </w:t>
      </w:r>
      <w:r w:rsidR="00A141B1" w:rsidRPr="00CB6923">
        <w:rPr>
          <w:rFonts w:ascii="Times New Roman" w:hAnsi="Times New Roman"/>
          <w:szCs w:val="24"/>
        </w:rPr>
        <w:t>utilized</w:t>
      </w:r>
      <w:r w:rsidR="00851DD0" w:rsidRPr="00CB6923">
        <w:rPr>
          <w:rFonts w:ascii="Times New Roman" w:hAnsi="Times New Roman"/>
          <w:szCs w:val="24"/>
        </w:rPr>
        <w:t xml:space="preserve"> diffusion experiments, capacity fade during cycling, as well as diffusion and permeability modeling.</w:t>
      </w:r>
      <w:r w:rsidR="00851DD0"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{"citationItems":[{"id":"ITEM-1","itemData":{"DOI":"10.1016/j.est.2019.101109","ISSN":"2352152X","abstract":"Vanadium-redox-flow batteries (VRFB) are the most commercialized flow batteries. Many models are designed to improve several parameters and setups to increase the efficiency or decrease costs. The open circuit voltage (OCV) inside VRFB models is either modelled based on state of charge (SOC) or the vanadium ion concentrations. In both cases a form of the Nernst equation is used to approximate the OCV and feeding the Nernst equation with results from measurements or theory. Measurements to approximate the OCV at a SOC are state of the art. The theoretical input for the Nernst equation still lacks of precision and approaches to increase the precision, were studied in the last decade. Here an empirical approach shows possible improvements to link the measured OCV with the theoretical SOC. The improvements are performed by fitting mathematical functions to the differences between the theoretical and measured data with leas square. This is performed for anion exchange membranes (AEM) with great success. The mean error for the approach of Zlotorowicz et al. [1] is below 1% with a maximum error of 3%. The fitting functions is interpreted as effects influencing the energy conversion processes, like crossover, changes in material characteristics and further side reactions. Fitting the cation exchange membrane (CEM), using the same approach, proves to be more challenging. The mean error is 1.9 to 2.8% with a maximum error of 23%, which shows different approaches might improve CEM based VRFBs. The processes inside a stack with a CEM follow different processes than for AEMs and slight connection to other energy conversion systems with flow cells could be drawn. The temperature dependency shows further influences than defined in by the Nernst equation, for a VRFB. Depending on the approach the temperature shifts the OCV curve along the SOC range or changes all four fitting parameters. The results show possibilities and helps to choose from different approaches of modelling the correlation between ion concentration and SOC for AEM and CEM with temperature influences.","author":[{"dropping-particle":"","family":"Kleinsteinberg","given":"B.","non-dropping-particle":"","parse-names":false,"suffix":""},{"dropping-particle":"","family":"Klick","given":"S.","non-dropping-particle":"","parse-names":false,"suffix":""},{"dropping-particle":"","family":"Sauer","given":"Dirk Uwe","non-dropping-particle":"","parse-names":false,"suffix":""}],"container-title":"Journal of Energy Storage","id":"ITEM-1","issue":"February","issued":{"date-parts":[["2020"]]},"page":"101109","publisher":"Elsevier","title":"Empirical approach to determine open-circuit voltage of a vanadium-redox-flow battery for models, based on published data for anion-exchange and cation-exchange membranes and temperature dependency","type":"article-journal","volume":"28"},"uris":["http://www.mendeley.com/documents/?uuid=b79dca8f-5332-41f9-bc64-bab7bb5f9426"]},{"id":"ITEM-2","itemData":{"DOI":"10.1149/2.0681912jes","ISSN":"0013-4651","abstract":"The performances of five commercial anion exchange membranes are compared in aqueous soluble organic redox flow batteries (RFBs) containing the TEMPO and methyl viologen (MV) redox pair. Capacities between RFBs with different membranes are found to vary by &amp;gt;50% of theoretical after 100 cycles. This capacity loss is attributed to crossover of TEMPO and MV across the membrane and is dominated by either diffusion, migration, or electroosmotic drag, depending on the membrane. Counterintuitively, the worst performing membranes display the lowest diffusion coefficients for TEMPO and MV, instead seeing high crossover fluxes due to electroosmotic drag. This trend is rationalized in terms of the ion exchange capacity and water content of these membranes. Decreasing these values in an effort to minimize diffusion of the redox-active species while the RFB rests can inadvertently exacerbate conditions for electroosmotic drag when the RFB operates. Using fundamental membrane properties, it is demonstrated that the relative magnitude of crossover and capacity loss during RFB operation may be understood.","author":[{"dropping-particle":"","family":"Small","given":"Leo J.","non-dropping-particle":"","parse-names":false,"suffix":""},{"dropping-particle":"","family":"Pratt","given":"Harry D.","non-dropping-particle":"","parse-names":false,"suffix":""},{"dropping-particle":"","family":"Anderson","given":"Travis M.","non-dropping-particle":"","parse-names":false,"suffix":""}],"container-title":"Journal of The Electrochemical Society","id":"ITEM-2","issue":"12","issued":{"date-parts":[["2019"]]},"page":"A2536-A2542","title":"Crossover in Membranes for Aqueous Soluble Organic Redox Flow Batteries","type":"article-journal","volume":"166"},"uris":["http://www.mendeley.com/documents/?uuid=0fed9e46-db7a-436f-8166-79e0d9894193"]},{"id":"ITEM-3","itemData":{"DOI":"10.1149/2.03211601jes","ISSN":"0013-4651","abstract":"Nonaqueous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Society","id":"ITEM-3","issue":"1","issued":{"date-parts":[["2016"]]},"page":"A5253-A5262","title":"An Investigation of the Ionic Conductivity and Species Crossover of Lithiated Nafion 117 in Nonaqueous Electrolytes","type":"article-journal","volume":"163"},"uris":["http://www.mendeley.com/documents/?uuid=c6139c5a-77c9-4bcc-83ba-2e99c58741ba"]},{"id":"ITEM-4","itemData":{"DOI":"10.1021/acsaem.1c00017","ISSN":"25740962","abstract":"The lack of suitable membranes for nonaqueous electrolytes limits cell capacity and cycle lifetime in organic redox flow cells. Using soluble, stable materials, we sought to compare the best performance that could be achieved with commercially available microporous separators and ion-selective membranes. We use organic species with proven stability to avoid deconvoluting capacity fade due to crossover and/or cell imbalance from materials degradation. We found a trade-off between lifetime and Coulombic efficiency: nonselective separators achieve more stable performance but suffer from low Coulombic efficiencies, while ion-selective membranes achieve high Coulombic efficiencies but experience capacity loss over time. When electrolytes are premixed prior to cycling, Coulombic efficiency remains high, but capacity is lost due to cell imbalance, which can be recovered by electrolyte rebalancing. The results of this study highlight the potential for gains in nonaqueous cell performance that may be enabled by suitable membranes.","author":[{"dropping-particle":"","family":"Liang","given":"Zhiming","non-dropping-particle":"","parse-names":false,"suffix":""},{"dropping-particle":"","family":"Attanayake","given":"N. Harsha","non-dropping-particle":"","parse-names":false,"suffix":""},{"dropping-particle":"V.","family":"Greco","given":"Katharine","non-dropping-particle":"","parse-names":false,"suffix":""},{"dropping-particle":"","family":"Neyhouse","given":"Bertrand J.","non-dropping-particle":"","parse-names":false,"suffix":""},{"dropping-particle":"","family":"Barton","given":"John L.","non-dropping-particle":"","parse-names":false,"suffix":""},{"dropping-particle":"","family":"Kaur","given":"Aman Preet","non-dropping-particle":"","parse-names":false,"suffix":""},{"dropping-particle":"","family":"Eubanks","given":"William L.","non-dropping-particle":"","parse-names":false,"suffix":""},{"dropping-particle":"","family":"Brushett","given":"Fikile R.","non-dropping-particle":"","parse-names":false,"suffix":""},{"dropping-particle":"","family":"Landon","given":"James","non-dropping-particle":"","parse-names":false,"suffix":""},{"dropping-particle":"","family":"Odom","given":"Susan A.","non-dropping-particle":"","parse-names":false,"suffix":""}],"container-title":"ACS Applied Energy Materials","id":"ITEM-4","issue":"6","issued":{"date-parts":[["2021"]]},"page":"5443-5451","title":"Comparison of Separators vs Membranes in Nonaqueous Redox Flow Battery Electrolytes Containing Small Molecule Active Materials","type":"article-journal","volume":"4"},"uris":["http://www.mendeley.com/documents/?uuid=23a09428-6305-478d-8a3e-a75ed9cf43ef"]}],"mendeley":{"formattedCitation":"&lt;sup&gt;19,23,26,27&lt;/sup&gt;","plainTextFormattedCitation":"19,23,26,27","previouslyFormattedCitation":"&lt;sup&gt;19,23,26,27&lt;/sup&gt;"},"properties":{"noteIndex":0},"schema":"https://github.com/citation-style-language/schema/raw/master/csl-citation.json"}</w:instrText>
      </w:r>
      <w:r w:rsidR="00851DD0" w:rsidRPr="00CB6923">
        <w:rPr>
          <w:rFonts w:ascii="Times New Roman" w:hAnsi="Times New Roman"/>
          <w:szCs w:val="24"/>
        </w:rPr>
        <w:fldChar w:fldCharType="separate"/>
      </w:r>
      <w:r w:rsidR="00592AF7" w:rsidRPr="00CB6923">
        <w:rPr>
          <w:rFonts w:ascii="Times New Roman" w:hAnsi="Times New Roman"/>
          <w:noProof/>
          <w:szCs w:val="24"/>
          <w:vertAlign w:val="superscript"/>
        </w:rPr>
        <w:t>19,23,26,27</w:t>
      </w:r>
      <w:r w:rsidR="00851DD0" w:rsidRPr="00CB6923">
        <w:rPr>
          <w:rFonts w:ascii="Times New Roman" w:hAnsi="Times New Roman"/>
          <w:szCs w:val="24"/>
        </w:rPr>
        <w:fldChar w:fldCharType="end"/>
      </w:r>
      <w:r w:rsidR="00851DD0" w:rsidRPr="00CB6923">
        <w:rPr>
          <w:rFonts w:ascii="Times New Roman" w:hAnsi="Times New Roman"/>
          <w:szCs w:val="24"/>
        </w:rPr>
        <w:t xml:space="preserve"> </w:t>
      </w:r>
      <w:r w:rsidR="00851DD0" w:rsidRPr="00CB6923">
        <w:t>I</w:t>
      </w:r>
      <w:r w:rsidRPr="00CB6923">
        <w:t>n LABs</w:t>
      </w:r>
      <w:r w:rsidR="00AC7520" w:rsidRPr="00CB6923">
        <w:t>,</w:t>
      </w:r>
      <w:r w:rsidRPr="00CB6923">
        <w:t xml:space="preserve"> </w:t>
      </w:r>
      <w:r w:rsidR="00AC7520" w:rsidRPr="00CB6923">
        <w:t xml:space="preserve">crossover studies have </w:t>
      </w:r>
      <w:r w:rsidRPr="00CB6923">
        <w:t>focus</w:t>
      </w:r>
      <w:r w:rsidR="00AC7520" w:rsidRPr="00CB6923">
        <w:t>ed</w:t>
      </w:r>
      <w:r w:rsidRPr="00CB6923">
        <w:t xml:space="preserve"> on the effects of atmospheric gases and RM</w:t>
      </w:r>
      <w:r w:rsidR="00770859" w:rsidRPr="00CB6923">
        <w:t>s</w:t>
      </w:r>
      <w:r w:rsidRPr="00CB6923">
        <w:t xml:space="preserve"> on the Li anode by studying electrochemical performance and ex-situ characterization of </w:t>
      </w:r>
      <w:r w:rsidR="00CB06B9" w:rsidRPr="00CB6923">
        <w:t>the SEI</w:t>
      </w:r>
      <w:r w:rsidRPr="00CB6923">
        <w:t>.</w:t>
      </w:r>
      <w:r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{"citationItems":[{"id":"ITEM-1","itemData":{"DOI":"10.1039/c7ta02210g","ISSN":"20507496","abstract":"The recent introduction of redox mediators as soluble catalysts in electrolytes has aimed at overcoming the spatial constraint of solid catalysts in lithium-oxygen (Li-O2) batteries. The redox mediators show promise for improving electrochemical performance, for example, by decreasing the overpotential for oxygen evolution reactions. However, their catalytic activity degrades after a certain number of cycles, leading to an increase in overpotential with increasing cycle number. The shuttle effect of redox mediators has been considered to be associated with the failure of Li-O2 batteries containing the redox mediators, but, this effect does not fully explain the capacity fading observed with Li-O2 batteries. In this study, it is demonstrated that the failure of these types of Li-O2 cells occurs because of an irreversible decomposition of the redox mediators on Li metal, which both degrades Li metal and depletes the redox mediators. We also show that this decomposition occurs even though oxygen dissolved in the electrolytes forms stable protective layers of lithium oxides on the Li surface. One model redox mediator, 10-methylphenothiazine, is examined in a case study to clarify the failure mechanism of Li-O2 batteries.","author":[{"dropping-particle":"","family":"Ha","given":"Seongmin","non-dropping-particle":"","parse-names":false,"suffix":""},{"dropping-particle":"","family":"Kim","given":"Youngjin","non-dropping-particle":"","parse-names":false,"suffix":""},{"dropping-particle":"","family":"Koo","given":"Dongho","non-dropping-particle":"","parse-names":false,"suffix":""},{"dropping-particle":"","family":"Ha","given":"Kwang Ho","non-dropping-particle":"","parse-names":false,"suffix":""},{"dropping-particle":"","family":"Park","given":"Yuwon","non-dropping-particle":"","parse-names":false,"suffix":""},{"dropping-particle":"","family":"Kim","given":"Dong Min","non-dropping-particle":"","parse-names":false,"suffix":""},{"dropping-particle":"","family":"Son","given":"Samick","non-dropping-particle":"","parse-names":false,"suffix":""},{"dropping-particle":"","family":"Yim","given":"Taeeun","non-dropping-particle":"","parse-names":false,"suffix":""},{"dropping-particle":"","family":"Lee","given":"Kyu Tae","non-dropping-particle":"","parse-names":false,"suffix":""}],"container-title":"Journal of Materials Chemistry A","id":"ITEM-1","issue":"21","issued":{"date-parts":[["2017"]]},"page":"10609-10621","publisher":"Royal Society of Chemistry","title":"Investigation into the stability of Li metal anodes in Li-O2 batteries with a redox mediator","type":"article-journal","volume":"5"},"uris":["http://www.mendeley.com/documents/?uuid=145a6c2f-cd24-4d8a-8680-7030987f6a35"]},{"id":"ITEM-2","itemData":{"DOI":"10.1021/acsenergylett.0c00257","ISSN":"23808195","abstract":"For Li-air batteries, dissolved gas can cross over from the air electrode to the Li metal anode and affect the solid-electrolyte interphase (SEI) formation, a phenomenon that has not been fully characterized. In this work, the impact of atmospheric gases on the SEI properties is studied using electrochemical methods and ex situ characterization techniques, including X-ray photoelectron spectroscopy, X-ray diffraction, Fourier transform infrared spectroscopy, and scanning electron microscopy. The presence of O2 significantly improved the lithium cyclability; less lithium is consumed to form the SEI or is lost because of electrical disconnects. However, the SEI resistivity and plating overpotentials increased. Lithium cycled in an \"air-like\" mixed O2/N2 environment also demonstrated improved cycling efficiency, suggesting that dissolved O2 participates in electrolyte reduction, forming a homogeneous SEI, even at low concentrations. The impact of gas environments on Li metal plating and SEI formation represents an additional parameter in designing future Li-metal batteries.","author":[{"dropping-particle":"","family":"Wang","given":"Evelyna","non-dropping-particle":"","parse-names":false,"suffix":""},{"dropping-particle":"","family":"Dey","given":"Sunita","non-dropping-particle":"","parse-names":false,"suffix":""},{"dropping-particle":"","family":"Liu","given":"Tao","non-dropping-particle":"","parse-names":false,"suffix":""},{"dropping-particle":"","family":"Menkin","given":"Svetlana","non-dropping-particle":"","parse-names":false,"suffix":""},{"dropping-particle":"","family":"Grey","given":"Clare P.","non-dropping-particle":"","parse-names":false,"suffix":""}],"container-title":"ACS Energy Letters","id":"ITEM-2","issue":"4","issued":{"date-parts":[["2020"]]},"page":"1088-1094","title":"Effects of Atmospheric Gases on Li Metal Cyclability and Solid-Electrolyte Interphase Formation","type":"article-journal","volume":"5"},"uris":["http://www.mendeley.com/documents/?uuid=36e2aebc-bbf5-49cf-bdba-0bd1a5898148"]}],"mendeley":{"formattedCitation":"&lt;sup&gt;21,22&lt;/sup&gt;","plainTextFormattedCitation":"21,22","previouslyFormattedCitation":"&lt;sup&gt;21,22&lt;/sup&gt;"},"properties":{"noteIndex":0},"schema":"https://github.com/citation-style-language/schema/raw/master/csl-citation.json"}</w:instrText>
      </w:r>
      <w:r w:rsidRPr="00CB6923">
        <w:rPr>
          <w:rFonts w:ascii="Times New Roman" w:hAnsi="Times New Roman"/>
          <w:szCs w:val="24"/>
        </w:rPr>
        <w:fldChar w:fldCharType="separate"/>
      </w:r>
      <w:r w:rsidR="00592AF7" w:rsidRPr="00CB6923">
        <w:rPr>
          <w:rFonts w:ascii="Times New Roman" w:hAnsi="Times New Roman"/>
          <w:noProof/>
          <w:szCs w:val="24"/>
          <w:vertAlign w:val="superscript"/>
        </w:rPr>
        <w:t>21,22</w:t>
      </w:r>
      <w:r w:rsidRPr="00CB6923">
        <w:rPr>
          <w:rFonts w:ascii="Times New Roman" w:hAnsi="Times New Roman"/>
          <w:szCs w:val="24"/>
        </w:rPr>
        <w:fldChar w:fldCharType="end"/>
      </w:r>
      <w:r w:rsidR="00DA338D" w:rsidRPr="00CB6923">
        <w:t xml:space="preserve"> </w:t>
      </w:r>
      <w:r w:rsidR="009211DF" w:rsidRPr="00CB6923">
        <w:rPr>
          <w:rFonts w:ascii="Times New Roman" w:hAnsi="Times New Roman"/>
          <w:szCs w:val="24"/>
        </w:rPr>
        <w:t>In this work, we introduce a new methodology to observe redox behavior and crossover reactions in a Li-air flow battery connected to electron paramagnetic resonance (EPR) and nuclear magnetic resonance (NMR) spectrometers. TEMPO is directly detectable via EPR</w:t>
      </w:r>
      <w:r w:rsidR="009D7568" w:rsidRPr="00CB6923">
        <w:rPr>
          <w:rFonts w:ascii="Times New Roman" w:hAnsi="Times New Roman"/>
          <w:szCs w:val="24"/>
        </w:rPr>
        <w:t>,</w:t>
      </w:r>
      <w:r w:rsidR="009211DF"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{"citationItems":[{"id":"ITEM-1","itemData":{"DOI":"10.1039/9781782629436-00001","ISBN":"9781782628576","ISSN":"14651955","abstract":"Spin labels containing nitroxyl radicals possess many properties that render them useful for electron paramagnetic resonance (EPR) spectroscopy. This review describes the relationships between the structure and properties of nitroxide spin labels, methods for their synthesis, advances in methods for their incorporation into biomolecules, and selected examples of applications in biomolecule structural investigations.","author":[{"dropping-particle":"","family":"Haugland","given":"Marius M.","non-dropping-particle":"","parse-names":false,"suffix":""},{"dropping-particle":"","family":"Anderson","given":"Edward A.","non-dropping-particle":"","parse-names":false,"suffix":""},{"dropping-particle":"","family":"Lovett","given":"Janet E.","non-dropping-particle":"","parse-names":false,"suffix":""}],"container-title":"Electron Paramagnetic Resonance","id":"ITEM-1","issued":{"date-parts":[["2017"]]},"number-of-pages":"1-34","title":"Tuning the properties of nitroxide spin labels for use in electron paramagnetic resonance spectroscopy through chemical modification of the nitroxide framework","type":"book","volume":"25"},"uris":["http://www.mendeley.com/documents/?uuid=58ec2b79-3c91-4f4a-98ff-cc2b83320b74"]}],"mendeley":{"formattedCitation":"&lt;sup&gt;28&lt;/sup&gt;","plainTextFormattedCitation":"28","previouslyFormattedCitation":"&lt;sup&gt;28&lt;/sup&gt;"},"properties":{"noteIndex":0},"schema":"https://github.com/citation-style-language/schema/raw/master/csl-citation.json"}</w:instrText>
      </w:r>
      <w:r w:rsidR="009211DF" w:rsidRPr="00CB6923">
        <w:rPr>
          <w:rFonts w:ascii="Times New Roman" w:hAnsi="Times New Roman"/>
          <w:szCs w:val="24"/>
        </w:rPr>
        <w:fldChar w:fldCharType="separate"/>
      </w:r>
      <w:r w:rsidR="009C4068" w:rsidRPr="00CB6923">
        <w:rPr>
          <w:rFonts w:ascii="Times New Roman" w:hAnsi="Times New Roman"/>
          <w:noProof/>
          <w:szCs w:val="24"/>
          <w:vertAlign w:val="superscript"/>
        </w:rPr>
        <w:t>28</w:t>
      </w:r>
      <w:r w:rsidR="009211DF" w:rsidRPr="00CB6923">
        <w:rPr>
          <w:rFonts w:ascii="Times New Roman" w:hAnsi="Times New Roman"/>
          <w:szCs w:val="24"/>
        </w:rPr>
        <w:fldChar w:fldCharType="end"/>
      </w:r>
      <w:r w:rsidR="009211DF" w:rsidRPr="00CB6923">
        <w:rPr>
          <w:rFonts w:ascii="Times New Roman" w:hAnsi="Times New Roman"/>
          <w:szCs w:val="24"/>
        </w:rPr>
        <w:t xml:space="preserve"> </w:t>
      </w:r>
      <w:r w:rsidR="009D7568" w:rsidRPr="00CB6923">
        <w:rPr>
          <w:rFonts w:ascii="Times New Roman" w:hAnsi="Times New Roman"/>
          <w:szCs w:val="24"/>
        </w:rPr>
        <w:t>while</w:t>
      </w:r>
      <w:r w:rsidR="009211DF" w:rsidRPr="00CB6923">
        <w:rPr>
          <w:rFonts w:ascii="Times New Roman" w:hAnsi="Times New Roman"/>
          <w:szCs w:val="24"/>
        </w:rPr>
        <w:t xml:space="preserve"> also affect</w:t>
      </w:r>
      <w:r w:rsidR="009D7568" w:rsidRPr="00CB6923">
        <w:rPr>
          <w:rFonts w:ascii="Times New Roman" w:hAnsi="Times New Roman"/>
          <w:szCs w:val="24"/>
        </w:rPr>
        <w:t>ing</w:t>
      </w:r>
      <w:r w:rsidR="009211DF" w:rsidRPr="00CB6923">
        <w:rPr>
          <w:rFonts w:ascii="Times New Roman" w:hAnsi="Times New Roman"/>
          <w:szCs w:val="24"/>
        </w:rPr>
        <w:t xml:space="preserve"> the NMR spectra by inducing bulk magnetic susceptibility (BMS) shifts,</w:t>
      </w:r>
      <w:r w:rsidR="00A217E9"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{"citationItems":[{"id":"ITEM-1","itemData":{"DOI":"10.1002/mrm.1910130207","ISSN":"15222594","PMID":"2156125","abstract":"The bulk magnetic susceptibility (BMS) shift of a nuclear resonance frequency caused by a paramagnetic compound is of importance in in vivo NMR, both magnetic resonance spectroscopy and magnetic resonance imaging. However, since it is a rather complicated phenomenon, it has been the source of many misinterpretations in the literature. We have reworked and organized the theory of the BMS shift. This includes accounting for the important effects of local susceptibility. We have conducted experiments on phantom samples in order to illustrate the principles involved. Our phantoms consist of capillaries and coaxial cylinders. They simulate the situations of blood vessels oriented parallel and perpendicular to the magnetic field and the interstitial spaces surrounding them. In most of our experiments, the paramagnetic compound was one of several different hyperfine shift reagents for cation resonances. These were chosen to cover a range of potencies, in both magnitude and sign, of the shifts they produce. However, we also used a reagent which was incapable of inducing a hyperfine shift and thus could cause only a BMS shift. Although we report only 23Na spectra in this paper, the latter samples simulate the cases where one observes the water 1H resonance in experiments employing hyperfine shift reagents for cations. There have been a number of such investigations recently </w:instrText>
      </w:r>
      <w:r w:rsidR="00CB06B9" w:rsidRPr="00CB6923">
        <w:rPr>
          <w:rFonts w:ascii="Times New Roman" w:hAnsi="Times New Roman" w:hint="eastAsia"/>
          <w:szCs w:val="24"/>
        </w:rPr>
        <w:instrText>reported in the literature. The principles considered in this paper allow us to offer new interpretations for the results of several experiments published in the last few years. Copyright © 1990 Wiley</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 xml:space="preserve">Liss, Inc., A Wiley Company","author":[{"dropping-particle":"","family":"Chu","given":"Ksimon </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.C.","non-dropping-particle":"","parse-names":false,"suffix":""},{"dropping-particle":"","family":"Xu","given":"Yan","non-dropping-particle":"","parse-names":false,"suffix":""},{"dropping-particle":"","family":"Bal</w:instrText>
      </w:r>
      <w:r w:rsidR="00CB06B9" w:rsidRPr="00CB6923">
        <w:rPr>
          <w:rFonts w:ascii="Times New Roman" w:hAnsi="Times New Roman"/>
          <w:szCs w:val="24"/>
        </w:rPr>
        <w:instrText>schi","given":"James A.","non-dropping-particle":"","parse-names":false,"suffix":""},{"dropping-particle":"","family":"Springer","given":"Charles S.","non-dropping-particle":"","parse-names":false,"suffix":""}],"container-title":"Magnetic Resonance in Medicine","id":"ITEM-1","issue":"2","issued":{"date-parts":[["1990"]]},"page":"239-262","title":"Bulk magnetic susceptibility shifts in nmr studies of compartmentalized samples: use of paramagnetic reagents","type":"article-journal","volume":"13"},"uris":["http://www.mendeley.com/documents/?uuid=6e320b55-f69c-4be1-9968-70e5f37856b3"]}],"mendeley":{"formattedCitation":"&lt;sup&gt;29&lt;/sup&gt;","plainTextFormattedCitation":"29","previouslyFormattedCitation":"&lt;sup&gt;29&lt;/sup&gt;"},"properties":{"noteIndex":0},"schema":"https://github.com/citation-style-language/schema/raw/master/csl-citation.json"}</w:instrText>
      </w:r>
      <w:r w:rsidR="00A217E9" w:rsidRPr="00CB6923">
        <w:rPr>
          <w:rFonts w:ascii="Times New Roman" w:hAnsi="Times New Roman"/>
          <w:szCs w:val="24"/>
        </w:rPr>
        <w:fldChar w:fldCharType="separate"/>
      </w:r>
      <w:r w:rsidR="009C4068" w:rsidRPr="00CB6923">
        <w:rPr>
          <w:rFonts w:ascii="Times New Roman" w:hAnsi="Times New Roman"/>
          <w:noProof/>
          <w:szCs w:val="24"/>
          <w:vertAlign w:val="superscript"/>
        </w:rPr>
        <w:t>29</w:t>
      </w:r>
      <w:r w:rsidR="00A217E9" w:rsidRPr="00CB6923">
        <w:rPr>
          <w:rFonts w:ascii="Times New Roman" w:hAnsi="Times New Roman"/>
          <w:szCs w:val="24"/>
        </w:rPr>
        <w:fldChar w:fldCharType="end"/>
      </w:r>
      <w:r w:rsidR="00A217E9" w:rsidRPr="00CB6923">
        <w:rPr>
          <w:rFonts w:ascii="Times New Roman" w:hAnsi="Times New Roman"/>
          <w:szCs w:val="24"/>
        </w:rPr>
        <w:t xml:space="preserve"> which arise from the magnetic fields caused by partial alignment of the paramagnetic species in a static magnetic field.</w:t>
      </w:r>
      <w:r w:rsidR="00A217E9"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{"citationItems":[{"id":"ITEM-1","itemData":{"DOI":"10.1002/mrm.1910130207","ISSN":"15222594","PMID":"2156125","abstract":"The bulk magnetic susceptibility (BMS) shift of a nuclear resonance frequency caused by a paramagnetic compound is of importance in in vivo NMR, both magnetic resonance spectroscopy and magnetic resonance imaging. However, since it is a rather complicated phenomenon, it has been the source of many misinterpretations in the literature. We have reworked and organized the theory of the BMS shift. This includes accounting for the important effects of local susceptibility. We have conducted experiments on phantom samples in order to illustrate the principles involved. Our phantoms consist of capillaries and coaxial cylinders. They simulate the situations of blood vessels oriented parallel and perpendicular to the magnetic field and the interstitial spaces surrounding them. In most of our experiments, the paramagnetic compound was one of several different hyperfine shift reagents for cation resonances. These were chosen to cover a range of potencies, in both magnitude and sign, of the shifts they produce. However, we also used a reagent which was incapable of inducing a hyperfine shift and thus could cause only a BMS shift. Although we report only 23Na spectra in this paper, the latter samples simulate the cases where one observes the water 1H resonance in experiments employing hyperfine shift reagents for cations. There have been a number of such investigations recently </w:instrText>
      </w:r>
      <w:r w:rsidR="00CB06B9" w:rsidRPr="00CB6923">
        <w:rPr>
          <w:rFonts w:ascii="Times New Roman" w:hAnsi="Times New Roman" w:hint="eastAsia"/>
          <w:szCs w:val="24"/>
        </w:rPr>
        <w:instrText>reported in the literature. The principles considered in this paper allow us to offer new interpretations for the results of several experiments published in the last few years. Copyright © 1990 Wiley</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 xml:space="preserve">Liss, Inc., A Wiley Company","author":[{"dropping-particle":"","family":"Chu","given":"Ksimon </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.C.","non-dropping-particle":"","parse-names":false,"suffix":""},{"dropping-particle":"","family":"Xu","given":"Yan","non-dropping-particle":"","parse-names":false,"suffix":""},{"dropping-particle":"","family":"Bal</w:instrText>
      </w:r>
      <w:r w:rsidR="00CB06B9" w:rsidRPr="00CB6923">
        <w:rPr>
          <w:rFonts w:ascii="Times New Roman" w:hAnsi="Times New Roman"/>
          <w:szCs w:val="24"/>
        </w:rPr>
        <w:instrText>schi","given":"James A.","non-dropping-particle":"","parse-names":false,"suffix":""},{"dropping-particle":"","family":"Springer","given":"Charles S.","non-dropping-particle":"","parse-names":false,"suffix":""}],"container-title":"Magnetic Resonance in Medicine","id":"ITEM-1","issue":"2","issued":{"date-parts":[["1990"]]},"page":"239-262","title":"Bulk magnetic susceptibility shifts in nmr studies of compartmentalized samples: use of paramagnetic reagents","type":"article-journal","volume":"13"},"uris":["http://www.mendeley.com/documents/?uuid=6e320b55-f69c-4be1-9968-70e5f37856b3"]}],"mendeley":{"formattedCitation":"&lt;sup&gt;29&lt;/sup&gt;","plainTextFormattedCitation":"29","previouslyFormattedCitation":"&lt;sup&gt;29&lt;/sup&gt;"},"properties":{"noteIndex":0},"schema":"https://github.com/citation-style-language/schema/raw/master/csl-citation.json"}</w:instrText>
      </w:r>
      <w:r w:rsidR="00A217E9" w:rsidRPr="00CB6923">
        <w:rPr>
          <w:rFonts w:ascii="Times New Roman" w:hAnsi="Times New Roman"/>
          <w:szCs w:val="24"/>
        </w:rPr>
        <w:fldChar w:fldCharType="separate"/>
      </w:r>
      <w:r w:rsidR="009C4068" w:rsidRPr="00CB6923">
        <w:rPr>
          <w:rFonts w:ascii="Times New Roman" w:hAnsi="Times New Roman"/>
          <w:noProof/>
          <w:szCs w:val="24"/>
          <w:vertAlign w:val="superscript"/>
        </w:rPr>
        <w:t>29</w:t>
      </w:r>
      <w:r w:rsidR="00A217E9" w:rsidRPr="00CB6923">
        <w:rPr>
          <w:rFonts w:ascii="Times New Roman" w:hAnsi="Times New Roman"/>
          <w:szCs w:val="24"/>
        </w:rPr>
        <w:fldChar w:fldCharType="end"/>
      </w:r>
      <w:r w:rsidR="009E6687" w:rsidRPr="00CB6923">
        <w:rPr>
          <w:rFonts w:ascii="Times New Roman" w:hAnsi="Times New Roman"/>
          <w:szCs w:val="24"/>
        </w:rPr>
        <w:t xml:space="preserve"> </w:t>
      </w:r>
      <w:r w:rsidR="000B74C2" w:rsidRPr="00CB6923">
        <w:rPr>
          <w:rFonts w:ascii="Times New Roman" w:hAnsi="Times New Roman"/>
          <w:szCs w:val="24"/>
        </w:rPr>
        <w:t>Both of these spectroscopic techniques have been used to study radical concentrations in solution,</w:t>
      </w:r>
      <w:r w:rsidR="000B74C2"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{"citationItems":[{"id":"ITEM-1","itemData":{"author":[{"dropping-particle":"","family":"Evans","given":"D. F.","non-dropping-particle":"","parse-names":false,"suffix":""}],"container-title":"J. Chem. Soc.","id":"ITEM-1","issued":{"date-parts":[["1959"]]},"page":"2003-2005","title":"Determination of the Pararnagnetic Susceptibility of Substances in Solution by Nuclear Magnetic Resonance","type":"article-journal"},"uris":["http://www.mendeley.com/documents/?uuid=eb924203-a9af-4308-a41c-d98a910ef0ed"]},{"id":"ITEM-2","itemData":{"DOI":"10.1007/s00723-016-0854-9","ISSN":"09379347","abstract":"EPR spectra of perdeuterated 2,2,6,6-tetramethyl-4-oxopiperidine-1-oxyl (PDT) are studied as functions of molar concentration, c, and temperature, T, in water and 70 wt % glycerol in water. The increase of the intrinsic line width averaged over the three hyperfine lines,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varies linearly with c with zero intercept in both solvents at all temperatures; therefore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/dc is independent of c. The spin exchange induced dispersion, from which the spin exchange frequency, ωe, may be computed, increases linearly with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 passing through the origin in water and in 70% glycerol at high temperatures; however, at low temperatures, where dipolar interactions broaden the spectra, linearity does not prevail until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 &gt; 1 G due to a contribution of dipolar interactions to the dispersion. The broadening constant due to spin exchange,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found from the slope of the linear region, permitting a computation of the dipolar constant,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Thus, the separation of concentration broadening into spin exchange and dipolar contributions is effected without having to appeal to some supposed temperature dependence of the two interactions. The fractional broadening by spin exchange, Ω(T), is near unity at high temperatures in both solvents, decreasing to zero in 70% glycerol at 273 K. Ω(T) is a continuous function of the inverse rotational correlation time of PDT but is discontinuous as a function of T/η where η is the shear viscosity. Ω(T) ) 0.5, where spin exchange and dipolar interactions contribute equally to the line width occurs at T/η ) 20 ( 1 K/cP in 70% glycerol. Hydrodynamic predictions of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via the Stokes-Einstein (SE) equation are remarkably accurate in 70% glycerol comparable with the results in a series of alkanes. In water,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linear with T/η with zero intercept as required by the SE; however, with slope a factor of 0.73 smaller.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reasonably predicted by the SE only at very small values of η/T very quickly following an approximately logarithmic dependence rather that the linear prediction. Values of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approach a plateau above η/T ) 0.20 cP/K that is about one-half the solid state limit. Line shifts due to spin exchange are not yet useful to deduce values of Ω(T) due to a lack of knowledge of the time between re-encounters; however, they may be used to verify the values determined from line broadening and spin exchange induced dispersion. Some effects at low temperatures in 7…","author":[{"dropping-particle":"","family":"Bales","given":"Barney L.","non-dropping-particle":"","parse-names":false,"suffix":""},{"dropping-particle":"","family":"Michelle","given":"Meyer","non-dropping-particle":"","parse-names":false,"suffix":""},{"dropping-particle":"","family":"Smith","given":"Steve","non-dropping-particle":"","parse-names":false,"suffix":""},{"dropping-particle":"","family":"Peric","given":"Miroslav","non-dropping-particle":"","parse-names":false,"suffix":""}],"container-title":"Journal of Physical Chemistry A","id":"ITEM-2","issued":{"date-parts":[["2009"]]},"page":"4930-4940","title":"EPR Line Shifts and Line Shape Changes Due to Spin Exchange Between Nitroxide Free Radicals in Liquids: 6. Separating Line Broadening due to Spin Exchange and Dipolar Interactions","type":"article-journal","volume":"113"},"uris":["http://www.mendeley.com/documents/?uuid=7ca5117a-2d34-4cd0-b7e3-cdef319fcb15"]},{"id":"ITEM-3","itemData":{"DOI":"10.1038/s41586-020-2081-7","ISSN":"14764687","PMID":"32123353","abstract":"Large-scale energy storage is becoming increasingly critical to balancing renewable energy production and consumption1. Organic redox flow batteries, made from inexpensive and sustainable redox-active materials, are promising storage technologies that are cheaper and less environmentally hazardous than vanadium-based batteries, but they have shorter lifetimes and lower energy density2,3. Thus, fundamental insight at the molecular le</w:instrText>
      </w:r>
      <w:r w:rsidR="00CB06B9" w:rsidRPr="00CB6923">
        <w:rPr>
          <w:rFonts w:ascii="Times New Roman" w:hAnsi="Times New Roman" w:hint="eastAsia"/>
          <w:szCs w:val="24"/>
        </w:rPr>
        <w:instrText>vel is required to improve performance4,5. Here we report two in situ nuclear magnetic resonance (NMR) methods of studying redox flow batteries, which are applied to two redox-active electrolytes: 2,6-dihydroxyanthraquinone (DHAQ) and 4,4</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-((9,10-anthraqu</w:instrText>
      </w:r>
      <w:r w:rsidR="00CB06B9" w:rsidRPr="00CB6923">
        <w:rPr>
          <w:rFonts w:ascii="Times New Roman" w:hAnsi="Times New Roman"/>
          <w:szCs w:val="24"/>
        </w:rPr>
        <w:instrText>inone-2,6-diyl)dioxy) dibutyrate (DBEAQ). In the first method, we monitor the changes in the 1H NMR shift of the liquid electrolyte as it flows out of the electrochemical cell. In the second method, we observe the changes that occur simultaneously in the positive and negative electrodes in the full electrochemical cell. Using the bulk magnetization changes (observed via the 1H NMR shift of the water resonance) and the line broadening of the 1H shifts of the quinone resonances as a function of the state of charge, we measure the potential differences of the two single-electron couples, identify and quantify the rate of electron transfer between the reduced and oxidized species, and determine the extent of electron delocalization of the unpaired spins over the radical anions. These NMR techniques enable electrolyte decomposition and battery self-discharge to be explored in real time, and show that DHAQ is decomposed electrochemically via a reaction that can be minimized by limiting the voltage used on charging. We foresee applications of these NMR methods in understanding a wide range of redox processes in flow and other electrochemical systems.","author":[{"dropping-particle":"","family":"Zhao","given":"Evan Wenbo","non-dropping-particle":"","parse-names":false,"suffix":""},{"dropping-particle":"","family":"Liu","given":"Tao","non-dropping-particle":"","parse-names":false,"suffix":""},{"dropping-particle":"","family":"Jónsson","given":"Erlendur","non-dropping-particle":"","parse-names":false,"suffix":""},{"dropping-particle":"","family":"Lee","given":"Jeongjae","non-dropping-particle":"","parse-names":false,"suffix":""},{"dropping-particle":"","family":"Temprano","given":"Israel","non-dropping-particle":"","parse-names":false,"suffix":""},{"dropping-particle":"","family":"Jethwa","given":"Rajesh B.","non-dropping-particle":"","parse-names":false,"suffix":""},{"dropping-particle":"","family":"Wang","given":"Anqi","non-dropping-particle":"","parse-names":false,"suffix":""},{"dropping-particle":"","family":"Smith","given":"Holly","non-dropping-particle":"","parse-names":false,"suffix":""},{"dropping-particle":"","family":"Carretero-González","given":"Javier","non-dropping-particle":"","parse-names":false,"suffix":""},{"dropping-particle":"","family":"Song","given":"Qilei","non-dropping-particle":"","parse-names":false,"suffix":""},{"dropping-particle":"","family":"Grey","given":"Clare P.","non-dropping-particle":"","parse-names":false,"suffix":""}],"container-title":"Nature","id":"ITEM-3","issue":"7798","issued":{"date-parts":[["2020"]]},"page":"224-228","publisher":"Springer US","title":"In situ NMR metrology reveals reaction mechanisms in redox flow batteries","type":"article-journal","volume":"579"},"uris":["http://www.mendeley.com/documents/?uuid=fcddc4d2-0784-4884-a171-34f87471575f"]},{"id":"ITEM-4","itemData":{"DOI":"10.1021/jacs.0c10650","ISSN":"15205126","PMID":"33475344","abstract":"We report the development of in situ (online) EPR and coupled EPR/NMR methods to study redox flow batteries, which are applied here to investigate the redox-active electrolyte, 2,6-dihydroxyanthraquinone (DHAQ). The radical anion, DHAQ3-·, formed as a reaction intermediate during the reduction of DHAQ2-, was detected and its concentration quantified during electrochemical cycling. The fraction of the radical anions was found to be concentration-dependent, the fraction decreasing as the total concentration of DHAQ increases, which we interpret in terms of a competing dimer formation mechanism. Coupling the two techniques - EPR and NMR - enables the rate constant for the electron transfer between DHAQ3-· and DHAQ4- anions to be determined. We quantify the concentration changes of DHAQ during the \"high-voltage\"hold by NMR spectroscopy and correlate it quantitatively to the capacity fade of the battery. The decomposition products, 2,6-dihydroxyanthrone and 2,6-dihydroxyanthranol, were identified during this hold; they were shown to undergo subsequent irreversible electrochemical oxidation reaction at 0.7 V, so that they no longer participate in the subsequent electrochemistry of the battery when operated in the standard voltage window of the cell. The decomposition reaction rate was found to be concentration-dependent, with a faster rate being observed at higher concentrations. Taking advantage of the inherent flow properties of the system, this work demonstrates the possibility of multi-modal in situ (online) characterizations of redox flow batteries, the characterization techniques being applicable to a range of electrochemical flow systems.","author":[{"dropping-particle":"","family":"Zhao","given":"Evan Wenbo","non-dropping-particle":"","parse-names":false,"suffix":""},{"dropping-particle":"","family":"Jónsson","given":"Erlendur","non-dropping-particle":"","parse-names":false,"suffix":""},{"dropping-particle":"","family":"Jethwa","given":"Rajesh B.","non-dropping-particle":"","parse-names":false,"suffix":""},{"dropping-particle":"","family":"Hey","given":"Dominic","non-dropping-particle":"","parse-names":false,"suffix":""},{"dropping-particle":"","family":"Lyu","given":"Dongxun","non-dropping-particle":"","parse-names":false,"suffix":""},{"dropping-particle":"","family":"Brookfield","given":"Adam","non-dropping-particle":"","parse-names":false,"suffix":""},{"dropping-particle":"","family":"Klusener","given":"Peter A.A.","non-dropping-particle":"","parse-names":false,"suffix":""},{"dropping-particle":"","family":"Collison","given":"David","non-dropping-particle":"","parse-names":false,"suffix":""},{"dropping-particle":"","family":"Grey","given":"Clare P.","non-dropping-particle":"","parse-names":false,"suffix":""}],"container-title":"Journal of the American Chemical Society","id":"ITEM-4","issue":"4","issued":{"date-parts":[["2021"]]},"page":"1885-1895","title":"Coupled in Situ NMR and EPR Studies Reveal the Electron Transfer Rate and Electrolyte Decomposition in Redox Flow Batteries","type":"article-journal","volume":"143"},"uris":["http://www.mendeley.com/documents/?uuid=2c8e58e5-a04f-4ee4-91d6-2ae7ce1a3fda"]}],"mendeley":{"formattedCitation":"&lt;sup&gt;30–33&lt;/sup&gt;","plainTextFormattedCitation":"30–33","previouslyFormattedCitation":"&lt;sup&gt;30–33&lt;/sup&gt;"},"properties":{"noteIndex":0},"schema":"https://github.com/citation-style-language/schema/raw/master/csl-citation.json"}</w:instrText>
      </w:r>
      <w:r w:rsidR="000B74C2" w:rsidRPr="00CB6923">
        <w:rPr>
          <w:rFonts w:ascii="Times New Roman" w:hAnsi="Times New Roman"/>
          <w:szCs w:val="24"/>
        </w:rPr>
        <w:fldChar w:fldCharType="separate"/>
      </w:r>
      <w:r w:rsidR="009C4068" w:rsidRPr="00CB6923">
        <w:rPr>
          <w:rFonts w:ascii="Times New Roman" w:hAnsi="Times New Roman"/>
          <w:noProof/>
          <w:szCs w:val="24"/>
          <w:vertAlign w:val="superscript"/>
        </w:rPr>
        <w:t>30–33</w:t>
      </w:r>
      <w:r w:rsidR="000B74C2" w:rsidRPr="00CB6923">
        <w:rPr>
          <w:rFonts w:ascii="Times New Roman" w:hAnsi="Times New Roman"/>
          <w:szCs w:val="24"/>
        </w:rPr>
        <w:fldChar w:fldCharType="end"/>
      </w:r>
      <w:r w:rsidR="000B74C2" w:rsidRPr="00CB6923">
        <w:rPr>
          <w:rFonts w:ascii="Times New Roman" w:hAnsi="Times New Roman"/>
          <w:szCs w:val="24"/>
        </w:rPr>
        <w:t xml:space="preserve"> during electrochemical cycling. </w:t>
      </w:r>
    </w:p>
    <w:p w14:paraId="4CAD402E" w14:textId="6F4317B5" w:rsidR="00F63C23" w:rsidRPr="00CB6923" w:rsidRDefault="0078150B">
      <w:pPr>
        <w:pStyle w:val="TAMainText"/>
        <w:spacing w:after="240"/>
        <w:ind w:firstLine="720"/>
        <w:jc w:val="left"/>
        <w:rPr>
          <w:rFonts w:ascii="Times New Roman" w:hAnsi="Times New Roman"/>
          <w:szCs w:val="24"/>
        </w:rPr>
      </w:pPr>
      <w:r w:rsidRPr="00CB6923">
        <w:rPr>
          <w:rFonts w:ascii="Times New Roman" w:hAnsi="Times New Roman"/>
          <w:szCs w:val="24"/>
        </w:rPr>
        <w:t>We study the extent of TEMPO redox shuttling by comparing the total charge passed during electrochemical oxidation/reduction and the change in radical concentrations measured via in-situ magnetic resonance.</w:t>
      </w:r>
      <w:r w:rsidR="009D7568" w:rsidRPr="00CB6923">
        <w:rPr>
          <w:rFonts w:ascii="Times New Roman" w:hAnsi="Times New Roman"/>
          <w:szCs w:val="24"/>
        </w:rPr>
        <w:t xml:space="preserve"> </w:t>
      </w:r>
      <w:r w:rsidR="007E1CFD" w:rsidRPr="00CB6923">
        <w:rPr>
          <w:rFonts w:ascii="Times New Roman" w:hAnsi="Times New Roman"/>
          <w:szCs w:val="24"/>
        </w:rPr>
        <w:t>We</w:t>
      </w:r>
      <w:r w:rsidR="000B74C2" w:rsidRPr="00CB6923">
        <w:rPr>
          <w:rFonts w:ascii="Times New Roman" w:hAnsi="Times New Roman"/>
          <w:szCs w:val="24"/>
        </w:rPr>
        <w:t xml:space="preserve"> first </w:t>
      </w:r>
      <w:r w:rsidR="007E1CFD" w:rsidRPr="00CB6923">
        <w:rPr>
          <w:rFonts w:ascii="Times New Roman" w:hAnsi="Times New Roman"/>
          <w:szCs w:val="24"/>
        </w:rPr>
        <w:t>show the</w:t>
      </w:r>
      <w:r w:rsidR="000B74C2" w:rsidRPr="00CB6923">
        <w:rPr>
          <w:rFonts w:ascii="Times New Roman" w:hAnsi="Times New Roman"/>
          <w:szCs w:val="24"/>
        </w:rPr>
        <w:t xml:space="preserve"> radical concentration changes </w:t>
      </w:r>
      <w:r w:rsidR="007E1CFD" w:rsidRPr="00CB6923">
        <w:rPr>
          <w:rFonts w:ascii="Times New Roman" w:hAnsi="Times New Roman"/>
          <w:szCs w:val="24"/>
        </w:rPr>
        <w:t xml:space="preserve">measured </w:t>
      </w:r>
      <w:r w:rsidR="000B74C2" w:rsidRPr="00CB6923">
        <w:rPr>
          <w:rFonts w:ascii="Times New Roman" w:hAnsi="Times New Roman"/>
          <w:szCs w:val="24"/>
        </w:rPr>
        <w:t>by EPR and NMR clear</w:t>
      </w:r>
      <w:r w:rsidR="007E1CFD" w:rsidRPr="00CB6923">
        <w:rPr>
          <w:rFonts w:ascii="Times New Roman" w:hAnsi="Times New Roman"/>
          <w:szCs w:val="24"/>
        </w:rPr>
        <w:t>ly</w:t>
      </w:r>
      <w:r w:rsidR="000B74C2" w:rsidRPr="00CB6923">
        <w:rPr>
          <w:rFonts w:ascii="Times New Roman" w:hAnsi="Times New Roman"/>
          <w:szCs w:val="24"/>
        </w:rPr>
        <w:t xml:space="preserve"> deviat</w:t>
      </w:r>
      <w:r w:rsidR="007E1CFD" w:rsidRPr="00CB6923">
        <w:rPr>
          <w:rFonts w:ascii="Times New Roman" w:hAnsi="Times New Roman"/>
          <w:szCs w:val="24"/>
        </w:rPr>
        <w:t>e</w:t>
      </w:r>
      <w:r w:rsidR="000B74C2" w:rsidRPr="00CB6923">
        <w:rPr>
          <w:rFonts w:ascii="Times New Roman" w:hAnsi="Times New Roman"/>
          <w:szCs w:val="24"/>
        </w:rPr>
        <w:t xml:space="preserve"> from that expected from the electrochemistry (and total charge passed). We </w:t>
      </w:r>
      <w:r w:rsidR="00786BE7" w:rsidRPr="00CB6923">
        <w:rPr>
          <w:rFonts w:ascii="Times New Roman" w:hAnsi="Times New Roman"/>
          <w:szCs w:val="24"/>
        </w:rPr>
        <w:t>ascribe</w:t>
      </w:r>
      <w:r w:rsidR="000B74C2" w:rsidRPr="00CB6923">
        <w:rPr>
          <w:rFonts w:ascii="Times New Roman" w:hAnsi="Times New Roman"/>
          <w:szCs w:val="24"/>
        </w:rPr>
        <w:t xml:space="preserve"> this mismatch to redox shuttling, where oxidized TEMPO migrates to the counter electrode and is reduced back to TEMPO.</w:t>
      </w:r>
      <w:r w:rsidR="00941AF3" w:rsidRPr="00CB6923">
        <w:rPr>
          <w:rFonts w:ascii="Times New Roman" w:hAnsi="Times New Roman"/>
          <w:szCs w:val="24"/>
        </w:rPr>
        <w:t xml:space="preserve"> </w:t>
      </w:r>
      <w:r w:rsidR="00166A10" w:rsidRPr="00CB6923">
        <w:rPr>
          <w:rFonts w:ascii="Times New Roman" w:hAnsi="Times New Roman"/>
          <w:szCs w:val="24"/>
        </w:rPr>
        <w:t>Both 1 and 2-dimensional (1D and 2D) d</w:t>
      </w:r>
      <w:r w:rsidR="000B74C2" w:rsidRPr="00CB6923">
        <w:rPr>
          <w:rFonts w:ascii="Times New Roman" w:hAnsi="Times New Roman"/>
          <w:szCs w:val="24"/>
        </w:rPr>
        <w:t xml:space="preserve">iffusion models are then used to investigate the mass transport effects on the extent of redox shuttling. Both the experimental and modeling results indicate that capacity is lost via self-reduction of redox active species that have </w:t>
      </w:r>
      <w:r w:rsidR="002362A5" w:rsidRPr="00CB6923">
        <w:rPr>
          <w:rFonts w:ascii="Times New Roman" w:hAnsi="Times New Roman"/>
          <w:szCs w:val="24"/>
        </w:rPr>
        <w:t>migrated</w:t>
      </w:r>
      <w:r w:rsidR="000B74C2" w:rsidRPr="00CB6923">
        <w:rPr>
          <w:rFonts w:ascii="Times New Roman" w:hAnsi="Times New Roman"/>
          <w:szCs w:val="24"/>
        </w:rPr>
        <w:t xml:space="preserve"> from the cathode to the anode. Finally, we tested the efficacy of a lithiated Nafion </w:t>
      </w:r>
      <w:r w:rsidR="00030D8D" w:rsidRPr="00CB6923">
        <w:rPr>
          <w:rFonts w:ascii="Times New Roman" w:hAnsi="Times New Roman"/>
          <w:szCs w:val="24"/>
        </w:rPr>
        <w:t xml:space="preserve">(Li-Nafion) </w:t>
      </w:r>
      <w:r w:rsidR="000B74C2" w:rsidRPr="00CB6923">
        <w:rPr>
          <w:rFonts w:ascii="Times New Roman" w:hAnsi="Times New Roman"/>
          <w:szCs w:val="24"/>
        </w:rPr>
        <w:t xml:space="preserve">membrane in mitigating the crossover of </w:t>
      </w:r>
      <w:r w:rsidR="000B74C2" w:rsidRPr="00CB6923">
        <w:rPr>
          <w:rFonts w:ascii="Times New Roman" w:hAnsi="Times New Roman"/>
          <w:szCs w:val="24"/>
        </w:rPr>
        <w:lastRenderedPageBreak/>
        <w:t>TEMPO and TEMPO</w:t>
      </w:r>
      <w:r w:rsidR="000B74C2" w:rsidRPr="00CB6923">
        <w:rPr>
          <w:rFonts w:ascii="Times New Roman" w:hAnsi="Times New Roman"/>
          <w:szCs w:val="24"/>
          <w:vertAlign w:val="superscript"/>
        </w:rPr>
        <w:t>+</w:t>
      </w:r>
      <w:r w:rsidR="000B74C2" w:rsidRPr="00CB6923">
        <w:rPr>
          <w:rFonts w:ascii="Times New Roman" w:hAnsi="Times New Roman"/>
          <w:szCs w:val="24"/>
        </w:rPr>
        <w:t xml:space="preserve"> species using the flow set-up with in-situ magnetic resonance measurements as well as assembling LABs with these membranes</w:t>
      </w:r>
      <w:r w:rsidR="007964B5" w:rsidRPr="00CB6923">
        <w:rPr>
          <w:rFonts w:ascii="Times New Roman" w:hAnsi="Times New Roman"/>
          <w:szCs w:val="24"/>
        </w:rPr>
        <w:t>.</w:t>
      </w:r>
      <w:r w:rsidR="009D7568" w:rsidRPr="00CB6923">
        <w:rPr>
          <w:rFonts w:ascii="Times New Roman" w:hAnsi="Times New Roman"/>
          <w:szCs w:val="24"/>
        </w:rPr>
        <w:t xml:space="preserve"> </w:t>
      </w:r>
      <w:r w:rsidR="007964B5" w:rsidRPr="00CB6923">
        <w:rPr>
          <w:rFonts w:ascii="Times New Roman" w:hAnsi="Times New Roman"/>
          <w:szCs w:val="24"/>
        </w:rPr>
        <w:t xml:space="preserve">We </w:t>
      </w:r>
      <w:r w:rsidR="006C74EB" w:rsidRPr="00CB6923">
        <w:rPr>
          <w:rFonts w:ascii="Times New Roman" w:hAnsi="Times New Roman"/>
          <w:szCs w:val="24"/>
        </w:rPr>
        <w:t>found</w:t>
      </w:r>
      <w:r w:rsidR="009D7568" w:rsidRPr="00CB6923">
        <w:rPr>
          <w:rFonts w:ascii="Times New Roman" w:hAnsi="Times New Roman"/>
          <w:szCs w:val="24"/>
        </w:rPr>
        <w:t xml:space="preserve"> th</w:t>
      </w:r>
      <w:r w:rsidR="000B74C2" w:rsidRPr="00CB6923">
        <w:rPr>
          <w:rFonts w:ascii="Times New Roman" w:hAnsi="Times New Roman"/>
          <w:szCs w:val="24"/>
        </w:rPr>
        <w:t>at at short time scales the Li-Nafion mitigated, but did not completely prevent, crossover of both TEMPO and its cation.</w:t>
      </w:r>
    </w:p>
    <w:p w14:paraId="00AEF658" w14:textId="38E2326A" w:rsidR="00C84798" w:rsidRPr="00CB6923" w:rsidRDefault="00C84798" w:rsidP="00C84798">
      <w:pPr>
        <w:pStyle w:val="TAMainText"/>
        <w:spacing w:after="240"/>
        <w:ind w:firstLine="0"/>
        <w:jc w:val="left"/>
        <w:rPr>
          <w:rFonts w:ascii="Times New Roman" w:hAnsi="Times New Roman"/>
          <w:szCs w:val="24"/>
        </w:rPr>
      </w:pPr>
      <w:r w:rsidRPr="00CB6923">
        <w:rPr>
          <w:rFonts w:ascii="Times New Roman" w:hAnsi="Times New Roman"/>
          <w:szCs w:val="24"/>
        </w:rPr>
        <w:t>EXPERIMENTAL METHODS</w:t>
      </w:r>
    </w:p>
    <w:p w14:paraId="038FBE21" w14:textId="37A3F4B3" w:rsidR="00FC62FD" w:rsidRPr="00CB6923" w:rsidRDefault="00FC62FD" w:rsidP="00FC62FD">
      <w:pPr>
        <w:pStyle w:val="TAMainText"/>
        <w:spacing w:after="240"/>
        <w:jc w:val="left"/>
      </w:pPr>
      <w:r w:rsidRPr="00CB6923">
        <w:rPr>
          <w:i/>
          <w:iCs/>
        </w:rPr>
        <w:t>Materials</w:t>
      </w:r>
      <w:r w:rsidRPr="00CB6923">
        <w:t xml:space="preserve">. Lithium bis (trifluoromethyl) sulfonylimide (LiTFSI) was sourced from Sigma Aldrich. Prior to use, LiTFSI was dried under </w:t>
      </w:r>
      <w:r w:rsidR="004C2149" w:rsidRPr="00CB6923">
        <w:t>vacuum</w:t>
      </w:r>
      <w:r w:rsidRPr="00CB6923">
        <w:t xml:space="preserve"> at 120</w:t>
      </w:r>
      <w:r w:rsidR="004C2149" w:rsidRPr="00CB6923">
        <w:rPr>
          <w:rFonts w:cs="Times"/>
        </w:rPr>
        <w:t xml:space="preserve">° </w:t>
      </w:r>
      <w:r w:rsidRPr="00CB6923">
        <w:t>C for 12 h</w:t>
      </w:r>
      <w:r w:rsidR="004C2149" w:rsidRPr="00CB6923">
        <w:t>ou</w:t>
      </w:r>
      <w:r w:rsidRPr="00CB6923">
        <w:t>rs. Diethylgylcolmethyl ether (diglyme) was purchased from Acros Organic. Diglyme was refluxed under Ar with sodium metal, then distilled, and finally stored in an Ar-filled glovebox over molecular sieves. Carbon electrodes, Sigracet 39BC, comprising of carbon fiber paper coated with microporous carbon were purchased from FuelCellStore. Electrodes were cut into 0.5 cm</w:t>
      </w:r>
      <w:r w:rsidRPr="00CB6923">
        <w:rPr>
          <w:vertAlign w:val="superscript"/>
        </w:rPr>
        <w:t>2</w:t>
      </w:r>
      <w:r w:rsidRPr="00CB6923">
        <w:t xml:space="preserve"> discs or 1 cm</w:t>
      </w:r>
      <w:r w:rsidRPr="00CB6923">
        <w:rPr>
          <w:vertAlign w:val="superscript"/>
        </w:rPr>
        <w:t>2</w:t>
      </w:r>
      <w:r w:rsidRPr="00CB6923">
        <w:t xml:space="preserve"> squares, rinsed in EtOH, and dried under </w:t>
      </w:r>
      <w:r w:rsidR="004C2149" w:rsidRPr="00CB6923">
        <w:t>vacuum</w:t>
      </w:r>
      <w:r w:rsidRPr="00CB6923">
        <w:t xml:space="preserve"> at 120</w:t>
      </w:r>
      <w:r w:rsidR="00C96B00" w:rsidRPr="00CB6923">
        <w:rPr>
          <w:rFonts w:cs="Times"/>
        </w:rPr>
        <w:t xml:space="preserve">° </w:t>
      </w:r>
      <w:r w:rsidRPr="00CB6923">
        <w:t xml:space="preserve">C for 12 </w:t>
      </w:r>
      <w:r w:rsidR="003D7DA7" w:rsidRPr="00CB6923">
        <w:t>h</w:t>
      </w:r>
      <w:r w:rsidRPr="00CB6923">
        <w:t xml:space="preserve">. Borosilicate glass fiber </w:t>
      </w:r>
      <w:r w:rsidR="00EC52C1" w:rsidRPr="00CB6923">
        <w:t xml:space="preserve">(GF) </w:t>
      </w:r>
      <w:r w:rsidRPr="00CB6923">
        <w:t xml:space="preserve">separators from Whatman, were used. Lithium metal, 99.5%, was purchased from LTS Research, and stored in an Ar-filled glovebox. 2,2,6,6-tetramethylpiperidinyloxyl (TEMPO) radical, 98% purity, was purchased from Alfa Aesar and used as is. Lithium iron phosphate (LFP) was purchased from MTI corporation. </w:t>
      </w:r>
    </w:p>
    <w:p w14:paraId="29001058" w14:textId="79A063CB" w:rsidR="00C84798" w:rsidRPr="00CB6923" w:rsidRDefault="00FC62FD" w:rsidP="00FC62FD">
      <w:pPr>
        <w:pStyle w:val="TAMainText"/>
        <w:spacing w:after="240"/>
        <w:ind w:firstLine="0"/>
        <w:jc w:val="left"/>
        <w:rPr>
          <w:rFonts w:ascii="Times New Roman" w:hAnsi="Times New Roman"/>
          <w:szCs w:val="24"/>
        </w:rPr>
      </w:pPr>
      <w:r w:rsidRPr="00CB6923">
        <w:tab/>
        <w:t>The membranes used were either Celgard 3501, or Li-Nafion. Celgard membranes were rinsed in EtOH and dried in a 60</w:t>
      </w:r>
      <w:r w:rsidR="003B7727" w:rsidRPr="00CB6923">
        <w:rPr>
          <w:rFonts w:cs="Times"/>
        </w:rPr>
        <w:t>°</w:t>
      </w:r>
      <w:r w:rsidR="003B7727" w:rsidRPr="00CB6923">
        <w:t xml:space="preserve"> </w:t>
      </w:r>
      <w:r w:rsidRPr="00CB6923">
        <w:t>C oven prior to use. Nafion 212 membranes, were purchased from Sigma Aldrich. Lithiated membranes were prepared following procedures outlined in literature:</w:t>
      </w:r>
      <w:r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{"citationItems":[{"id":"ITEM-1","itemData":{"DOI":"10.1016/j.jpowsour.2018.01.063","ISSN":"03787753","abstract":"Due to flexible property and light weight, the lithiated Nafion membrane swollen with PC (PC-Li-Nafion) has been employed as both solid-state electrolyte and separator to fabricate solid-state Li-S cells. The electrochemical measurements of PC-Li-Nafion membrane show that its Li-ion transference number is 0.928, ionic conductivity of 2.1 × 10−4 S cm−1 can be achieved at 70 °C and its electrochemical window is 0 </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 +4.1 V vs. Li+/Li. It is observed that the Li dendrites are suppressed by using PC-Li-Nafion membrane due to its single-ion conducting property. The amounts of Li-Nafion resin binder and conductive carbon in the cathode are optimized as 40% and 10% respectively to make a balance of ionic and electronic conductivities. A thin-layer Li-Nafion resin with a thickness of around 2 μm is fabricated between the cathode and PC-Li-Nafion membrane to improve the interfacial contact and further enhance the specific capacity of the cell. When measured at 70 °C, the Li-S cell delivers a reversible specific capacity of 1072.8 mAh g−1 (S) at 0.05 C and 895 mAh g−1 (S) at 1 C. The capacity retention at 1 C is 89% after 100 cycles. These results suggest that high-performance solid-state Li-S cells can be fabricated with the Li-Nafion polymer electrolyte.","author":[{"dropping-particle":"","family":"Gao","given":"Jing","non-dropping-particle":"","parse-names":false,"suffix":""},{"dropping-particle":"","family":"Sun","given":"Chunshui","non-dropping-particle":"","parse-names":false,"suffix":""},{"dropping-particle":"","family":"Xu","given":"Lei","non-dropping-particle":"","parse-names":false,"suffix":""},{"dropping-particle":"","family":"Chen","given":"Jian","non-dropping-particle":"","parse-names":false,"suffix":""},{"dropping-particle":"","family":"Wang","given":"Chong","non-dropping-particle":"","parse-names":false,"suffix":""},{"dropping-particle":"","family":"Guo","given":"Decai","non-dropping-particle":"","parse-names":false,"suffix":""},{"dropping-particle":"","family":"Chen","given":"Hao","non-dropping-particle":"","parse-names":false,"suffix":""}],"container-title":"Journal of Power Sources","id":"ITEM-1","issue":"October 2017","issued":{"date-parts":[["2018"]]},"page":"179-189","publisher":"Elsevier","title":"Lithiated Nafion as polymer electrolyte for solid-state lithium sulfur batteries using carbon-sulfur composite cathode","type":"article-journal","volume":"382"},"uris":["http://www.mendeley.com/documents/?uuid=417aa725-c673-45db-aedd-d8215f559731"]}],"mendeley":{"formattedCitation":"&lt;sup&gt;34&lt;/sup&gt;","plainTextFormattedCitation":"34","previouslyFormattedCitation":"&lt;sup&gt;34&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34</w:t>
      </w:r>
      <w:r w:rsidRPr="00CB6923">
        <w:rPr>
          <w:rFonts w:ascii="Times New Roman" w:hAnsi="Times New Roman"/>
          <w:szCs w:val="24"/>
        </w:rPr>
        <w:fldChar w:fldCharType="end"/>
      </w:r>
      <w:r w:rsidRPr="00CB6923">
        <w:rPr>
          <w:rFonts w:ascii="Times New Roman" w:hAnsi="Times New Roman"/>
          <w:szCs w:val="24"/>
        </w:rPr>
        <w:t xml:space="preserve"> the Nafion was heated in 1M LiOH aqueous solution for 8 </w:t>
      </w:r>
      <w:r w:rsidR="003D7DA7" w:rsidRPr="00CB6923">
        <w:rPr>
          <w:rFonts w:ascii="Times New Roman" w:hAnsi="Times New Roman"/>
          <w:szCs w:val="24"/>
        </w:rPr>
        <w:t>h</w:t>
      </w:r>
      <w:r w:rsidRPr="00CB6923">
        <w:rPr>
          <w:rFonts w:ascii="Times New Roman" w:hAnsi="Times New Roman"/>
          <w:szCs w:val="24"/>
        </w:rPr>
        <w:t xml:space="preserve"> at 80</w:t>
      </w:r>
      <w:r w:rsidR="00084AA3" w:rsidRPr="00CB6923">
        <w:rPr>
          <w:rFonts w:cs="Times"/>
        </w:rPr>
        <w:t xml:space="preserve">° </w:t>
      </w:r>
      <w:r w:rsidRPr="00CB6923">
        <w:rPr>
          <w:rFonts w:ascii="Times New Roman" w:hAnsi="Times New Roman"/>
          <w:szCs w:val="24"/>
        </w:rPr>
        <w:t xml:space="preserve">C in a water bath, followed by rinsing for 30 min in distilled water, then drying under </w:t>
      </w:r>
      <w:r w:rsidR="004C2149" w:rsidRPr="00CB6923">
        <w:rPr>
          <w:rFonts w:ascii="Times New Roman" w:hAnsi="Times New Roman"/>
          <w:szCs w:val="24"/>
        </w:rPr>
        <w:t>vacuum</w:t>
      </w:r>
      <w:r w:rsidRPr="00CB6923">
        <w:rPr>
          <w:rFonts w:ascii="Times New Roman" w:hAnsi="Times New Roman"/>
          <w:szCs w:val="24"/>
        </w:rPr>
        <w:t xml:space="preserve"> at 80</w:t>
      </w:r>
      <w:r w:rsidR="00084AA3" w:rsidRPr="00CB6923">
        <w:rPr>
          <w:rFonts w:cs="Times"/>
        </w:rPr>
        <w:t xml:space="preserve">° </w:t>
      </w:r>
      <w:r w:rsidRPr="00CB6923">
        <w:rPr>
          <w:rFonts w:ascii="Times New Roman" w:hAnsi="Times New Roman"/>
          <w:szCs w:val="24"/>
        </w:rPr>
        <w:t xml:space="preserve">C overnight </w:t>
      </w:r>
      <w:r w:rsidRPr="00CB6923">
        <w:rPr>
          <w:rFonts w:ascii="Times New Roman" w:hAnsi="Times New Roman"/>
          <w:szCs w:val="24"/>
        </w:rPr>
        <w:lastRenderedPageBreak/>
        <w:t xml:space="preserve">before storing in the glovebox. Prior to use in cells, the Li-Nafion was soaked in electrolyte for 12 </w:t>
      </w:r>
      <w:r w:rsidR="003D7DA7" w:rsidRPr="00CB6923">
        <w:rPr>
          <w:rFonts w:ascii="Times New Roman" w:hAnsi="Times New Roman"/>
          <w:szCs w:val="24"/>
        </w:rPr>
        <w:t>h</w:t>
      </w:r>
      <w:r w:rsidRPr="00CB6923">
        <w:rPr>
          <w:rFonts w:ascii="Times New Roman" w:hAnsi="Times New Roman"/>
          <w:szCs w:val="24"/>
        </w:rPr>
        <w:t>.</w:t>
      </w:r>
    </w:p>
    <w:p w14:paraId="16638CFF" w14:textId="3CE0EF8F" w:rsidR="00873E63" w:rsidRPr="00CB6923" w:rsidRDefault="00FA4D96" w:rsidP="00873E63">
      <w:pPr>
        <w:pStyle w:val="TAMainText"/>
        <w:spacing w:after="240"/>
        <w:jc w:val="left"/>
      </w:pPr>
      <w:r w:rsidRPr="00CB6923">
        <w:tab/>
      </w:r>
      <w:r w:rsidR="00873E63" w:rsidRPr="00CB6923">
        <w:rPr>
          <w:i/>
          <w:iCs/>
        </w:rPr>
        <w:t>Battery assembly.</w:t>
      </w:r>
      <w:r w:rsidR="00873E63" w:rsidRPr="00CB6923">
        <w:t xml:space="preserve"> Electrolyte solutions were prepared in an Ar-filled glove box. The electrolytes used were 0.25</w:t>
      </w:r>
      <w:r w:rsidR="00A97D64" w:rsidRPr="00CB6923">
        <w:t xml:space="preserve"> </w:t>
      </w:r>
      <w:r w:rsidR="00873E63" w:rsidRPr="00CB6923">
        <w:t>M LiTFSI in diglyme with or without 25</w:t>
      </w:r>
      <w:r w:rsidR="00697515" w:rsidRPr="00CB6923">
        <w:t xml:space="preserve"> </w:t>
      </w:r>
      <w:r w:rsidR="00873E63" w:rsidRPr="00CB6923">
        <w:t>mM TEMPO. In Swagelok cells,</w:t>
      </w:r>
      <w:r w:rsidR="00B53106" w:rsidRPr="00CB6923">
        <w:t xml:space="preserve"> </w:t>
      </w:r>
      <w:r w:rsidR="00991912" w:rsidRPr="00CB6923">
        <w:t xml:space="preserve">75 </w:t>
      </w:r>
      <w:r w:rsidR="00991912" w:rsidRPr="00CB6923">
        <w:rPr>
          <w:rFonts w:cs="Times"/>
        </w:rPr>
        <w:t>μ</w:t>
      </w:r>
      <w:r w:rsidR="00991912" w:rsidRPr="00CB6923">
        <w:t xml:space="preserve">L was used for cells with one separator and 100 </w:t>
      </w:r>
      <w:r w:rsidR="00991912" w:rsidRPr="00CB6923">
        <w:rPr>
          <w:rFonts w:cs="Times"/>
        </w:rPr>
        <w:t>μ</w:t>
      </w:r>
      <w:r w:rsidR="00991912" w:rsidRPr="00CB6923">
        <w:t>L was used for cells with 2 separators</w:t>
      </w:r>
      <w:r w:rsidR="00873E63" w:rsidRPr="00CB6923">
        <w:t>. In flow cells, 25</w:t>
      </w:r>
      <w:r w:rsidR="00697515" w:rsidRPr="00CB6923">
        <w:t xml:space="preserve"> </w:t>
      </w:r>
      <w:r w:rsidR="00873E63" w:rsidRPr="00CB6923">
        <w:t xml:space="preserve">mL of electrolyte was used. All cells were assembled in an Ar-filled glovebox. </w:t>
      </w:r>
    </w:p>
    <w:p w14:paraId="4D2F05A8" w14:textId="06D9F501" w:rsidR="00FC62FD" w:rsidRPr="00CB6923" w:rsidRDefault="00873E63" w:rsidP="00D540B2">
      <w:pPr>
        <w:pStyle w:val="TAMainText"/>
        <w:ind w:firstLine="720"/>
        <w:jc w:val="left"/>
      </w:pPr>
      <w:r w:rsidRPr="00CB6923">
        <w:t>Swagelok cells were assembled using carbon cathodes, borosilicate glass fiber separators, Li metal, or LFP in order to minimize parasitic reactions caused by Li metal. De-lithiated LFP was first obtained by electrochemical oxidation of LFP assembled into a Swagelok cell (Li anode). After cell assembly in the glovebox, the cells were connected to a O</w:t>
      </w:r>
      <w:r w:rsidRPr="00CB6923">
        <w:rPr>
          <w:vertAlign w:val="subscript"/>
        </w:rPr>
        <w:t>2</w:t>
      </w:r>
      <w:r w:rsidRPr="00CB6923">
        <w:t xml:space="preserve"> gas filling station via Swagelok connections. The gas volume in each cell was measured by a mass flow controller. Operando pressure measurements were performed using a pressure transducer connected to the Swagelok cells. Pressure </w:t>
      </w:r>
      <w:r w:rsidR="00B90842" w:rsidRPr="00CB6923">
        <w:t>changes</w:t>
      </w:r>
      <w:r w:rsidRPr="00CB6923">
        <w:t xml:space="preserve"> were measured during electrochemical cycling, then converted to moles of gas consumed/evolved using the known volumes and the ideal gas law:</w:t>
      </w:r>
    </w:p>
    <w:p w14:paraId="1E592466" w14:textId="7EE24AA3" w:rsidR="00236DD4" w:rsidRPr="00CB6923" w:rsidRDefault="00236DD4" w:rsidP="00236DD4">
      <w:pPr>
        <w:pStyle w:val="ListParagraph"/>
        <w:numPr>
          <w:ilvl w:val="0"/>
          <w:numId w:val="11"/>
        </w:numPr>
        <w:spacing w:before="120" w:line="480" w:lineRule="auto"/>
        <w:ind w:left="3960" w:hanging="3960"/>
        <w:rPr>
          <w:rFonts w:eastAsiaTheme="minorEastAsia"/>
        </w:rPr>
      </w:pPr>
      <m:oMath>
        <m:r>
          <w:rPr>
            <w:rFonts w:ascii="Cambria Math" w:hAnsi="Cambria Math"/>
          </w:rPr>
          <m:t>∆PV=∆nRT</m:t>
        </m:r>
      </m:oMath>
    </w:p>
    <w:p w14:paraId="1C3EE673" w14:textId="171AE359" w:rsidR="008E5601" w:rsidRPr="00CB6923" w:rsidRDefault="00236DD4" w:rsidP="00236DD4">
      <w:pPr>
        <w:pStyle w:val="TAMainText"/>
        <w:spacing w:after="240"/>
        <w:ind w:firstLine="0"/>
        <w:jc w:val="left"/>
      </w:pPr>
      <w:r w:rsidRPr="00CB6923">
        <w:t>where V is the volume of</w:t>
      </w:r>
      <w:r w:rsidR="007D529F" w:rsidRPr="00CB6923">
        <w:t xml:space="preserve"> gas</w:t>
      </w:r>
      <w:r w:rsidRPr="00CB6923">
        <w:t xml:space="preserve"> the cell body, 8.024 cm</w:t>
      </w:r>
      <w:r w:rsidRPr="00CB6923">
        <w:rPr>
          <w:vertAlign w:val="superscript"/>
        </w:rPr>
        <w:t>3</w:t>
      </w:r>
      <w:r w:rsidRPr="00CB6923">
        <w:t>, R is the universal gas constant, and T is the temperature.</w:t>
      </w:r>
    </w:p>
    <w:p w14:paraId="7D9097A8" w14:textId="24487C80" w:rsidR="008F1507" w:rsidRPr="00CB6923" w:rsidRDefault="008F1507" w:rsidP="008F1507">
      <w:pPr>
        <w:pStyle w:val="TAMainText"/>
        <w:spacing w:after="240"/>
        <w:ind w:firstLine="720"/>
        <w:jc w:val="left"/>
      </w:pPr>
      <w:r w:rsidRPr="00CB6923">
        <w:t xml:space="preserve">For flow cells, stainless steel and graphite current collectors were used for the delithiated LFP anode and carbon cathode, respectively. The graphite current collector was etched with interdigitated flow fields to allow electrolyte flow. </w:t>
      </w:r>
      <w:r w:rsidR="00F07953" w:rsidRPr="00CB6923">
        <w:t>Polytetrafluoroethylene (</w:t>
      </w:r>
      <w:r w:rsidRPr="00CB6923">
        <w:t>PTFE</w:t>
      </w:r>
      <w:r w:rsidR="00F07953" w:rsidRPr="00CB6923">
        <w:t>)</w:t>
      </w:r>
      <w:r w:rsidRPr="00CB6923">
        <w:t xml:space="preserve"> seals were used to prevent electrolyte leakage (see SI). A Suba-Seal rubber stopper was used to seal the </w:t>
      </w:r>
      <w:r w:rsidRPr="00CB6923">
        <w:lastRenderedPageBreak/>
        <w:t xml:space="preserve">electrolyte reservoir (see SI). The cell was assembled and bolted to 2N-m force using a torque wrench. Perfluoroalkoxy (PFA) tubing, </w:t>
      </w:r>
      <w:r w:rsidR="00510C14" w:rsidRPr="00CB6923">
        <w:t>1/16-inch</w:t>
      </w:r>
      <w:r w:rsidR="00BD31B9" w:rsidRPr="00CB6923">
        <w:t xml:space="preserve"> outer</w:t>
      </w:r>
      <w:r w:rsidRPr="00CB6923">
        <w:t xml:space="preserve"> diameter, was used to connect the cell to spectrometers and electrolyte reservoir. MasterFlex tubing 77202-60 #14 Chem Bio was used with the peristaltic pump. The tubing used may be permeable to water and other gases, however the experiments were run for less than two days and the amount of contamination due to permeation through the tubing should be low.</w:t>
      </w:r>
      <w:r w:rsidR="00941AF3" w:rsidRPr="00CB6923">
        <w:t xml:space="preserve"> </w:t>
      </w:r>
      <w:r w:rsidRPr="00CB6923">
        <w:t>A non-aqueous redox flow cell design was reproduced following specifications from Milshtein et al.</w:t>
      </w:r>
      <w:r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{"citationItems":[{"id":"ITEM-1","itemData":{"DOI":"10.1039/c6ee02027e","ISSN":"17545706","abstract":"Non-aqueous redox flow batteries (NAqRFBs) employing redox-active organic molecules show promise to meet requirements for grid energy storage. Here, we combine the rational design of organic molecules with flow cell engineering to boost NAqRFB performance. We synthesize two highly soluble phenothiazine derivatives, N-(2-methoxyethyl)phenothiazine (MEPT) and N-[2-(2-methoxyethoxy)ethyl]phenothiazine (MEEPT), via a one-step synthesis from inexpensive precursors. Synthesis and isolation of the radical-cation salts permit UV-vis decay studies that illustrate the high stability of these open-shell species. Cyclic voltammetry and bulk electrolysis experiments reveal the promising electrochemical properties of MEPT and MEEPT under dilute conditions. A high performance non-aqueous flow cell, employing interdigitated flow fields and carbon paper electrodes, is engineered and demonstrated; polarization and impedance studies quantify the cell's low area-specific resistance (3.2-3.3 Ω cm2). We combine the most soluble derivative, MEEPT, and its tetrafluoroborate radical-cation salt in the flow cell for symmetric cycling, evincing a current density of 100 mA cm-2 with undetectable capacity fade over 100 cycles. This coincident high current density and capacity retention is unprecedented in NAqRFB literature.","author":[{"dropping-particle":"","family":"Milshtein","given":"Jarrod D.","non-dropping-particle":"","parse-names":false,"suffix":""},{"dropping-particle":"","family":"Kaur","given":"Aman Preet","non-dropping-particle":"","parse-names":false,"suffix":""},{"dropping-particle":"","family":"Casselman","given":"Matthew D.","non-dropping-particle":"","parse-names":false,"suffix":""},{"dropping-particle":"","family":"Kowalski","given":"Jeffrey A.","non-dropping-particle":"","parse-names":false,"suffix":""},{"dropping-particle":"","family":"Modekrutti","given":"Subrahmanyam","non-dropping-particle":"","parse-names":false,"suffix":""},{"dropping-particle":"","family":"Zhang","given":"Peter L.","non-dropping-particle":"","parse-names":false,"suffix":""},{"dropping-particle":"","family":"Harsha Attanayake","given":"N.","non-dropping-particle":"","parse-names":false,"suffix":""},{"dropping-particle":"","family":"Elliott","given":"Corrine F.","non-dropping-particle":"","parse-names":false,"suffix":""},{"dropping-particle":"","family":"Parkin","given":"Sean R.","non-dropping-particle":"","parse-names":false,"suffix":""},{"dropping-particle":"","family":"Risko","given":"Chad","non-dropping-particle":"","parse-names":false,"suffix":""},{"dropping-particle":"","family":"Brushett","given":"Fikile R.","non-dropping-particle":"","parse-names":false,"suffix":""},{"dropping-particle":"","family":"Odom","given":"Susan A.","non-dropping-particle":"","parse-names":false,"suffix":""}],"container-title":"Energy and Environmental Science","id":"ITEM-1","issue":"11","issued":{"date-parts":[["2016"]]},"page":"3531-3543","publisher":"Royal Society of Chemistry","title":"High current density, long duration cycling of soluble organic active species for non-aqueous redox flow batteries","type":"article-journal","volume":"9"},"uris":["http://www.mendeley.com/documents/?uuid=faa07813-e916-4914-b3af-2cd01e4825e3"]}],"mendeley":{"formattedCitation":"&lt;sup&gt;35&lt;/sup&gt;","plainTextFormattedCitation":"35","previouslyFormattedCitation":"&lt;sup&gt;35&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35</w:t>
      </w:r>
      <w:r w:rsidRPr="00CB6923">
        <w:rPr>
          <w:rFonts w:ascii="Times New Roman" w:hAnsi="Times New Roman"/>
          <w:szCs w:val="24"/>
        </w:rPr>
        <w:fldChar w:fldCharType="end"/>
      </w:r>
      <w:r w:rsidRPr="00CB6923">
        <w:rPr>
          <w:rFonts w:ascii="Times New Roman" w:hAnsi="Times New Roman"/>
          <w:szCs w:val="24"/>
        </w:rPr>
        <w:t xml:space="preserve"> For a hybrid-flow, instead of flowing both anolyte and catholyte, only the catholyte was flowed and a PTFE seal was placed on the Li anode side.</w:t>
      </w:r>
    </w:p>
    <w:p w14:paraId="3A333C68" w14:textId="5D4064BB" w:rsidR="00DA2ADD" w:rsidRPr="00CB6923" w:rsidRDefault="00D0570A" w:rsidP="00DA2ADD">
      <w:pPr>
        <w:pStyle w:val="TAMainText"/>
        <w:spacing w:after="240"/>
        <w:ind w:firstLine="720"/>
        <w:jc w:val="left"/>
        <w:rPr>
          <w:rFonts w:ascii="Times New Roman" w:hAnsi="Times New Roman"/>
          <w:szCs w:val="24"/>
        </w:rPr>
      </w:pPr>
      <w:r w:rsidRPr="00CB6923">
        <w:rPr>
          <w:i/>
          <w:iCs/>
        </w:rPr>
        <w:t>Online NMR and EPR set-up.</w:t>
      </w:r>
      <w:r w:rsidRPr="00CB6923">
        <w:t xml:space="preserve"> The online flow-through design is discussed in detail in previous reports.</w:t>
      </w:r>
      <w:r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{"citationItems":[{"id":"ITEM-1","itemData":{"DOI":"10.1038/s41586-020-2081-7","ISSN":"14764687","PMID":"32123353","abstract":"Large-scale energy storage is becoming increasingly critical to balancing renewable energy production and consumption1. Organic redox flow batteries, made from inexpensive and sustainable redox-active materials, are promising storage technologies that are cheaper and less environmentally hazardous than vanadium-based batteries, but they have shorter lifetimes and lower energy density2,3. Thus, fundamental insight at the molecular level is required to improve performance4,5. Here we report two in situ nuclear magnetic resonance (NMR) methods of studying redox flow batteries, which are applied to two redox-active </w:instrText>
      </w:r>
      <w:r w:rsidR="00CB06B9" w:rsidRPr="00CB6923">
        <w:rPr>
          <w:rFonts w:ascii="Times New Roman" w:hAnsi="Times New Roman" w:hint="eastAsia"/>
          <w:szCs w:val="24"/>
        </w:rPr>
        <w:instrText>electrolytes: 2,6-dihydroxyanthraquinone (DHAQ) and 4,4</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-((9,10-anthraquinone-2,6-diyl)dioxy) dibutyrate (DBEAQ). In the first method, we monitor the changes in the 1H NMR shift of the liquid electrolyte as it flows out of the electrochemical cell. In the</w:instrText>
      </w:r>
      <w:r w:rsidR="00CB06B9" w:rsidRPr="00CB6923">
        <w:rPr>
          <w:rFonts w:ascii="Times New Roman" w:hAnsi="Times New Roman"/>
          <w:szCs w:val="24"/>
        </w:rPr>
        <w:instrText xml:space="preserve"> second method, we observe the changes that occur simultaneously in the positive and negative electrodes in the full electrochemical cell. Using the bulk magnetization changes (observed via the 1H NMR shift of the water resonance) and the line broadening of the 1H shifts of the quinone resonances as a function of the state of charge, we measure the potential differences of the two single-electron couples, identify and quantify the rate of electron transfer between the reduced and oxidized species, and determine the extent of electron delocalization of the unpaired spins over the radical anions. These NMR techniques enable electrolyte decomposition and battery self-discharge to be explored in real time, and show that DHAQ is decomposed electrochemically via a reaction that can be minimized by limiting the voltage used on charging. We foresee applications of these NMR methods in understanding a wide range of redox processes in flow and other electrochemical systems.","author":[{"dropping-particle":"","family":"Zhao","given":"Evan Wenbo","non-dropping-particle":"","parse-names":false,"suffix":""},{"dropping-particle":"","family":"Liu","given":"Tao","non-dropping-particle":"","parse-names":false,"suffix":""},{"dropping-particle":"","family":"Jónsson","given":"Erlendur","non-dropping-particle":"","parse-names":false,"suffix":""},{"dropping-particle":"","family":"Lee","given":"Jeongjae","non-dropping-particle":"","parse-names":false,"suffix":""},{"dropping-particle":"","family":"Temprano","given":"Israel","non-dropping-particle":"","parse-names":false,"suffix":""},{"dropping-particle":"","family":"Jethwa","given":"Rajesh B.","non-dropping-particle":"","parse-names":false,"suffix":""},{"dropping-particle":"","family":"Wang","given":"Anqi","non-dropping-particle":"","parse-names":false,"suffix":""},{"dropping-particle":"","family":"Smith","given":"Holly","non-dropping-particle":"","parse-names":false,"suffix":""},{"dropping-particle":"","family":"Carretero-González","given":"Javier","non-dropping-particle":"","parse-names":false,"suffix":""},{"dropping-particle":"","family":"Song","given":"Qilei","non-dropping-particle":"","parse-names":false,"suffix":""},{"dropping-particle":"","family":"Grey","given":"Clare P.","non-dropping-particle":"","parse-names":false,"suffix":""}],"container-title":"Nature","id":"ITEM-1","issue":"7798","issued":{"date-parts":[["2020"]]},"page":"224-228","publisher":"Springer US","title":"In situ NMR metrology reveals reaction mechanisms in redox flow batteries","type":"article-journal","volume":"579"},"uris":["http://www.mendeley.com/documents/?uuid=fcddc4d2-0784-4884-a171-34f87471575f"]},{"id":"ITEM-2","itemData":{"DOI":"10.1021/jacs.0c10650","ISSN":"15205126","PMID":"33475344","abstract":"We report the development of in situ (online) EPR and coupled EPR/NMR methods to study redox flow batteries, which are applied here to investigate the redox-active electrolyte, 2,6-dihydroxyanthraquinone (DHAQ). The radical anion, DHAQ3-·, formed as a reaction intermediate during the reduction of DHAQ2-, was detected and its concentration quantified during electrochemical cycling. The fraction of the radical anions was found to be concentration-dependent, the fraction decreasing as the total concentration of DHAQ increases, which we interpret in terms of a competing dimer formation mechanism. Coupling the two techniques - EPR and NMR - enables the rate constant for the electron transfer between DHAQ3-· and DHAQ4- anions to be determined. We quantify the concentration changes of DHAQ during the \"high-voltage\"hold by NMR spectroscopy and correlate it quantitatively to the capacity fade of the battery. The decomposition products, 2,6-dihydroxyanthrone and 2,6-dihydroxyanthranol, were identified during this hold; they were shown to undergo subsequent irreversible electrochemical oxidation reaction at 0.7 V, so that they no longer participate in the subsequent electrochemistry of the battery when operated in the standard voltage window of the cell. The decomposition reaction rate was found to be concentration-dependent, with a faster rate being observed at higher concentrations. Taking advantage of the inherent flow properties of the system, this work demonstrates the possibility of multi-modal in situ (online) characterizations of redox flow batteries, the characterization techniques being applicable to a range of electrochemical flow systems.","author":[{"dropping-particle":"","family":"Zhao","given":"Evan Wenbo","non-dropping-particle":"","parse-names":false,"suffix":""},{"dropping-particle":"","family":"Jónsson","given":"Erlendur","non-dropping-particle":"","parse-names":false,"suffix":""},{"dropping-particle":"","family":"Jethwa","given":"Rajesh B.","non-dropping-particle":"","parse-names":false,"suffix":""},{"dropping-particle":"","family":"Hey","given":"Dominic","non-dropping-particle":"","parse-names":false,"suffix":""},{"dropping-particle":"","family":"Lyu","given":"Dongxun","non-dropping-particle":"","parse-names":false,"suffix":""},{"dropping-particle":"","family":"Brookfield","given":"Adam","non-dropping-particle":"","parse-names":false,"suffix":""},{"dropping-particle":"","family":"Klusener","given":"Peter A.A.","non-dropping-particle":"","parse-names":false,"suffix":""},{"dropping-particle":"","family":"Collison","given":"David","non-dropping-particle":"","parse-names":false,"suffix":""},{"dropping-particle":"","family":"Grey","given":"Clare P.","non-dropping-particle":"","parse-names":false,"suffix":""}],"container-title":"Journal of the American Chemical Society","id":"ITEM-2","issue":"4","issued":{"date-parts":[["2021"]]},"page":"1885-1895","title":"Coupled in Situ NMR and EPR Studies Reveal the Electron Transfer Rate and Electrolyte Decomposition in Redox Flow Batteries","type":"article-journal","volume":"143"},"uris":["http://www.mendeley.com/documents/?uuid=2c8e58e5-a04f-4ee4-91d6-2ae7ce1a3fda"]}],"mendeley":{"formattedCitation":"&lt;sup&gt;32,33&lt;/sup&gt;","plainTextFormattedCitation":"32,33","previouslyFormattedCitation":"&lt;sup&gt;32,33&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32,33</w:t>
      </w:r>
      <w:r w:rsidRPr="00CB6923">
        <w:rPr>
          <w:rFonts w:ascii="Times New Roman" w:hAnsi="Times New Roman"/>
          <w:szCs w:val="24"/>
        </w:rPr>
        <w:fldChar w:fldCharType="end"/>
      </w:r>
      <w:r w:rsidR="00DA2ADD" w:rsidRPr="00CB6923">
        <w:t xml:space="preserve"> </w:t>
      </w:r>
      <w:r w:rsidR="00DA2ADD" w:rsidRPr="00CB6923">
        <w:rPr>
          <w:rFonts w:ascii="Times New Roman" w:hAnsi="Times New Roman"/>
          <w:szCs w:val="24"/>
        </w:rPr>
        <w:t>NMR measurements were performed using a Bruker 300 MHz Advance III Spectrometer, with MRI probe and a custom flow-through NMR sampling tube. EPR measurements were performed using Magnettech 5000 benchtop EPR, with a flow-through quartz tube. Electrolyte was pumped from a glass reservoir into the cell, then from the cell to the EPR, then to the NMR, and finally back into the reservoir (figure 1). A peristaltic pump, MasterFlex L/S 0755020, was set to 20 rpm, resulting in a flow rate of ~</w:t>
      </w:r>
      <w:r w:rsidR="00CC3728" w:rsidRPr="00CB6923">
        <w:rPr>
          <w:rFonts w:ascii="Times New Roman" w:hAnsi="Times New Roman"/>
          <w:szCs w:val="24"/>
        </w:rPr>
        <w:t xml:space="preserve"> </w:t>
      </w:r>
      <w:r w:rsidR="00DA2ADD" w:rsidRPr="00CB6923">
        <w:rPr>
          <w:rFonts w:ascii="Times New Roman" w:hAnsi="Times New Roman"/>
          <w:szCs w:val="24"/>
        </w:rPr>
        <w:t>0.06 cm</w:t>
      </w:r>
      <w:r w:rsidR="00DA2ADD" w:rsidRPr="00CB6923">
        <w:rPr>
          <w:rFonts w:ascii="Times New Roman" w:hAnsi="Times New Roman"/>
          <w:szCs w:val="24"/>
          <w:vertAlign w:val="superscript"/>
        </w:rPr>
        <w:t>3</w:t>
      </w:r>
      <w:r w:rsidR="00B30D12" w:rsidRPr="00CB6923">
        <w:rPr>
          <w:rFonts w:ascii="Times New Roman" w:hAnsi="Times New Roman"/>
          <w:szCs w:val="24"/>
        </w:rPr>
        <w:t xml:space="preserve"> </w:t>
      </w:r>
      <w:r w:rsidR="00DA2ADD" w:rsidRPr="00CB6923">
        <w:rPr>
          <w:rFonts w:ascii="Times New Roman" w:hAnsi="Times New Roman"/>
          <w:szCs w:val="24"/>
        </w:rPr>
        <w:t>s</w:t>
      </w:r>
      <w:r w:rsidR="00697515" w:rsidRPr="00CB6923">
        <w:rPr>
          <w:rFonts w:ascii="Times New Roman" w:hAnsi="Times New Roman"/>
          <w:szCs w:val="24"/>
          <w:vertAlign w:val="superscript"/>
        </w:rPr>
        <w:t>−1</w:t>
      </w:r>
      <w:r w:rsidR="00DA2ADD" w:rsidRPr="00CB6923">
        <w:rPr>
          <w:rFonts w:ascii="Times New Roman" w:hAnsi="Times New Roman"/>
          <w:szCs w:val="24"/>
        </w:rPr>
        <w:t xml:space="preserve">. The flow rates used in the experiment give a Reynolds number of ~3, indicating that we are in the laminar flow regime (Re &lt; 2000). All measurements were performed under inert atmosphere. </w:t>
      </w:r>
    </w:p>
    <w:p w14:paraId="76CB0700" w14:textId="0ADAF95E" w:rsidR="003418A6" w:rsidRPr="00CB6923" w:rsidRDefault="00DA2ADD" w:rsidP="00DA2ADD">
      <w:pPr>
        <w:pStyle w:val="TAMainText"/>
        <w:spacing w:after="240"/>
        <w:ind w:firstLine="720"/>
        <w:jc w:val="left"/>
      </w:pPr>
      <w:r w:rsidRPr="00CB6923">
        <w:rPr>
          <w:rFonts w:ascii="Times New Roman" w:hAnsi="Times New Roman"/>
          <w:szCs w:val="24"/>
        </w:rPr>
        <w:t>Pseudo 2D-NMR experiments were performed with single 4.5</w:t>
      </w:r>
      <w:r w:rsidR="00B30D12" w:rsidRPr="00CB6923">
        <w:rPr>
          <w:rFonts w:ascii="Times New Roman" w:hAnsi="Times New Roman"/>
          <w:szCs w:val="24"/>
        </w:rPr>
        <w:t>°</w:t>
      </w:r>
      <w:r w:rsidRPr="00CB6923">
        <w:rPr>
          <w:rFonts w:ascii="Times New Roman" w:hAnsi="Times New Roman"/>
          <w:szCs w:val="24"/>
        </w:rPr>
        <w:t xml:space="preserve"> pulse excitations. The pulse length was 1μs. Such a small tip angle was used to avoid the saturation of the NMR receiver since </w:t>
      </w:r>
      <w:r w:rsidR="00166A10" w:rsidRPr="00CB6923">
        <w:rPr>
          <w:rFonts w:ascii="Times New Roman" w:hAnsi="Times New Roman"/>
          <w:szCs w:val="24"/>
        </w:rPr>
        <w:t xml:space="preserve">a </w:t>
      </w:r>
      <w:r w:rsidRPr="00CB6923">
        <w:rPr>
          <w:rFonts w:ascii="Times New Roman" w:hAnsi="Times New Roman"/>
          <w:szCs w:val="24"/>
        </w:rPr>
        <w:t xml:space="preserve">non-deuterated solvent was used. </w:t>
      </w:r>
      <w:r w:rsidR="007A0168" w:rsidRPr="00CB6923">
        <w:rPr>
          <w:rFonts w:ascii="Times New Roman" w:hAnsi="Times New Roman"/>
          <w:szCs w:val="24"/>
        </w:rPr>
        <w:t>T</w:t>
      </w:r>
      <w:r w:rsidR="00166A10" w:rsidRPr="00CB6923">
        <w:rPr>
          <w:rFonts w:ascii="Times New Roman" w:hAnsi="Times New Roman"/>
          <w:szCs w:val="24"/>
        </w:rPr>
        <w:t>he signals from the solvent molecules were being tracked so as to determine their</w:t>
      </w:r>
      <w:r w:rsidRPr="00CB6923">
        <w:rPr>
          <w:rFonts w:ascii="Times New Roman" w:hAnsi="Times New Roman"/>
          <w:szCs w:val="24"/>
        </w:rPr>
        <w:t xml:space="preserve"> </w:t>
      </w:r>
      <w:r w:rsidRPr="00CB6923">
        <w:rPr>
          <w:rFonts w:ascii="Times New Roman" w:hAnsi="Times New Roman"/>
          <w:szCs w:val="24"/>
          <w:vertAlign w:val="superscript"/>
        </w:rPr>
        <w:t>1</w:t>
      </w:r>
      <w:r w:rsidRPr="00CB6923">
        <w:rPr>
          <w:rFonts w:ascii="Times New Roman" w:hAnsi="Times New Roman"/>
          <w:szCs w:val="24"/>
        </w:rPr>
        <w:t>H chemical shift</w:t>
      </w:r>
      <w:r w:rsidR="00166A10" w:rsidRPr="00CB6923">
        <w:rPr>
          <w:rFonts w:ascii="Times New Roman" w:hAnsi="Times New Roman"/>
          <w:szCs w:val="24"/>
        </w:rPr>
        <w:t>s</w:t>
      </w:r>
      <w:r w:rsidR="007A0168" w:rsidRPr="00CB6923">
        <w:rPr>
          <w:rFonts w:ascii="Times New Roman" w:hAnsi="Times New Roman"/>
          <w:szCs w:val="24"/>
        </w:rPr>
        <w:t>, and</w:t>
      </w:r>
      <w:r w:rsidR="00166A10" w:rsidRPr="00CB6923">
        <w:rPr>
          <w:rFonts w:ascii="Times New Roman" w:hAnsi="Times New Roman"/>
          <w:szCs w:val="24"/>
        </w:rPr>
        <w:t xml:space="preserve"> </w:t>
      </w:r>
      <w:r w:rsidRPr="00CB6923">
        <w:rPr>
          <w:rFonts w:ascii="Times New Roman" w:hAnsi="Times New Roman"/>
          <w:szCs w:val="24"/>
        </w:rPr>
        <w:t xml:space="preserve">a small tip angle is sufficient for </w:t>
      </w:r>
      <w:r w:rsidR="00166A10" w:rsidRPr="00CB6923">
        <w:rPr>
          <w:rFonts w:ascii="Times New Roman" w:hAnsi="Times New Roman"/>
          <w:szCs w:val="24"/>
        </w:rPr>
        <w:lastRenderedPageBreak/>
        <w:t xml:space="preserve">their </w:t>
      </w:r>
      <w:r w:rsidRPr="00CB6923">
        <w:rPr>
          <w:rFonts w:ascii="Times New Roman" w:hAnsi="Times New Roman"/>
          <w:szCs w:val="24"/>
        </w:rPr>
        <w:t xml:space="preserve">excitation. </w:t>
      </w:r>
      <w:r w:rsidR="00166A10" w:rsidRPr="00CB6923">
        <w:rPr>
          <w:rFonts w:ascii="Times New Roman" w:hAnsi="Times New Roman"/>
          <w:szCs w:val="24"/>
        </w:rPr>
        <w:t xml:space="preserve">The acquisition </w:t>
      </w:r>
      <w:r w:rsidRPr="00CB6923">
        <w:rPr>
          <w:rFonts w:ascii="Times New Roman" w:hAnsi="Times New Roman"/>
          <w:szCs w:val="24"/>
        </w:rPr>
        <w:t>time and recycle delays were 0.165 s and 5 s, respectively. Number of scans was 16, giving the total acquisition time per spectrum as 82.6 s (16 × 5.165 s).</w:t>
      </w:r>
      <w:r w:rsidR="003418A6" w:rsidRPr="00CB6923">
        <w:t xml:space="preserve"> </w:t>
      </w:r>
    </w:p>
    <w:p w14:paraId="1EE43EDC" w14:textId="30EF9ECA" w:rsidR="00236DD4" w:rsidRPr="00CB6923" w:rsidRDefault="003418A6" w:rsidP="00DA2ADD">
      <w:pPr>
        <w:pStyle w:val="TAMainText"/>
        <w:spacing w:after="240"/>
        <w:ind w:firstLine="720"/>
        <w:jc w:val="left"/>
        <w:rPr>
          <w:rFonts w:ascii="Times New Roman" w:hAnsi="Times New Roman"/>
          <w:szCs w:val="24"/>
        </w:rPr>
      </w:pPr>
      <w:r w:rsidRPr="00CB6923">
        <w:rPr>
          <w:rFonts w:ascii="Times New Roman" w:hAnsi="Times New Roman"/>
          <w:szCs w:val="24"/>
        </w:rPr>
        <w:t>The X-band EPR measurements were performed using a microwave power of 0.1 mW microwave power, 9.47 GHz microwave frequency, 0.01 mT modulation, the field was swept from 330 to 345 mT, and the sweep time was 60 s.</w:t>
      </w:r>
    </w:p>
    <w:p w14:paraId="3DF9CBE1" w14:textId="665620B7" w:rsidR="003418A6" w:rsidRPr="00CB6923" w:rsidRDefault="003418A6" w:rsidP="00014EC1">
      <w:pPr>
        <w:pStyle w:val="TAMainText"/>
        <w:spacing w:after="240"/>
        <w:ind w:firstLine="720"/>
        <w:jc w:val="left"/>
        <w:rPr>
          <w:rFonts w:ascii="Times New Roman" w:hAnsi="Times New Roman"/>
          <w:szCs w:val="24"/>
        </w:rPr>
      </w:pPr>
      <w:r w:rsidRPr="00CB6923">
        <w:rPr>
          <w:rFonts w:ascii="Times New Roman" w:hAnsi="Times New Roman"/>
          <w:i/>
          <w:iCs/>
          <w:szCs w:val="24"/>
        </w:rPr>
        <w:t>Battery cycling</w:t>
      </w:r>
      <w:r w:rsidRPr="00CB6923">
        <w:rPr>
          <w:rFonts w:ascii="Times New Roman" w:hAnsi="Times New Roman"/>
          <w:szCs w:val="24"/>
        </w:rPr>
        <w:t>.</w:t>
      </w:r>
      <w:r w:rsidRPr="00CB6923">
        <w:t xml:space="preserve"> </w:t>
      </w:r>
      <w:r w:rsidRPr="00CB6923">
        <w:rPr>
          <w:rFonts w:ascii="Times New Roman" w:hAnsi="Times New Roman"/>
          <w:szCs w:val="24"/>
        </w:rPr>
        <w:t>Electrochemical cycling was performed using either a portable Biologic SP 150 potentiostat and EC-lab software or Ivium potentiostat and software. For potentiostatic cycling, voltages of 3.8 V, 4.0 V, or 4.2 V versus Li/Li</w:t>
      </w:r>
      <w:r w:rsidRPr="00CB6923">
        <w:rPr>
          <w:rFonts w:ascii="Times New Roman" w:hAnsi="Times New Roman"/>
          <w:szCs w:val="24"/>
          <w:vertAlign w:val="superscript"/>
        </w:rPr>
        <w:t>+</w:t>
      </w:r>
      <w:r w:rsidRPr="00CB6923">
        <w:rPr>
          <w:rFonts w:ascii="Times New Roman" w:hAnsi="Times New Roman"/>
          <w:szCs w:val="24"/>
        </w:rPr>
        <w:t xml:space="preserve"> was applied to oxidize TEMPO radicals and 3.0</w:t>
      </w:r>
      <w:r w:rsidR="005922C4" w:rsidRPr="00CB6923">
        <w:rPr>
          <w:rFonts w:ascii="Times New Roman" w:hAnsi="Times New Roman"/>
          <w:szCs w:val="24"/>
        </w:rPr>
        <w:t xml:space="preserve"> </w:t>
      </w:r>
      <w:r w:rsidRPr="00CB6923">
        <w:rPr>
          <w:rFonts w:ascii="Times New Roman" w:hAnsi="Times New Roman"/>
          <w:szCs w:val="24"/>
        </w:rPr>
        <w:t>V was applied to reduce the TEMPO</w:t>
      </w:r>
      <w:r w:rsidRPr="00CB6923">
        <w:rPr>
          <w:rFonts w:ascii="Times New Roman" w:hAnsi="Times New Roman"/>
          <w:szCs w:val="24"/>
          <w:vertAlign w:val="superscript"/>
        </w:rPr>
        <w:t>+</w:t>
      </w:r>
      <w:r w:rsidRPr="00CB6923">
        <w:rPr>
          <w:rFonts w:ascii="Times New Roman" w:hAnsi="Times New Roman"/>
          <w:szCs w:val="24"/>
        </w:rPr>
        <w:t xml:space="preserve"> cation back to TEMPO radical. For galvanostatic Swagelok static cell experiments, currents of 50 μA</w:t>
      </w:r>
      <w:r w:rsidR="007D1925" w:rsidRPr="00CB6923">
        <w:rPr>
          <w:rFonts w:ascii="Times New Roman" w:hAnsi="Times New Roman"/>
          <w:szCs w:val="24"/>
        </w:rPr>
        <w:t xml:space="preserve"> </w:t>
      </w:r>
      <w:r w:rsidRPr="00CB6923">
        <w:rPr>
          <w:rFonts w:ascii="Times New Roman" w:hAnsi="Times New Roman"/>
          <w:szCs w:val="24"/>
        </w:rPr>
        <w:t>cm</w:t>
      </w:r>
      <w:r w:rsidR="00022ADF" w:rsidRPr="00CB6923">
        <w:rPr>
          <w:rFonts w:ascii="Times New Roman" w:hAnsi="Times New Roman"/>
          <w:szCs w:val="24"/>
          <w:vertAlign w:val="superscript"/>
        </w:rPr>
        <w:t>−2</w:t>
      </w:r>
      <w:r w:rsidRPr="00CB6923">
        <w:rPr>
          <w:rFonts w:ascii="Times New Roman" w:hAnsi="Times New Roman"/>
          <w:szCs w:val="24"/>
        </w:rPr>
        <w:t xml:space="preserve"> were applied.</w:t>
      </w:r>
    </w:p>
    <w:p w14:paraId="0BCFA615" w14:textId="00CF3D17" w:rsidR="00014EC1" w:rsidRPr="00CB6923" w:rsidRDefault="00014EC1" w:rsidP="00014EC1">
      <w:pPr>
        <w:spacing w:before="120" w:after="0" w:line="480" w:lineRule="auto"/>
        <w:rPr>
          <w:rFonts w:ascii="Times New Roman" w:hAnsi="Times New Roman"/>
          <w:szCs w:val="24"/>
        </w:rPr>
      </w:pPr>
      <w:r w:rsidRPr="00CB6923">
        <w:rPr>
          <w:rFonts w:ascii="Times New Roman" w:hAnsi="Times New Roman"/>
          <w:i/>
          <w:iCs/>
          <w:szCs w:val="24"/>
        </w:rPr>
        <w:t>Radical concentration calculations</w:t>
      </w:r>
      <w:r w:rsidRPr="00CB6923">
        <w:rPr>
          <w:rFonts w:ascii="Times New Roman" w:hAnsi="Times New Roman"/>
          <w:szCs w:val="24"/>
        </w:rPr>
        <w:t>. The double integral of the EPR spectra is directly proportional to the concentration of spins. The conversion equation is as follows:</w:t>
      </w:r>
      <w:r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{"citationItems":[{"id":"ITEM-1","itemData":{"author":[{"dropping-particle":"","family":"Magnettech GmbH","given":"","non-dropping-particle":"","parse-names":false,"suffix":""}],"id":"ITEM-1","issued":{"date-parts":[["0"]]},"publisher-place":"Berlin, Germany","title":"Manual and Documentation of Magnettech MiniScope MS 5000 and MS 5000X","type":"chapter"},"uris":["http://www.mendeley.com/documents/?uuid=0d7ec1c3-6f07-47cf-840c-1692771bd014"]}],"mendeley":{"formattedCitation":"&lt;sup&gt;36&lt;/sup&gt;","plainTextFormattedCitation":"36","previouslyFormattedCitation":"&lt;sup&gt;36&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36</w:t>
      </w:r>
      <w:r w:rsidRPr="00CB6923">
        <w:rPr>
          <w:rFonts w:ascii="Times New Roman" w:hAnsi="Times New Roman"/>
          <w:szCs w:val="24"/>
        </w:rPr>
        <w:fldChar w:fldCharType="end"/>
      </w:r>
      <w:r w:rsidRPr="00CB6923">
        <w:rPr>
          <w:rFonts w:ascii="Times New Roman" w:hAnsi="Times New Roman"/>
          <w:szCs w:val="24"/>
        </w:rPr>
        <w:t xml:space="preserve"> </w:t>
      </w:r>
    </w:p>
    <w:p w14:paraId="382327C8" w14:textId="77777777" w:rsidR="00014EC1" w:rsidRPr="00CB6923" w:rsidRDefault="00014EC1" w:rsidP="00014EC1">
      <w:pPr>
        <w:pStyle w:val="ListParagraph"/>
        <w:numPr>
          <w:ilvl w:val="0"/>
          <w:numId w:val="11"/>
        </w:numPr>
        <w:spacing w:line="480" w:lineRule="auto"/>
        <w:ind w:left="3330" w:hanging="3330"/>
      </w:pPr>
      <m:oMath>
        <m:r>
          <w:rPr>
            <w:rFonts w:ascii="Cambria Math" w:hAnsi="Cambria Math"/>
          </w:rPr>
          <m:t xml:space="preserve">DI=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ns</m:t>
                </m:r>
              </m:sub>
            </m:sSub>
            <m:rad>
              <m:radPr>
                <m:degHide m:val="1"/>
                <m:ctrlPr>
                  <w:rPr>
                    <w:rFonts w:ascii="Cambria Math" w:hAnsi="Cambria Math"/>
                    <w:i/>
                  </w:rPr>
                </m:ctrlPr>
              </m:radPr>
              <m:deg/>
              <m:e>
                <m:r>
                  <w:rPr>
                    <w:rFonts w:ascii="Cambria Math" w:hAnsi="Cambria Math"/>
                  </w:rPr>
                  <m:t>P</m:t>
                </m:r>
              </m:e>
            </m:rad>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S(S+1)V</m:t>
            </m:r>
          </m:num>
          <m:den>
            <m:r>
              <w:rPr>
                <w:rFonts w:ascii="Cambria Math" w:hAnsi="Cambria Math"/>
              </w:rPr>
              <m:t>f(</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m:t>
            </m:r>
          </m:den>
        </m:f>
        <m:sSub>
          <m:sSubPr>
            <m:ctrlPr>
              <w:rPr>
                <w:rFonts w:ascii="Cambria Math" w:hAnsi="Cambria Math"/>
                <w:i/>
              </w:rPr>
            </m:ctrlPr>
          </m:sSubPr>
          <m:e>
            <m:r>
              <w:rPr>
                <w:rFonts w:ascii="Cambria Math" w:hAnsi="Cambria Math"/>
              </w:rPr>
              <m:t>C</m:t>
            </m:r>
          </m:e>
          <m:sub>
            <m:r>
              <w:rPr>
                <w:rFonts w:ascii="Cambria Math" w:hAnsi="Cambria Math"/>
              </w:rPr>
              <m:t>spins</m:t>
            </m:r>
          </m:sub>
        </m:sSub>
      </m:oMath>
    </w:p>
    <w:p w14:paraId="35B1C493" w14:textId="77777777" w:rsidR="00014EC1" w:rsidRPr="00CB6923" w:rsidRDefault="00014EC1" w:rsidP="00014EC1">
      <w:pPr>
        <w:pStyle w:val="TAMainText"/>
        <w:spacing w:after="240"/>
        <w:ind w:firstLine="0"/>
        <w:jc w:val="left"/>
      </w:pPr>
      <w:r w:rsidRPr="00CB6923">
        <w:t>where DI is the double integral of the EPR spectra, C</w:t>
      </w:r>
      <w:r w:rsidRPr="00CB6923">
        <w:rPr>
          <w:vertAlign w:val="subscript"/>
        </w:rPr>
        <w:t>ns</w:t>
      </w:r>
      <w:r w:rsidRPr="00CB6923">
        <w:t xml:space="preserve"> is a constant including the normalized spectrometer settings, P is the microwave power, B</w:t>
      </w:r>
      <w:r w:rsidRPr="00CB6923">
        <w:rPr>
          <w:vertAlign w:val="subscript"/>
        </w:rPr>
        <w:t>m</w:t>
      </w:r>
      <w:r w:rsidRPr="00CB6923">
        <w:t xml:space="preserve"> is the modulation amplitude, Q is the resonator quality factor, k</w:t>
      </w:r>
      <w:r w:rsidRPr="00CB6923">
        <w:rPr>
          <w:vertAlign w:val="subscript"/>
        </w:rPr>
        <w:t>B</w:t>
      </w:r>
      <w:r w:rsidRPr="00CB6923">
        <w:t xml:space="preserve"> is the Boltzmann constant, S is the electron spin, V is the sample volume, and f(B</w:t>
      </w:r>
      <w:r w:rsidRPr="00CB6923">
        <w:rPr>
          <w:vertAlign w:val="subscript"/>
        </w:rPr>
        <w:t>1</w:t>
      </w:r>
      <w:r w:rsidRPr="00CB6923">
        <w:t>,B</w:t>
      </w:r>
      <w:r w:rsidRPr="00CB6923">
        <w:rPr>
          <w:vertAlign w:val="subscript"/>
        </w:rPr>
        <w:t>m</w:t>
      </w:r>
      <w:r w:rsidRPr="00CB6923">
        <w:t>) is the spatial distribution of microwave magnetic field and modulation amplitude. By measuring EPR spectra for samples of known concentrations, the linear relation between DI and C</w:t>
      </w:r>
      <w:r w:rsidRPr="00CB6923">
        <w:rPr>
          <w:vertAlign w:val="subscript"/>
        </w:rPr>
        <w:t>ns</w:t>
      </w:r>
      <w:r w:rsidRPr="00CB6923">
        <w:t xml:space="preserve"> can be established (SI). Substituting in the constants and the C</w:t>
      </w:r>
      <w:r w:rsidRPr="00CB6923">
        <w:rPr>
          <w:vertAlign w:val="subscript"/>
        </w:rPr>
        <w:t>ns</w:t>
      </w:r>
      <w:r w:rsidRPr="00CB6923">
        <w:t xml:space="preserve"> value from calibration, the spin concentrations can be calculated from the EPR double integrals in experiment. </w:t>
      </w:r>
    </w:p>
    <w:p w14:paraId="4A5AB67F" w14:textId="533ADD92" w:rsidR="00014EC1" w:rsidRPr="00CB6923" w:rsidRDefault="00014EC1" w:rsidP="002A4CBF">
      <w:pPr>
        <w:pStyle w:val="TAMainText"/>
        <w:ind w:firstLine="720"/>
        <w:jc w:val="left"/>
        <w:rPr>
          <w:rFonts w:ascii="Times New Roman" w:hAnsi="Times New Roman"/>
          <w:szCs w:val="24"/>
        </w:rPr>
      </w:pPr>
      <w:r w:rsidRPr="00CB6923">
        <w:lastRenderedPageBreak/>
        <w:t>Using Evans' method, shifts in the in the proton peak positions caused by paramagnetic species in solution can be accurately related to concentration of the species.</w:t>
      </w:r>
      <w:r w:rsidR="00C23FC8"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{"citationItems":[{"id":"ITEM-1","itemData":{"author":[{"dropping-particle":"","family":"Evans","given":"D. F.","non-dropping-particle":"","parse-names":false,"suffix":""}],"container-title":"J. Chem. Soc.","id":"ITEM-1","issued":{"date-parts":[["1959"]]},"page":"2003-2005","title":"Determination of the Pararnagnetic Susceptibility of Substances in Solution by Nuclear Magnetic Resonance","type":"article-journal"},"uris":["http://www.mendeley.com/documents/?uuid=eb924203-a9af-4308-a41c-d98a910ef0ed"]}],"mendeley":{"formattedCitation":"&lt;sup&gt;30&lt;/sup&gt;","plainTextFormattedCitation":"30","previouslyFormattedCitation":"&lt;sup&gt;30&lt;/sup&gt;"},"properties":{"noteIndex":0},"schema":"https://github.com/citation-style-language/schema/raw/master/csl-citation.json"}</w:instrText>
      </w:r>
      <w:r w:rsidR="00C23FC8" w:rsidRPr="00CB6923">
        <w:rPr>
          <w:rFonts w:ascii="Times New Roman" w:hAnsi="Times New Roman"/>
          <w:szCs w:val="24"/>
        </w:rPr>
        <w:fldChar w:fldCharType="separate"/>
      </w:r>
      <w:r w:rsidR="009C4068" w:rsidRPr="00CB6923">
        <w:rPr>
          <w:rFonts w:ascii="Times New Roman" w:hAnsi="Times New Roman"/>
          <w:noProof/>
          <w:szCs w:val="24"/>
          <w:vertAlign w:val="superscript"/>
        </w:rPr>
        <w:t>30</w:t>
      </w:r>
      <w:r w:rsidR="00C23FC8" w:rsidRPr="00CB6923">
        <w:rPr>
          <w:rFonts w:ascii="Times New Roman" w:hAnsi="Times New Roman"/>
          <w:szCs w:val="24"/>
        </w:rPr>
        <w:fldChar w:fldCharType="end"/>
      </w:r>
      <w:r w:rsidR="00C23FC8" w:rsidRPr="00CB6923">
        <w:rPr>
          <w:rFonts w:ascii="Times New Roman" w:hAnsi="Times New Roman"/>
          <w:szCs w:val="24"/>
        </w:rPr>
        <w:t xml:space="preserve"> The change in solvent chemical shift can be related to the magnetic susceptibility, which is calculated by the molar paramagnetic susceptibility and molar volume of radicals. The molar paramagnetic susceptibility can be calculated by:</w:t>
      </w:r>
    </w:p>
    <w:p w14:paraId="5E9B9169" w14:textId="77777777" w:rsidR="00C23FC8" w:rsidRPr="00CB6923" w:rsidRDefault="00AB7239" w:rsidP="00C23FC8">
      <w:pPr>
        <w:pStyle w:val="ListParagraph"/>
        <w:numPr>
          <w:ilvl w:val="0"/>
          <w:numId w:val="11"/>
        </w:numPr>
        <w:spacing w:line="480" w:lineRule="auto"/>
        <w:ind w:left="3510" w:hanging="3510"/>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rad</m:t>
            </m:r>
          </m:sub>
        </m:sSub>
        <m:r>
          <w:rPr>
            <w:rFonts w:ascii="Cambria Math" w:hAnsi="Cambria Math"/>
          </w:rPr>
          <m:t>=</m:t>
        </m:r>
        <m:f>
          <m:fPr>
            <m:ctrlPr>
              <w:rPr>
                <w:rFonts w:ascii="Cambria Math" w:hAnsi="Cambria Math"/>
                <w:i/>
              </w:rPr>
            </m:ctrlPr>
          </m:fPr>
          <m:num>
            <m:r>
              <w:rPr>
                <w:rFonts w:ascii="Cambria Math" w:hAnsi="Cambria Math"/>
              </w:rPr>
              <m:t>9</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16π</m:t>
            </m:r>
            <m:sSub>
              <m:sSubPr>
                <m:ctrlPr>
                  <w:rPr>
                    <w:rFonts w:ascii="Cambria Math" w:hAnsi="Cambria Math"/>
                    <w:i/>
                  </w:rPr>
                </m:ctrlPr>
              </m:sSubPr>
              <m:e>
                <m:r>
                  <w:rPr>
                    <w:rFonts w:ascii="Cambria Math" w:hAnsi="Cambria Math"/>
                  </w:rPr>
                  <m:t>N</m:t>
                </m:r>
              </m:e>
              <m:sub>
                <m:r>
                  <w:rPr>
                    <w:rFonts w:ascii="Cambria Math" w:hAnsi="Cambria Math"/>
                  </w:rPr>
                  <m:t>A</m:t>
                </m:r>
              </m:sub>
            </m:sSub>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S(S+1)</m:t>
            </m:r>
          </m:den>
        </m:f>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oMath>
    </w:p>
    <w:p w14:paraId="593197DB" w14:textId="6BAEE227" w:rsidR="00C23FC8" w:rsidRPr="00CB6923" w:rsidRDefault="00C23FC8" w:rsidP="00C23FC8">
      <w:pPr>
        <w:pStyle w:val="TAMainText"/>
        <w:spacing w:after="240"/>
        <w:ind w:firstLine="0"/>
        <w:jc w:val="left"/>
      </w:pPr>
      <w:r w:rsidRPr="00CB6923">
        <w:t>where C</w:t>
      </w:r>
      <w:r w:rsidRPr="00CB6923">
        <w:rPr>
          <w:vertAlign w:val="subscript"/>
        </w:rPr>
        <w:t>rad</w:t>
      </w:r>
      <w:r w:rsidRPr="00CB6923">
        <w:t xml:space="preserve"> is the concentration of radicals, k</w:t>
      </w:r>
      <w:r w:rsidRPr="00CB6923">
        <w:rPr>
          <w:vertAlign w:val="subscript"/>
        </w:rPr>
        <w:t>B</w:t>
      </w:r>
      <w:r w:rsidRPr="00CB6923">
        <w:t xml:space="preserve"> is the Boltzmann constant, T is temperature, N</w:t>
      </w:r>
      <w:r w:rsidRPr="00CB6923">
        <w:rPr>
          <w:vertAlign w:val="subscript"/>
        </w:rPr>
        <w:t>A</w:t>
      </w:r>
      <w:r w:rsidRPr="00CB6923">
        <w:t xml:space="preserve"> is Avogadro’s number, β is the Bohr magnetron, S is the total spin quantum number (1/2 for an unpaired electron), and Δδ</w:t>
      </w:r>
      <w:r w:rsidRPr="00CB6923">
        <w:rPr>
          <w:vertAlign w:val="subscript"/>
        </w:rPr>
        <w:t>s</w:t>
      </w:r>
      <w:r w:rsidRPr="00CB6923">
        <w:t xml:space="preserve"> is the change in chemical shift. Combining equations and simplifying all the constants yields a simple scaling factor that converts the change in chemical shift, in ppm, to radical concentration, in mM, by a factor of 183.33.</w:t>
      </w:r>
      <w:r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{"citationItems":[{"id":"ITEM-1","itemData":{"DOI":"10.1038/s41586-020-2081-7","ISSN":"14764687","PMID":"32123353","abstract":"Large-scale energy storage is becoming increasingly critical to balancing renewable energy production and consumption1. Organic redox flow batteries, made from inexpensive and sustainable redox-active materials, are promising storage technologies that are cheaper and less environmentally hazardous than vanadium-based batteries, but they have shorter lifetimes and lower energy density2,3. Thus, fundamental insight at the molecular level is required to improve performance4,5. Here we report two in situ nuclear magnetic resonance (NMR) methods of studying redox flow batteries, which are applied to two redox-active </w:instrText>
      </w:r>
      <w:r w:rsidR="00CB06B9" w:rsidRPr="00CB6923">
        <w:rPr>
          <w:rFonts w:ascii="Times New Roman" w:hAnsi="Times New Roman" w:hint="eastAsia"/>
          <w:szCs w:val="24"/>
        </w:rPr>
        <w:instrText>electrolytes: 2,6-dihydroxyanthraquinone (DHAQ) and 4,4</w:instrText>
      </w:r>
      <w:r w:rsidR="00CB06B9" w:rsidRPr="00CB6923">
        <w:rPr>
          <w:rFonts w:ascii="Times New Roman" w:hAnsi="Times New Roman" w:hint="eastAsia"/>
          <w:szCs w:val="24"/>
        </w:rPr>
        <w:instrText>′</w:instrText>
      </w:r>
      <w:r w:rsidR="00CB06B9" w:rsidRPr="00CB6923">
        <w:rPr>
          <w:rFonts w:ascii="Times New Roman" w:hAnsi="Times New Roman" w:hint="eastAsia"/>
          <w:szCs w:val="24"/>
        </w:rPr>
        <w:instrText>-((9,10-anthraquinone-2,6-diyl)dioxy) dibutyrate (DBEAQ). In the first method, we monitor the changes in the 1H NMR shift of the liquid electrolyte as it flows out of the electrochemical cell. In the</w:instrText>
      </w:r>
      <w:r w:rsidR="00CB06B9" w:rsidRPr="00CB6923">
        <w:rPr>
          <w:rFonts w:ascii="Times New Roman" w:hAnsi="Times New Roman"/>
          <w:szCs w:val="24"/>
        </w:rPr>
        <w:instrText xml:space="preserve"> second method, we observe the changes that occur simultaneously in the positive and negative electrodes in the full electrochemical cell. Using the bulk magnetization changes (observed via the 1H NMR shift of the water resonance) and the line broadening of the 1H shifts of the quinone resonances as a function of the state of charge, we measure the potential differences of the two single-electron couples, identify and quantify the rate of electron transfer between the reduced and oxidized species, and determine the extent of electron delocalization of the unpaired spins over the radical anions. These NMR techniques enable electrolyte decomposition and battery self-discharge to be explored in real time, and show that DHAQ is decomposed electrochemically via a reaction that can be minimized by limiting the voltage used on charging. We foresee applications of these NMR methods in understanding a wide range of redox processes in flow and other electrochemical systems.","author":[{"dropping-particle":"","family":"Zhao","given":"Evan Wenbo","non-dropping-particle":"","parse-names":false,"suffix":""},{"dropping-particle":"","family":"Liu","given":"Tao","non-dropping-particle":"","parse-names":false,"suffix":""},{"dropping-particle":"","family":"Jónsson","given":"Erlendur","non-dropping-particle":"","parse-names":false,"suffix":""},{"dropping-particle":"","family":"Lee","given":"Jeongjae","non-dropping-particle":"","parse-names":false,"suffix":""},{"dropping-particle":"","family":"Temprano","given":"Israel","non-dropping-particle":"","parse-names":false,"suffix":""},{"dropping-particle":"","family":"Jethwa","given":"Rajesh B.","non-dropping-particle":"","parse-names":false,"suffix":""},{"dropping-particle":"","family":"Wang","given":"Anqi","non-dropping-particle":"","parse-names":false,"suffix":""},{"dropping-particle":"","family":"Smith","given":"Holly","non-dropping-particle":"","parse-names":false,"suffix":""},{"dropping-particle":"","family":"Carretero-González","given":"Javier","non-dropping-particle":"","parse-names":false,"suffix":""},{"dropping-particle":"","family":"Song","given":"Qilei","non-dropping-particle":"","parse-names":false,"suffix":""},{"dropping-particle":"","family":"Grey","given":"Clare P.","non-dropping-particle":"","parse-names":false,"suffix":""}],"container-title":"Nature","id":"ITEM-1","issue":"7798","issued":{"date-parts":[["2020"]]},"page":"224-228","publisher":"Springer US","title":"In situ NMR metrology reveals reaction mechanisms in redox flow batteries","type":"article-journal","volume":"579"},"uris":["http://www.mendeley.com/documents/?uuid=fcddc4d2-0784-4884-a171-34f87471575f"]}],"mendeley":{"formattedCitation":"&lt;sup&gt;32&lt;/sup&gt;","plainTextFormattedCitation":"32","previouslyFormattedCitation":"&lt;sup&gt;32&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32</w:t>
      </w:r>
      <w:r w:rsidRPr="00CB6923">
        <w:rPr>
          <w:rFonts w:ascii="Times New Roman" w:hAnsi="Times New Roman"/>
          <w:szCs w:val="24"/>
        </w:rPr>
        <w:fldChar w:fldCharType="end"/>
      </w:r>
    </w:p>
    <w:p w14:paraId="05C9A71C" w14:textId="6E13E78A" w:rsidR="00D0570A" w:rsidRPr="00CB6923" w:rsidRDefault="009D0605" w:rsidP="00A6281B">
      <w:pPr>
        <w:pStyle w:val="TAMainText"/>
        <w:ind w:firstLine="720"/>
        <w:jc w:val="left"/>
      </w:pPr>
      <w:r w:rsidRPr="00CB6923">
        <w:rPr>
          <w:i/>
          <w:iCs/>
        </w:rPr>
        <w:t>Computational Modeling.</w:t>
      </w:r>
      <w:r w:rsidRPr="00CB6923">
        <w:t xml:space="preserve"> </w:t>
      </w:r>
      <w:r w:rsidR="006D27C3" w:rsidRPr="00CB6923">
        <w:t>All 1D diffusion modeling was performed on Matlab R2019b. Schematics of the computational domains and governing mass transport equation for the 1D models can be found in the SI. The electrode and separator domains were discretized into 200-300 points</w:t>
      </w:r>
      <w:r w:rsidR="000A0C30" w:rsidRPr="00CB6923">
        <w:t>, with the exception of the model with low mass transport (which required 800 mesh points in the separator)</w:t>
      </w:r>
      <w:r w:rsidR="006D27C3" w:rsidRPr="00CB6923">
        <w:t>. At each timestep, the TEMPO redox reactions were calculated either under galvanostatic or potentiostatic conditions. TEMPO redox reactions were assumed to</w:t>
      </w:r>
      <w:r w:rsidR="00592AF7" w:rsidRPr="00CB6923">
        <w:t xml:space="preserve"> be</w:t>
      </w:r>
      <w:r w:rsidR="006D27C3" w:rsidRPr="00CB6923">
        <w:t xml:space="preserve"> the sole contributor to current for galvanostatic models. For potentiostatic models, the rate of TEMPO oxidation reactions at the cathode and self-reduction reactions at the anode were calculated using equations 4 and 5:</w:t>
      </w:r>
    </w:p>
    <w:p w14:paraId="3B51713B" w14:textId="77777777" w:rsidR="00541519" w:rsidRPr="00CB6923" w:rsidRDefault="00541519" w:rsidP="00541519">
      <w:pPr>
        <w:pStyle w:val="ListParagraph"/>
        <w:numPr>
          <w:ilvl w:val="0"/>
          <w:numId w:val="11"/>
        </w:numPr>
        <w:spacing w:line="480" w:lineRule="auto"/>
        <w:ind w:left="2970" w:hanging="2970"/>
      </w:pPr>
      <m:oMath>
        <m:r>
          <w:rPr>
            <w:rFonts w:ascii="Cambria Math" w:hAnsi="Cambria Math"/>
          </w:rPr>
          <m:t xml:space="preserve">rate= </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ox/red</m:t>
                </m:r>
              </m:sub>
            </m:sSub>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TEMPO/TEMPO</m:t>
                    </m:r>
                  </m:e>
                  <m:sup>
                    <m:r>
                      <w:rPr>
                        <w:rFonts w:ascii="Cambria Math" w:hAnsi="Cambria Math"/>
                      </w:rPr>
                      <m:t>+</m:t>
                    </m:r>
                  </m:sup>
                </m:sSup>
              </m:sub>
            </m:sSub>
          </m:e>
        </m:d>
      </m:oMath>
    </w:p>
    <w:p w14:paraId="3E71A5EC" w14:textId="77777777" w:rsidR="00541519" w:rsidRPr="00CB6923" w:rsidRDefault="00AB7239" w:rsidP="00541519">
      <w:pPr>
        <w:pStyle w:val="ListParagraph"/>
        <w:numPr>
          <w:ilvl w:val="0"/>
          <w:numId w:val="11"/>
        </w:numPr>
        <w:spacing w:line="480" w:lineRule="auto"/>
        <w:ind w:left="3150" w:hanging="3150"/>
      </w:pPr>
      <m:oMath>
        <m:sSub>
          <m:sSubPr>
            <m:ctrlPr>
              <w:rPr>
                <w:rFonts w:ascii="Cambria Math" w:hAnsi="Cambria Math"/>
                <w:i/>
              </w:rPr>
            </m:ctrlPr>
          </m:sSubPr>
          <m:e>
            <m:r>
              <w:rPr>
                <w:rFonts w:ascii="Cambria Math" w:hAnsi="Cambria Math"/>
              </w:rPr>
              <m:t>k</m:t>
            </m:r>
          </m:e>
          <m:sub>
            <m:r>
              <w:rPr>
                <w:rFonts w:ascii="Cambria Math" w:hAnsi="Cambria Math"/>
              </w:rPr>
              <m:t>ox/red</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0</m:t>
            </m:r>
          </m:sub>
        </m:sSub>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app</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m:t>
                </m:r>
              </m:sup>
            </m:sSup>
            <m:r>
              <w:rPr>
                <w:rFonts w:ascii="Cambria Math" w:hAnsi="Cambria Math"/>
              </w:rPr>
              <m:t>)F</m:t>
            </m:r>
          </m:num>
          <m:den>
            <m:r>
              <w:rPr>
                <w:rFonts w:ascii="Cambria Math" w:hAnsi="Cambria Math"/>
              </w:rPr>
              <m:t>RT</m:t>
            </m:r>
          </m:den>
        </m:f>
        <m:r>
          <w:rPr>
            <w:rFonts w:ascii="Cambria Math" w:hAnsi="Cambria Math"/>
          </w:rPr>
          <m:t>)</m:t>
        </m:r>
      </m:oMath>
    </w:p>
    <w:p w14:paraId="64FE1B6C" w14:textId="68CA79C6" w:rsidR="00854C98" w:rsidRPr="00CB6923" w:rsidRDefault="00541519" w:rsidP="00541519">
      <w:pPr>
        <w:pStyle w:val="TAMainText"/>
        <w:spacing w:after="240"/>
        <w:ind w:firstLine="0"/>
        <w:jc w:val="left"/>
        <w:rPr>
          <w:rFonts w:ascii="Times New Roman" w:hAnsi="Times New Roman"/>
          <w:szCs w:val="24"/>
        </w:rPr>
      </w:pPr>
      <w:r w:rsidRPr="00CB6923">
        <w:lastRenderedPageBreak/>
        <w:t>where k</w:t>
      </w:r>
      <w:r w:rsidRPr="00CB6923">
        <w:rPr>
          <w:vertAlign w:val="subscript"/>
        </w:rPr>
        <w:t>0</w:t>
      </w:r>
      <w:r w:rsidRPr="00CB6923">
        <w:t xml:space="preserve"> is the heterogeneous electron transfer coefficient, E</w:t>
      </w:r>
      <w:r w:rsidRPr="00CB6923">
        <w:rPr>
          <w:vertAlign w:val="subscript"/>
        </w:rPr>
        <w:t>app</w:t>
      </w:r>
      <w:r w:rsidRPr="00CB6923">
        <w:t xml:space="preserve"> is the applied potential, and E</w:t>
      </w:r>
      <w:r w:rsidRPr="00CB6923">
        <w:rPr>
          <w:vertAlign w:val="superscript"/>
        </w:rPr>
        <w:t>0</w:t>
      </w:r>
      <w:r w:rsidRPr="00CB6923">
        <w:t xml:space="preserve"> is the standard potential.</w:t>
      </w:r>
      <w:r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https://doi.org/10.1007/978-94-011-0691-7_6","author":[{"dropping-particle":"","family":"Rieger","given":"P.H.","non-dropping-particle":"","parse-names":false,"suffix":""}],"chapter-number":"4","container-title":"Electrochemistry","id":"ITEM-1","issued":{"date-parts":[["1994"]]},"page":"315-370","publisher":"Springer","publisher-place":"Dordrecht","title":"Electron-Transfer Kinetics","type":"chapter"},"uris":["http://www.mendeley.com/documents/?uuid=bb6a34e7-ae8c-4a7f-8d22-5bfea3796688"]}],"mendeley":{"formattedCitation":"&lt;sup&gt;37&lt;/sup&gt;","plainTextFormattedCitation":"37","previouslyFormattedCitation":"&lt;sup&gt;37&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37</w:t>
      </w:r>
      <w:r w:rsidRPr="00CB6923">
        <w:rPr>
          <w:rFonts w:ascii="Times New Roman" w:hAnsi="Times New Roman"/>
          <w:szCs w:val="24"/>
        </w:rPr>
        <w:fldChar w:fldCharType="end"/>
      </w:r>
    </w:p>
    <w:p w14:paraId="4740DC88" w14:textId="6CDFBC21" w:rsidR="00236DD4" w:rsidRPr="00CB6923" w:rsidRDefault="00854C98" w:rsidP="00416C39">
      <w:pPr>
        <w:pStyle w:val="TAMainText"/>
        <w:spacing w:after="240"/>
        <w:ind w:firstLine="720"/>
        <w:jc w:val="left"/>
      </w:pPr>
      <w:r w:rsidRPr="00CB6923">
        <w:t xml:space="preserve">Concentration gradients were then calculated for each </w:t>
      </w:r>
      <w:r w:rsidR="000955F8" w:rsidRPr="00CB6923">
        <w:t xml:space="preserve">mesh </w:t>
      </w:r>
      <w:r w:rsidRPr="00CB6923">
        <w:t xml:space="preserve">point in the electrode and separator domains. Subsequently, diffusive flux was calculated using Fickian diffusion for solution species in the dilute limit and </w:t>
      </w:r>
      <w:r w:rsidR="00F70B50" w:rsidRPr="00CB6923">
        <w:t xml:space="preserve">assuming a </w:t>
      </w:r>
      <w:r w:rsidR="000955F8" w:rsidRPr="00CB6923">
        <w:rPr>
          <w:rFonts w:ascii="Times New Roman" w:hAnsi="Times New Roman"/>
          <w:szCs w:val="24"/>
        </w:rPr>
        <w:t>geometric effect of the tortuosity and porosity on effective diffusion (captured via the Bruggeman relation)</w:t>
      </w:r>
      <w:r w:rsidR="000955F8"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{"citationItems":[{"id":"ITEM-1","itemData":{"DOI":"10.1016/j.coche.2016.02.006","ISSN":"22113398","abstract":"The widely used Bruggeman equations correlate tortuosity factors of porous media with their porosity. Finding diverse application from optics to bubble formation, it received considerable attention in fuel cell and battery research, recently. The ability to estimate tortuous mass transport resistance based on porosity alone is attractive, because direct access to the tortuosity factors is notoriously difficult. The correlation, however, has limitations, which are not widely appreciated owing to the limited accessibility of the original manuscript. We retrace Bruggeman's derivation, together with its initial assumptions, and comment on validity and limitations apparent from the original work to offer some guidance on its use.","author":[{"dropping-particle":"","family":"Tjaden","given":"Bernhard","non-dropping-particle":"","parse-names":false,"suffix":""},{"dropping-particle":"","family":"Cooper","given":"Samuel J.","non-dropping-particle":"","parse-names":false,"suffix":""},{"dropping-particle":"","family":"Brett","given":"Daniel Jl","non-dropping-particle":"","parse-names":false,"suffix":""},{"dropping-particle":"","family":"Kramer","given":"Denis","non-dropping-particle":"","parse-names":false,"suffix":""},{"dropping-particle":"","family":"Shearing","given":"Paul R.","non-dropping-particle":"","parse-names":false,"suffix":""}],"container-title":"Current Opinion in Chemical Engineering","id":"ITEM-1","issued":{"date-parts":[["2016"]]},"page":"44-51","publisher":"Elsevier Ltd","title":"On the origin and application of the Bruggeman correlation for analysing transport phenomena in electrochemical systems","type":"article-journal","volume":"12"},"uris":["http://www.mendeley.com/documents/?uuid=3563a09c-1721-476e-bf58-9cf81d933f28"]}],"mendeley":{"formattedCitation":"&lt;sup&gt;38&lt;/sup&gt;","plainTextFormattedCitation":"38","previouslyFormattedCitation":"&lt;sup&gt;38&lt;/sup&gt;"},"properties":{"noteIndex":0},"schema":"https://github.com/citation-style-language/schema/raw/master/csl-citation.json"}</w:instrText>
      </w:r>
      <w:r w:rsidR="000955F8" w:rsidRPr="00CB6923">
        <w:rPr>
          <w:rFonts w:ascii="Times New Roman" w:hAnsi="Times New Roman"/>
          <w:szCs w:val="24"/>
        </w:rPr>
        <w:fldChar w:fldCharType="separate"/>
      </w:r>
      <w:r w:rsidR="009C4068" w:rsidRPr="00CB6923">
        <w:rPr>
          <w:rFonts w:ascii="Times New Roman" w:hAnsi="Times New Roman"/>
          <w:noProof/>
          <w:szCs w:val="24"/>
          <w:vertAlign w:val="superscript"/>
        </w:rPr>
        <w:t>38</w:t>
      </w:r>
      <w:r w:rsidR="000955F8" w:rsidRPr="00CB6923">
        <w:rPr>
          <w:rFonts w:ascii="Times New Roman" w:hAnsi="Times New Roman"/>
          <w:szCs w:val="24"/>
        </w:rPr>
        <w:fldChar w:fldCharType="end"/>
      </w:r>
      <w:r w:rsidR="000955F8" w:rsidRPr="00CB6923">
        <w:rPr>
          <w:rFonts w:ascii="Times New Roman" w:hAnsi="Times New Roman"/>
          <w:szCs w:val="24"/>
        </w:rPr>
        <w:t>.</w:t>
      </w:r>
      <w:r w:rsidR="00166A10" w:rsidRPr="00CB6923">
        <w:rPr>
          <w:rFonts w:ascii="Times New Roman" w:hAnsi="Times New Roman"/>
          <w:szCs w:val="24"/>
        </w:rPr>
        <w:t xml:space="preserve"> </w:t>
      </w:r>
      <w:r w:rsidRPr="00CB6923">
        <w:t>The concentrations were updated at each point, where each mesh point corresponds to a volume of 1×10</w:t>
      </w:r>
      <w:r w:rsidR="00F53734" w:rsidRPr="00CB6923">
        <w:rPr>
          <w:rFonts w:cs="Times"/>
          <w:vertAlign w:val="superscript"/>
        </w:rPr>
        <w:t>−</w:t>
      </w:r>
      <w:r w:rsidRPr="00CB6923">
        <w:rPr>
          <w:vertAlign w:val="superscript"/>
        </w:rPr>
        <w:t>4</w:t>
      </w:r>
      <w:r w:rsidRPr="00CB6923">
        <w:t xml:space="preserve"> cm</w:t>
      </w:r>
      <w:r w:rsidRPr="00CB6923">
        <w:rPr>
          <w:vertAlign w:val="superscript"/>
        </w:rPr>
        <w:t>3</w:t>
      </w:r>
      <w:r w:rsidRPr="00CB6923">
        <w:t>.</w:t>
      </w:r>
    </w:p>
    <w:p w14:paraId="78D67524" w14:textId="4C249656" w:rsidR="00AA5911" w:rsidRPr="00CB6923" w:rsidRDefault="00AA5911" w:rsidP="00A6281B">
      <w:pPr>
        <w:pStyle w:val="TAMainText"/>
        <w:ind w:firstLine="720"/>
        <w:jc w:val="left"/>
      </w:pPr>
      <w:r w:rsidRPr="00CB6923">
        <w:t>Open-circuit voltage models were performed following similar methods to the potentiostatic models. The potential was then calculated from the concentrations via the Nernst equation:</w:t>
      </w:r>
    </w:p>
    <w:p w14:paraId="599AF6D7" w14:textId="77777777" w:rsidR="00AA5911" w:rsidRPr="00CB6923" w:rsidRDefault="00AA5911" w:rsidP="00AA5911">
      <w:pPr>
        <w:pStyle w:val="ListParagraph"/>
        <w:numPr>
          <w:ilvl w:val="0"/>
          <w:numId w:val="11"/>
        </w:numPr>
        <w:spacing w:line="480" w:lineRule="auto"/>
        <w:ind w:left="3600" w:hanging="3600"/>
      </w:pPr>
      <m:oMath>
        <m:r>
          <w:rPr>
            <w:rFonts w:ascii="Cambria Math" w:hAnsi="Cambria Math"/>
          </w:rPr>
          <m:t>E= </m:t>
        </m:r>
        <m:sSup>
          <m:sSupPr>
            <m:ctrlPr>
              <w:rPr>
                <w:rFonts w:ascii="Cambria Math" w:hAnsi="Cambria Math"/>
                <w:i/>
                <w:iCs/>
              </w:rPr>
            </m:ctrlPr>
          </m:sSupPr>
          <m:e>
            <m:r>
              <w:rPr>
                <w:rFonts w:ascii="Cambria Math" w:hAnsi="Cambria Math"/>
              </w:rPr>
              <m:t>E</m:t>
            </m:r>
          </m:e>
          <m:sup>
            <m:r>
              <w:rPr>
                <w:rFonts w:ascii="Cambria Math" w:hAnsi="Cambria Math"/>
              </w:rPr>
              <m:t>0</m:t>
            </m:r>
          </m:sup>
        </m:sSup>
        <m:r>
          <w:rPr>
            <w:rFonts w:ascii="Cambria Math" w:hAnsi="Cambria Math"/>
          </w:rPr>
          <m:t>-</m:t>
        </m:r>
        <m:f>
          <m:fPr>
            <m:ctrlPr>
              <w:rPr>
                <w:rFonts w:ascii="Cambria Math" w:hAnsi="Cambria Math"/>
                <w:i/>
                <w:iCs/>
              </w:rPr>
            </m:ctrlPr>
          </m:fPr>
          <m:num>
            <m:r>
              <w:rPr>
                <w:rFonts w:ascii="Cambria Math" w:hAnsi="Cambria Math"/>
              </w:rPr>
              <m:t>RT</m:t>
            </m:r>
          </m:num>
          <m:den>
            <m:r>
              <w:rPr>
                <w:rFonts w:ascii="Cambria Math" w:hAnsi="Cambria Math"/>
              </w:rPr>
              <m:t>nF</m:t>
            </m:r>
          </m:den>
        </m:f>
        <m:func>
          <m:funcPr>
            <m:ctrlPr>
              <w:rPr>
                <w:rFonts w:ascii="Cambria Math" w:hAnsi="Cambria Math"/>
                <w:i/>
                <w:iCs/>
              </w:rPr>
            </m:ctrlPr>
          </m:funcPr>
          <m:fName>
            <m:r>
              <m:rPr>
                <m:sty m:val="p"/>
              </m:rPr>
              <w:rPr>
                <w:rFonts w:ascii="Cambria Math" w:hAnsi="Cambria Math"/>
              </w:rPr>
              <m:t>ln</m:t>
            </m:r>
          </m:fName>
          <m:e>
            <m:d>
              <m:dPr>
                <m:ctrlPr>
                  <w:rPr>
                    <w:rFonts w:ascii="Cambria Math" w:hAnsi="Cambria Math"/>
                    <w:i/>
                    <w:iCs/>
                  </w:rPr>
                </m:ctrlPr>
              </m:dPr>
              <m:e>
                <m:f>
                  <m:fPr>
                    <m:ctrlPr>
                      <w:rPr>
                        <w:rFonts w:ascii="Cambria Math" w:hAnsi="Cambria Math"/>
                        <w:i/>
                        <w:iCs/>
                      </w:rPr>
                    </m:ctrlPr>
                  </m:fPr>
                  <m:num>
                    <m:r>
                      <w:rPr>
                        <w:rFonts w:ascii="Cambria Math" w:hAnsi="Cambria Math"/>
                      </w:rPr>
                      <m:t>[red]</m:t>
                    </m:r>
                  </m:num>
                  <m:den>
                    <m:r>
                      <w:rPr>
                        <w:rFonts w:ascii="Cambria Math" w:hAnsi="Cambria Math"/>
                      </w:rPr>
                      <m:t>[ox]</m:t>
                    </m:r>
                  </m:den>
                </m:f>
              </m:e>
            </m:d>
          </m:e>
        </m:func>
      </m:oMath>
    </w:p>
    <w:p w14:paraId="32A83876" w14:textId="3A5DE67E" w:rsidR="00AA5911" w:rsidRPr="00CB6923" w:rsidRDefault="00483B61" w:rsidP="00A9757A">
      <w:pPr>
        <w:pStyle w:val="TAMainText"/>
        <w:spacing w:after="240"/>
        <w:jc w:val="left"/>
        <w:rPr>
          <w:rFonts w:ascii="Times New Roman" w:hAnsi="Times New Roman"/>
          <w:szCs w:val="24"/>
        </w:rPr>
      </w:pPr>
      <w:r w:rsidRPr="00CB6923">
        <w:t>where E is the potential, E</w:t>
      </w:r>
      <w:r w:rsidRPr="00CB6923">
        <w:rPr>
          <w:vertAlign w:val="superscript"/>
        </w:rPr>
        <w:t>0</w:t>
      </w:r>
      <w:r w:rsidRPr="00CB6923">
        <w:t xml:space="preserve"> is the equilibrium potential of TEMPO/TEMPO</w:t>
      </w:r>
      <w:r w:rsidRPr="00CB6923">
        <w:rPr>
          <w:vertAlign w:val="superscript"/>
        </w:rPr>
        <w:t>+</w:t>
      </w:r>
      <w:r w:rsidRPr="00CB6923">
        <w:t xml:space="preserve"> (3.76 V vs Li/Li</w:t>
      </w:r>
      <w:r w:rsidRPr="00CB6923">
        <w:rPr>
          <w:vertAlign w:val="superscript"/>
        </w:rPr>
        <w:t>+</w:t>
      </w:r>
      <w:r w:rsidRPr="00CB6923">
        <w:t>),</w:t>
      </w:r>
      <w:r w:rsidR="003F20FA" w:rsidRPr="00CB6923">
        <w:rPr>
          <w:rFonts w:ascii="Times New Roman" w:hAnsi="Times New Roman"/>
          <w:szCs w:val="24"/>
        </w:rPr>
        <w:fldChar w:fldCharType="begin" w:fldLock="1"/>
      </w:r>
      <w:r w:rsidR="003F20FA" w:rsidRPr="00CB6923">
        <w:rPr>
          <w:rFonts w:ascii="Times New Roman" w:hAnsi="Times New Roman"/>
          <w:szCs w:val="24"/>
        </w:rPr>
        <w:instrText>ADDIN CSL_CITATION {"citationItems":[{"id":"ITEM-1","itemData":{"DOI":"10.1021/ja508400m","ISSN":"15205126","abstract":"Nonaqueous Li-O2 batteries are an intensively studied future energy storage technology because of their high theoretical energy density. However, a number of barriers prevent a practical application, and one of the major challenges is the reduction of the high charge overpotential: Whereas lithium peroxide (Li2O2) is formed during discharge at around 2.7 V (vs Li+/Li), its electrochemical decomposition during the charge process requires potentials up to 4.5 V. This high potential gap leads to a low round-trip efficiency of the cell, and more importantly, the high charge potential causes electrochemical decomposition of other cell constituents. Dissolved oxidation catalysts can act as mobile redox mediators (RM), which enable the oxidation of Li2O2 particles even without a direct electric contact to the positive electrode. Herein we show that the addition of 10 mM TEMPO (2,2,6,6-tetramethylpiperidinyloxyl), homogeneously dissolved in the electrolyte, provides a distinct reduction of the charging potentials by 500 mV. Moreover, TEMPO enables a significant enhancement of the cycling stability leading to a doubling of the cycle life. The efficiency of the TEMPO mediated catalysis was further investigated by a parallel monitoring of the cell pressure, which excludes a considerable contribution of a parasitic shuttle (i.e., internal ionic short circuit) to the anode during cycling. We prove the suitability of TEMPO by a systematic study of the relevant physical and chemical properties, i.e., its (electro)chemical stability, redox potential, diffusion coefficient and the influence on the oxygen solubility. Furthermore, the charging mechanisms of Li-O2 cells with and without TEMPO were compared by combining different electrochemical and analytical techniques.","author":[{"dropping-particle":"","family":"Bergner","given":"Benjamin J.","non-dropping-particle":"","parse-names":false,"suffix":""},{"dropping-particle":"","family":"Schürmann","given":"Adrian","non-dropping-particle":"","parse-names":false,"suffix":""},{"dropping-particle":"","family":"Peppler","given":"Klaus","non-dropping-particle":"","parse-names":false,"suffix":""},{"dropping-particle":"","family":"Garsuch","given":"Arnd","non-dropping-particle":"","parse-names":false,"suffix":""},{"dropping-particle":"","family":"Janek","given":"Jürgen","non-dropping-particle":"","parse-names":false,"suffix":""}],"container-title":"Journal of the American Chemical Society","id":"ITEM-1","issue":"42","issued":{"date-parts":[["2014"]]},"page":"15054-15064","title":"TEMPO: A mobile catalyst for rechargeable Li-O2 batteries","type":"article-journal","volume":"136"},"uris":["http://www.mendeley.com/documents/?uuid=a2897d28-efc5-41ea-b031-0dda3d6ad6d2"]}],"mendeley":{"formattedCitation":"&lt;sup&gt;5&lt;/sup&gt;","plainTextFormattedCitation":"5","previouslyFormattedCitation":"&lt;sup&gt;5&lt;/sup&gt;"},"properties":{"noteIndex":0},"schema":"https://github.com/citation-style-language/schema/raw/master/csl-citation.json"}</w:instrText>
      </w:r>
      <w:r w:rsidR="003F20FA" w:rsidRPr="00CB6923">
        <w:rPr>
          <w:rFonts w:ascii="Times New Roman" w:hAnsi="Times New Roman"/>
          <w:szCs w:val="24"/>
        </w:rPr>
        <w:fldChar w:fldCharType="separate"/>
      </w:r>
      <w:r w:rsidR="003F20FA" w:rsidRPr="00CB6923">
        <w:rPr>
          <w:rFonts w:ascii="Times New Roman" w:hAnsi="Times New Roman"/>
          <w:noProof/>
          <w:szCs w:val="24"/>
          <w:vertAlign w:val="superscript"/>
        </w:rPr>
        <w:t>5</w:t>
      </w:r>
      <w:r w:rsidR="003F20FA" w:rsidRPr="00CB6923">
        <w:rPr>
          <w:rFonts w:ascii="Times New Roman" w:hAnsi="Times New Roman"/>
          <w:szCs w:val="24"/>
        </w:rPr>
        <w:fldChar w:fldCharType="end"/>
      </w:r>
      <w:r w:rsidR="003F20FA" w:rsidRPr="00CB6923">
        <w:rPr>
          <w:rFonts w:ascii="Times New Roman" w:hAnsi="Times New Roman"/>
          <w:szCs w:val="24"/>
        </w:rPr>
        <w:t xml:space="preserve"> R is the universal gas constant, T is temperature, n is the number of moles of electrons involved in the redox reaction, F is Faraday’s constant, [red] is the concentration of the reduced species, and [ox] is the concentration of oxidized species</w:t>
      </w:r>
      <w:r w:rsidR="00A9757A" w:rsidRPr="00CB6923">
        <w:rPr>
          <w:rFonts w:ascii="Times New Roman" w:hAnsi="Times New Roman"/>
          <w:szCs w:val="24"/>
        </w:rPr>
        <w:t>.</w:t>
      </w:r>
    </w:p>
    <w:p w14:paraId="4C914E6F" w14:textId="2F15DBE1" w:rsidR="008E558F" w:rsidRPr="00CB6923" w:rsidRDefault="009A582C" w:rsidP="00416C39">
      <w:pPr>
        <w:pStyle w:val="TAMainText"/>
        <w:spacing w:after="240"/>
        <w:ind w:firstLine="720"/>
        <w:jc w:val="left"/>
        <w:rPr>
          <w:rFonts w:ascii="Times New Roman" w:hAnsi="Times New Roman"/>
        </w:rPr>
      </w:pPr>
      <w:r w:rsidRPr="00CB6923">
        <w:t>For the</w:t>
      </w:r>
      <w:r w:rsidR="00497E54" w:rsidRPr="00CB6923">
        <w:t xml:space="preserve"> 2D model</w:t>
      </w:r>
      <w:r w:rsidRPr="00CB6923">
        <w:t>,</w:t>
      </w:r>
      <w:r w:rsidR="00497E54" w:rsidRPr="00CB6923">
        <w:t xml:space="preserve"> a 2D flow field across the cathode and separator cross sectional areas</w:t>
      </w:r>
      <w:r w:rsidRPr="00CB6923">
        <w:t xml:space="preserve"> is first calculated</w:t>
      </w:r>
      <w:r w:rsidR="008E2A42" w:rsidRPr="00CB6923">
        <w:t xml:space="preserve"> based</w:t>
      </w:r>
      <w:r w:rsidR="00067CA5" w:rsidRPr="00CB6923">
        <w:t xml:space="preserve"> on</w:t>
      </w:r>
      <w:r w:rsidRPr="00CB6923">
        <w:t xml:space="preserve"> the flow rate</w:t>
      </w:r>
      <w:r w:rsidR="006E024A" w:rsidRPr="00CB6923">
        <w:t xml:space="preserve"> being simulated</w:t>
      </w:r>
      <w:r w:rsidRPr="00CB6923">
        <w:t>.</w:t>
      </w:r>
      <w:r w:rsidR="00AB4325" w:rsidRPr="00CB6923">
        <w:t xml:space="preserve"> </w:t>
      </w:r>
      <w:r w:rsidR="004A1216" w:rsidRPr="00CB6923">
        <w:t>TEMPO and TEMPO</w:t>
      </w:r>
      <w:r w:rsidR="004A1216" w:rsidRPr="00CB6923">
        <w:rPr>
          <w:vertAlign w:val="superscript"/>
        </w:rPr>
        <w:t>+</w:t>
      </w:r>
      <w:r w:rsidR="004A1216" w:rsidRPr="00CB6923">
        <w:t xml:space="preserve"> concentrations are then calculated for each mesh point. </w:t>
      </w:r>
      <w:r w:rsidR="00D24CA0" w:rsidRPr="00CB6923">
        <w:t>Equations used to calculate the reaction rates are the same as those used in the 1D model, while t</w:t>
      </w:r>
      <w:r w:rsidR="005725A0" w:rsidRPr="00CB6923">
        <w:t xml:space="preserve">he </w:t>
      </w:r>
      <w:r w:rsidR="005725A0" w:rsidRPr="00CB6923">
        <w:rPr>
          <w:rFonts w:ascii="Times New Roman" w:hAnsi="Times New Roman"/>
        </w:rPr>
        <w:t>mass transport is modeled according to the convection-diffusion equation</w:t>
      </w:r>
      <w:r w:rsidR="008E558F" w:rsidRPr="00CB6923">
        <w:rPr>
          <w:rFonts w:ascii="Times New Roman" w:hAnsi="Times New Roman"/>
        </w:rPr>
        <w:t>:</w:t>
      </w:r>
      <w:r w:rsidR="005725A0" w:rsidRPr="00CB6923">
        <w:rPr>
          <w:rFonts w:ascii="Times New Roman" w:hAnsi="Times New Roman"/>
        </w:rPr>
        <w:t xml:space="preserve"> </w:t>
      </w:r>
    </w:p>
    <w:p w14:paraId="1584F5E3" w14:textId="1DA8CB1E" w:rsidR="008E558F" w:rsidRPr="00CB6923" w:rsidRDefault="00AB7239" w:rsidP="008E558F">
      <w:pPr>
        <w:pStyle w:val="TAMainText"/>
        <w:numPr>
          <w:ilvl w:val="0"/>
          <w:numId w:val="11"/>
        </w:numPr>
        <w:spacing w:after="240"/>
        <w:ind w:left="3119" w:hanging="3119"/>
        <w:jc w:val="left"/>
        <w:rPr>
          <w:rFonts w:ascii="Times New Roman" w:eastAsiaTheme="minorEastAsia" w:hAnsi="Times New Roman"/>
        </w:rPr>
      </w:pPr>
      <m:oMath>
        <m:f>
          <m:fPr>
            <m:ctrlPr>
              <w:rPr>
                <w:rFonts w:ascii="Cambria Math" w:eastAsia="Times New Roman" w:hAnsi="Cambria Math"/>
                <w:i/>
              </w:rPr>
            </m:ctrlPr>
          </m:fPr>
          <m:num>
            <m:r>
              <w:rPr>
                <w:rFonts w:ascii="Cambria Math" w:hAnsi="Cambria Math"/>
              </w:rPr>
              <m:t>∂C</m:t>
            </m:r>
          </m:num>
          <m:den>
            <m:r>
              <w:rPr>
                <w:rFonts w:ascii="Cambria Math" w:hAnsi="Cambria Math"/>
              </w:rPr>
              <m:t>∂t</m:t>
            </m:r>
          </m:den>
        </m:f>
        <m:r>
          <w:rPr>
            <w:rFonts w:ascii="Cambria Math" w:eastAsia="Times New Roman" w:hAnsi="Cambria Math"/>
          </w:rPr>
          <m:t>=u</m:t>
        </m:r>
        <m:r>
          <m:rPr>
            <m:sty m:val="p"/>
          </m:rPr>
          <w:rPr>
            <w:rFonts w:ascii="Cambria Math" w:eastAsia="Times New Roman" w:hAnsi="Cambria Math"/>
          </w:rPr>
          <m:t>∇</m:t>
        </m:r>
        <m:r>
          <w:rPr>
            <w:rFonts w:ascii="Cambria Math" w:eastAsia="Times New Roman" w:hAnsi="Cambria Math"/>
          </w:rPr>
          <m:t>C(x,y,t)-</m:t>
        </m:r>
        <m:sSub>
          <m:sSubPr>
            <m:ctrlPr>
              <w:rPr>
                <w:rFonts w:ascii="Cambria Math" w:eastAsia="Times New Roman" w:hAnsi="Cambria Math"/>
                <w:i/>
              </w:rPr>
            </m:ctrlPr>
          </m:sSubPr>
          <m:e>
            <m:r>
              <m:rPr>
                <m:sty m:val="p"/>
              </m:rPr>
              <w:rPr>
                <w:rFonts w:ascii="Cambria Math" w:eastAsia="Times New Roman" w:hAnsi="Cambria Math"/>
              </w:rPr>
              <m:t>∇</m:t>
            </m:r>
            <m:r>
              <w:rPr>
                <w:rFonts w:ascii="Cambria Math" w:eastAsia="Times New Roman" w:hAnsi="Cambria Math"/>
              </w:rPr>
              <m:t>(D</m:t>
            </m:r>
          </m:e>
          <m:sub>
            <m:r>
              <w:rPr>
                <w:rFonts w:ascii="Cambria Math" w:eastAsia="Times New Roman" w:hAnsi="Cambria Math"/>
              </w:rPr>
              <m:t>eff</m:t>
            </m:r>
          </m:sub>
        </m:sSub>
        <m:r>
          <m:rPr>
            <m:sty m:val="p"/>
          </m:rPr>
          <w:rPr>
            <w:rFonts w:ascii="Cambria Math" w:eastAsia="Times New Roman" w:hAnsi="Cambria Math"/>
          </w:rPr>
          <m:t>∇</m:t>
        </m:r>
        <m:r>
          <w:rPr>
            <w:rFonts w:ascii="Cambria Math" w:eastAsia="Times New Roman" w:hAnsi="Cambria Math"/>
          </w:rPr>
          <m:t>C(x,y,t))</m:t>
        </m:r>
      </m:oMath>
    </w:p>
    <w:p w14:paraId="580AD639" w14:textId="7754543A" w:rsidR="00541519" w:rsidRPr="00CB6923" w:rsidRDefault="005725A0" w:rsidP="008E558F">
      <w:pPr>
        <w:pStyle w:val="TAMainText"/>
        <w:spacing w:after="240"/>
        <w:ind w:firstLine="0"/>
        <w:jc w:val="left"/>
      </w:pPr>
      <w:r w:rsidRPr="00CB6923">
        <w:rPr>
          <w:rFonts w:ascii="Times New Roman" w:eastAsiaTheme="minorEastAsia" w:hAnsi="Times New Roman"/>
        </w:rPr>
        <w:lastRenderedPageBreak/>
        <w:t xml:space="preserve">where u is a 2D vector,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mr>
          <m:m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e>
          </m:mr>
        </m:m>
        <m:r>
          <w:rPr>
            <w:rFonts w:ascii="Cambria Math" w:eastAsiaTheme="minorEastAsia" w:hAnsi="Cambria Math"/>
          </w:rPr>
          <m:t>]</m:t>
        </m:r>
      </m:oMath>
      <w:r w:rsidRPr="00CB6923">
        <w:rPr>
          <w:rFonts w:ascii="Times New Roman" w:eastAsiaTheme="minorEastAsia" w:hAnsi="Times New Roman"/>
        </w:rPr>
        <w:t xml:space="preserve"> describing the flow at each mesh point. </w:t>
      </w:r>
      <w:r w:rsidR="009A582C" w:rsidRPr="00CB6923">
        <w:t>F</w:t>
      </w:r>
      <w:r w:rsidR="00166A10" w:rsidRPr="00CB6923">
        <w:t xml:space="preserve">urther details are </w:t>
      </w:r>
      <w:r w:rsidR="00BE2236" w:rsidRPr="00CB6923">
        <w:t>included</w:t>
      </w:r>
      <w:r w:rsidR="00AB4325" w:rsidRPr="00CB6923">
        <w:t xml:space="preserve"> in the SI</w:t>
      </w:r>
      <w:r w:rsidR="00497E54" w:rsidRPr="00CB6923">
        <w:t xml:space="preserve">. </w:t>
      </w:r>
    </w:p>
    <w:p w14:paraId="79302C81" w14:textId="74BAE16F" w:rsidR="00E4114F" w:rsidRPr="00CB6923" w:rsidRDefault="00E4114F" w:rsidP="00E4114F">
      <w:pPr>
        <w:pStyle w:val="TAMainText"/>
        <w:spacing w:after="240"/>
        <w:ind w:firstLine="720"/>
        <w:jc w:val="left"/>
      </w:pPr>
      <w:r w:rsidRPr="00CB6923">
        <w:t xml:space="preserve">Initial parameter values input into the 1D and 2D models can be found in the SI (Table S2, figure S9). </w:t>
      </w:r>
    </w:p>
    <w:p w14:paraId="61D45826" w14:textId="7BE2F4BC" w:rsidR="00A9757A" w:rsidRPr="00CB6923" w:rsidRDefault="00010098" w:rsidP="00010098">
      <w:pPr>
        <w:pStyle w:val="TAMainText"/>
        <w:spacing w:after="240"/>
        <w:ind w:firstLine="0"/>
        <w:jc w:val="left"/>
      </w:pPr>
      <w:r w:rsidRPr="00CB6923">
        <w:t>RESULTS</w:t>
      </w:r>
    </w:p>
    <w:p w14:paraId="216AF54D" w14:textId="443946FA" w:rsidR="00010098" w:rsidRPr="00CB6923" w:rsidRDefault="00010098" w:rsidP="00707FAD">
      <w:pPr>
        <w:pStyle w:val="TAMainText"/>
        <w:spacing w:after="240"/>
        <w:ind w:firstLine="0"/>
        <w:jc w:val="left"/>
        <w:rPr>
          <w:i/>
          <w:iCs/>
        </w:rPr>
      </w:pPr>
      <w:r w:rsidRPr="00CB6923">
        <w:rPr>
          <w:i/>
          <w:iCs/>
        </w:rPr>
        <w:t>Online NMR and EPR measurement during potentiostatic cycling of TEMPO</w:t>
      </w:r>
    </w:p>
    <w:p w14:paraId="6464B1EB" w14:textId="625D088E" w:rsidR="00010098" w:rsidRPr="00CB6923" w:rsidRDefault="00010098" w:rsidP="00010098">
      <w:pPr>
        <w:pStyle w:val="TAMainText"/>
        <w:spacing w:after="240"/>
        <w:ind w:firstLine="0"/>
        <w:jc w:val="left"/>
      </w:pPr>
      <w:r w:rsidRPr="00CB6923">
        <w:rPr>
          <w:noProof/>
        </w:rPr>
        <w:drawing>
          <wp:inline distT="0" distB="0" distL="0" distR="0" wp14:anchorId="3D820856" wp14:editId="27E06F89">
            <wp:extent cx="5937885" cy="33470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47085"/>
                    </a:xfrm>
                    <a:prstGeom prst="rect">
                      <a:avLst/>
                    </a:prstGeom>
                    <a:noFill/>
                  </pic:spPr>
                </pic:pic>
              </a:graphicData>
            </a:graphic>
          </wp:inline>
        </w:drawing>
      </w:r>
    </w:p>
    <w:p w14:paraId="261E1677" w14:textId="0BDD0642" w:rsidR="00010098" w:rsidRPr="00CB6923" w:rsidRDefault="00010098" w:rsidP="00010098">
      <w:pPr>
        <w:pStyle w:val="VAFigureCaption"/>
      </w:pPr>
      <w:r w:rsidRPr="00CB6923">
        <w:rPr>
          <w:b/>
          <w:bCs/>
        </w:rPr>
        <w:t>Figure 1.</w:t>
      </w:r>
      <w:r w:rsidRPr="00CB6923">
        <w:t xml:space="preserve"> Schematic of the Li-TEMPO battery and electrolyte flow pathway. The electrolyte (0.25</w:t>
      </w:r>
      <w:r w:rsidR="00037B36" w:rsidRPr="00CB6923">
        <w:t xml:space="preserve"> </w:t>
      </w:r>
      <w:r w:rsidRPr="00CB6923">
        <w:t>M LiTFSI in diglyme with 25</w:t>
      </w:r>
      <w:r w:rsidR="007A17E0" w:rsidRPr="00CB6923">
        <w:t xml:space="preserve"> </w:t>
      </w:r>
      <w:r w:rsidRPr="00CB6923">
        <w:t>mM TEMPO) is pumped from the reservoir into the cell then out from the cell consecutively to the EPR and NMR spectrometers.</w:t>
      </w:r>
    </w:p>
    <w:p w14:paraId="3EDE7A84" w14:textId="4C80B729" w:rsidR="00BE044F" w:rsidRPr="00CB6923" w:rsidRDefault="00F74730" w:rsidP="00416C39">
      <w:pPr>
        <w:pStyle w:val="TAMainText"/>
        <w:spacing w:after="240"/>
        <w:ind w:firstLine="720"/>
        <w:jc w:val="left"/>
        <w:rPr>
          <w:rFonts w:ascii="Times New Roman" w:hAnsi="Times New Roman"/>
          <w:szCs w:val="24"/>
        </w:rPr>
      </w:pPr>
      <w:r w:rsidRPr="00CB6923">
        <w:lastRenderedPageBreak/>
        <w:t>A Li-TEMPO battery was assembled (figure 1) and cycled under potentiostatic conditions. De-lithiated lithium iron phosphate, FePO</w:t>
      </w:r>
      <w:r w:rsidRPr="00CB6923">
        <w:rPr>
          <w:vertAlign w:val="subscript"/>
        </w:rPr>
        <w:t>4</w:t>
      </w:r>
      <w:r w:rsidRPr="00CB6923">
        <w:t>, was used as the counter electrode in order to limit the effect of SEI reactions (and TEMPO decomposition at low potentials) on the experimental results. Lithium metal was used as the reference electrode and a porous carbon gas diffusion layer was used as the cathode. The electrolyte was flowed from the cell through the NMR and EPR spectrometers, enabling online measurements during electrochemical cycling (figure 1). The cells were cycled in an Ar environment so as to investigate TEMPO redox reactions without the influence of O</w:t>
      </w:r>
      <w:r w:rsidRPr="00CB6923">
        <w:rPr>
          <w:vertAlign w:val="subscript"/>
        </w:rPr>
        <w:t>2</w:t>
      </w:r>
      <w:r w:rsidRPr="00CB6923">
        <w:t>. The theoretical redox potential for TEMPO is 3.76 V vs Li/Li</w:t>
      </w:r>
      <w:r w:rsidRPr="00CB6923">
        <w:rPr>
          <w:vertAlign w:val="superscript"/>
        </w:rPr>
        <w:t>+</w:t>
      </w:r>
      <w:r w:rsidRPr="00CB6923">
        <w:t xml:space="preserve"> (0.31</w:t>
      </w:r>
      <w:r w:rsidR="001C4789" w:rsidRPr="00CB6923">
        <w:t xml:space="preserve"> </w:t>
      </w:r>
      <w:r w:rsidRPr="00CB6923">
        <w:t>V vs LiFePO</w:t>
      </w:r>
      <w:r w:rsidRPr="00CB6923">
        <w:rPr>
          <w:vertAlign w:val="subscript"/>
        </w:rPr>
        <w:t>4</w:t>
      </w:r>
      <w:r w:rsidRPr="00CB6923">
        <w:t>/ FePO</w:t>
      </w:r>
      <w:r w:rsidRPr="00CB6923">
        <w:rPr>
          <w:vertAlign w:val="subscript"/>
        </w:rPr>
        <w:t>4</w:t>
      </w:r>
      <w:r w:rsidRPr="00CB6923">
        <w:t>).</w:t>
      </w:r>
      <w:r w:rsidR="008D1B57" w:rsidRPr="00CB6923">
        <w:rPr>
          <w:rFonts w:ascii="Times New Roman" w:hAnsi="Times New Roman"/>
          <w:szCs w:val="24"/>
        </w:rPr>
        <w:fldChar w:fldCharType="begin" w:fldLock="1"/>
      </w:r>
      <w:r w:rsidR="008D1B57" w:rsidRPr="00CB6923">
        <w:rPr>
          <w:rFonts w:ascii="Times New Roman" w:hAnsi="Times New Roman"/>
          <w:szCs w:val="24"/>
        </w:rPr>
        <w:instrText>ADDIN CSL_CITATION {"citationItems":[{"id":"ITEM-1","itemData":{"DOI":"10.1021/ja508400m","ISSN":"15205126","abstract":"Nonaqueous Li-O2 batteries are an intensively studied future energy storage technology because of their high theoretical energy density. However, a number of barriers prevent a practical application, and one of the major challenges is the reduction of the high charge overpotential: Whereas lithium peroxide (Li2O2) is formed during discharge at around 2.7 V (vs Li+/Li), its electrochemical decomposition during the charge process requires potentials up to 4.5 V. This high potential gap leads to a low round-trip efficiency of the cell, and more importantly, the high charge potential causes electrochemical decomposition of other cell constituents. Dissolved oxidation catalysts can act as mobile redox mediators (RM), which enable the oxidation of Li2O2 particles even without a direct electric contact to the positive electrode. Herein we show that the addition of 10 mM TEMPO (2,2,6,6-tetramethylpiperidinyloxyl), homogeneously dissolved in the electrolyte, provides a distinct reduction of the charging potentials by 500 mV. Moreover, TEMPO enables a significant enhancement of the cycling stability leading to a doubling of the cycle life. The efficiency of the TEMPO mediated catalysis was further investigated by a parallel monitoring of the cell pressure, which excludes a considerable contribution of a parasitic shuttle (i.e., internal ionic short circuit) to the anode during cycling. We prove the suitability of TEMPO by a systematic study of the relevant physical and chemical properties, i.e., its (electro)chemical stability, redox potential, diffusion coefficient and the influence on the oxygen solubility. Furthermore, the charging mechanisms of Li-O2 cells with and without TEMPO were compared by combining different electrochemical and analytical techniques.","author":[{"dropping-particle":"","family":"Bergner","given":"Benjamin J.","non-dropping-particle":"","parse-names":false,"suffix":""},{"dropping-particle":"","family":"Schürmann","given":"Adrian","non-dropping-particle":"","parse-names":false,"suffix":""},{"dropping-particle":"","family":"Peppler","given":"Klaus","non-dropping-particle":"","parse-names":false,"suffix":""},{"dropping-particle":"","family":"Garsuch","given":"Arnd","non-dropping-particle":"","parse-names":false,"suffix":""},{"dropping-particle":"","family":"Janek","given":"Jürgen","non-dropping-particle":"","parse-names":false,"suffix":""}],"container-title":"Journal of the American Chemical Society","id":"ITEM-1","issue":"42","issued":{"date-parts":[["2014"]]},"page":"15054-15064","title":"TEMPO: A mobile catalyst for rechargeable Li-O2 batteries","type":"article-journal","volume":"136"},"uris":["http://www.mendeley.com/documents/?uuid=a2897d28-efc5-41ea-b031-0dda3d6ad6d2"]}],"mendeley":{"formattedCitation":"&lt;sup&gt;5&lt;/sup&gt;","plainTextFormattedCitation":"5","previouslyFormattedCitation":"&lt;sup&gt;5&lt;/sup&gt;"},"properties":{"noteIndex":0},"schema":"https://github.com/citation-style-language/schema/raw/master/csl-citation.json"}</w:instrText>
      </w:r>
      <w:r w:rsidR="008D1B57" w:rsidRPr="00CB6923">
        <w:rPr>
          <w:rFonts w:ascii="Times New Roman" w:hAnsi="Times New Roman"/>
          <w:szCs w:val="24"/>
        </w:rPr>
        <w:fldChar w:fldCharType="separate"/>
      </w:r>
      <w:r w:rsidR="008D1B57" w:rsidRPr="00CB6923">
        <w:rPr>
          <w:rFonts w:ascii="Times New Roman" w:hAnsi="Times New Roman"/>
          <w:noProof/>
          <w:szCs w:val="24"/>
          <w:vertAlign w:val="superscript"/>
        </w:rPr>
        <w:t>5</w:t>
      </w:r>
      <w:r w:rsidR="008D1B57" w:rsidRPr="00CB6923">
        <w:rPr>
          <w:rFonts w:ascii="Times New Roman" w:hAnsi="Times New Roman"/>
          <w:szCs w:val="24"/>
        </w:rPr>
        <w:fldChar w:fldCharType="end"/>
      </w:r>
      <w:r w:rsidR="00C050E7" w:rsidRPr="00CB6923">
        <w:rPr>
          <w:rFonts w:ascii="Times New Roman" w:hAnsi="Times New Roman"/>
          <w:szCs w:val="24"/>
        </w:rPr>
        <w:t xml:space="preserve"> During TEMPO oxidation, a constant voltage of 3.8</w:t>
      </w:r>
      <w:r w:rsidR="00FB048F" w:rsidRPr="00CB6923">
        <w:rPr>
          <w:rFonts w:ascii="Times New Roman" w:hAnsi="Times New Roman"/>
          <w:szCs w:val="24"/>
        </w:rPr>
        <w:t xml:space="preserve"> </w:t>
      </w:r>
      <w:r w:rsidR="00C050E7" w:rsidRPr="00CB6923">
        <w:rPr>
          <w:rFonts w:ascii="Times New Roman" w:hAnsi="Times New Roman"/>
          <w:szCs w:val="24"/>
        </w:rPr>
        <w:t>V vs Li/Li+ (0.35</w:t>
      </w:r>
      <w:r w:rsidR="00FB048F" w:rsidRPr="00CB6923">
        <w:rPr>
          <w:rFonts w:ascii="Times New Roman" w:hAnsi="Times New Roman"/>
          <w:szCs w:val="24"/>
        </w:rPr>
        <w:t xml:space="preserve"> </w:t>
      </w:r>
      <w:r w:rsidR="00C050E7" w:rsidRPr="00CB6923">
        <w:rPr>
          <w:rFonts w:ascii="Times New Roman" w:hAnsi="Times New Roman"/>
          <w:szCs w:val="24"/>
        </w:rPr>
        <w:t>V vs LFP/FP) was applied at the cathode for 10 h and TEMPO is oxidized to the TEMPO</w:t>
      </w:r>
      <w:r w:rsidR="00C050E7" w:rsidRPr="00CB6923">
        <w:rPr>
          <w:rFonts w:ascii="Times New Roman" w:hAnsi="Times New Roman"/>
          <w:szCs w:val="24"/>
          <w:vertAlign w:val="superscript"/>
        </w:rPr>
        <w:t>+</w:t>
      </w:r>
      <w:r w:rsidR="00C050E7" w:rsidRPr="00CB6923">
        <w:rPr>
          <w:rFonts w:ascii="Times New Roman" w:hAnsi="Times New Roman"/>
          <w:szCs w:val="24"/>
        </w:rPr>
        <w:t xml:space="preserve"> cation at the cathode (figure 2a), while Li</w:t>
      </w:r>
      <w:r w:rsidR="00C050E7" w:rsidRPr="00CB6923">
        <w:rPr>
          <w:rFonts w:ascii="Times New Roman" w:hAnsi="Times New Roman"/>
          <w:szCs w:val="24"/>
          <w:vertAlign w:val="superscript"/>
        </w:rPr>
        <w:t>+</w:t>
      </w:r>
      <w:r w:rsidR="00C050E7" w:rsidRPr="00CB6923">
        <w:rPr>
          <w:rFonts w:ascii="Times New Roman" w:hAnsi="Times New Roman"/>
          <w:szCs w:val="24"/>
        </w:rPr>
        <w:t xml:space="preserve"> ions are intercalated into the FePO</w:t>
      </w:r>
      <w:r w:rsidR="00C050E7" w:rsidRPr="00CB6923">
        <w:rPr>
          <w:rFonts w:ascii="Times New Roman" w:hAnsi="Times New Roman"/>
          <w:szCs w:val="24"/>
          <w:vertAlign w:val="subscript"/>
        </w:rPr>
        <w:t>4</w:t>
      </w:r>
      <w:r w:rsidR="00C050E7" w:rsidRPr="00CB6923">
        <w:rPr>
          <w:rFonts w:ascii="Times New Roman" w:hAnsi="Times New Roman"/>
          <w:szCs w:val="24"/>
        </w:rPr>
        <w:t xml:space="preserve"> anode and forming LiFePO</w:t>
      </w:r>
      <w:r w:rsidR="00C050E7" w:rsidRPr="00CB6923">
        <w:rPr>
          <w:rFonts w:ascii="Times New Roman" w:hAnsi="Times New Roman"/>
          <w:szCs w:val="24"/>
          <w:vertAlign w:val="subscript"/>
        </w:rPr>
        <w:t>4</w:t>
      </w:r>
      <w:r w:rsidR="00C050E7" w:rsidRPr="00CB6923">
        <w:rPr>
          <w:rFonts w:ascii="Times New Roman" w:hAnsi="Times New Roman"/>
          <w:szCs w:val="24"/>
        </w:rPr>
        <w:t xml:space="preserve"> (LFP).</w:t>
      </w:r>
      <w:r w:rsidR="00941AF3" w:rsidRPr="00CB6923">
        <w:rPr>
          <w:rFonts w:ascii="Times New Roman" w:hAnsi="Times New Roman"/>
          <w:szCs w:val="24"/>
        </w:rPr>
        <w:t xml:space="preserve"> </w:t>
      </w:r>
      <w:r w:rsidR="00C050E7" w:rsidRPr="00CB6923">
        <w:rPr>
          <w:rFonts w:ascii="Times New Roman" w:hAnsi="Times New Roman"/>
          <w:szCs w:val="24"/>
        </w:rPr>
        <w:t>During TEMPO</w:t>
      </w:r>
      <w:r w:rsidR="00C050E7" w:rsidRPr="00CB6923">
        <w:rPr>
          <w:rFonts w:ascii="Times New Roman" w:hAnsi="Times New Roman"/>
          <w:szCs w:val="24"/>
          <w:vertAlign w:val="superscript"/>
        </w:rPr>
        <w:t>+</w:t>
      </w:r>
      <w:r w:rsidR="00C050E7" w:rsidRPr="00CB6923">
        <w:rPr>
          <w:rFonts w:ascii="Times New Roman" w:hAnsi="Times New Roman"/>
          <w:szCs w:val="24"/>
        </w:rPr>
        <w:t xml:space="preserve"> reduction, a voltage of 3.0</w:t>
      </w:r>
      <w:r w:rsidR="005922C4" w:rsidRPr="00CB6923">
        <w:rPr>
          <w:rFonts w:ascii="Times New Roman" w:hAnsi="Times New Roman"/>
          <w:szCs w:val="24"/>
        </w:rPr>
        <w:t xml:space="preserve"> </w:t>
      </w:r>
      <w:r w:rsidR="00C050E7" w:rsidRPr="00CB6923">
        <w:rPr>
          <w:rFonts w:ascii="Times New Roman" w:hAnsi="Times New Roman"/>
          <w:szCs w:val="24"/>
        </w:rPr>
        <w:t>V vs. Li/Li</w:t>
      </w:r>
      <w:r w:rsidR="00C050E7" w:rsidRPr="00CB6923">
        <w:rPr>
          <w:rFonts w:ascii="Times New Roman" w:hAnsi="Times New Roman"/>
          <w:szCs w:val="24"/>
          <w:vertAlign w:val="superscript"/>
        </w:rPr>
        <w:t>+</w:t>
      </w:r>
      <w:r w:rsidR="00C050E7" w:rsidRPr="00CB6923">
        <w:rPr>
          <w:rFonts w:ascii="Times New Roman" w:hAnsi="Times New Roman"/>
          <w:szCs w:val="24"/>
        </w:rPr>
        <w:t xml:space="preserve"> was applied to reduce TEMPO</w:t>
      </w:r>
      <w:r w:rsidR="00C050E7" w:rsidRPr="00CB6923">
        <w:rPr>
          <w:rFonts w:ascii="Times New Roman" w:hAnsi="Times New Roman"/>
          <w:szCs w:val="24"/>
          <w:vertAlign w:val="superscript"/>
        </w:rPr>
        <w:t>+</w:t>
      </w:r>
      <w:r w:rsidR="00C050E7" w:rsidRPr="00CB6923">
        <w:rPr>
          <w:rFonts w:ascii="Times New Roman" w:hAnsi="Times New Roman"/>
          <w:szCs w:val="24"/>
        </w:rPr>
        <w:t xml:space="preserve"> back into TEMPO radical at the cathode, and the LFP anode is delithiated. This 3.0</w:t>
      </w:r>
      <w:r w:rsidR="005922C4" w:rsidRPr="00CB6923">
        <w:rPr>
          <w:rFonts w:ascii="Times New Roman" w:hAnsi="Times New Roman"/>
          <w:szCs w:val="24"/>
        </w:rPr>
        <w:t xml:space="preserve"> </w:t>
      </w:r>
      <w:r w:rsidR="00C050E7" w:rsidRPr="00CB6923">
        <w:rPr>
          <w:rFonts w:ascii="Times New Roman" w:hAnsi="Times New Roman"/>
          <w:szCs w:val="24"/>
        </w:rPr>
        <w:t xml:space="preserve">V voltage hold </w:t>
      </w:r>
      <w:r w:rsidR="00EB39A8" w:rsidRPr="00CB6923">
        <w:rPr>
          <w:rFonts w:ascii="Times New Roman" w:hAnsi="Times New Roman"/>
          <w:szCs w:val="24"/>
        </w:rPr>
        <w:t>ensures</w:t>
      </w:r>
      <w:r w:rsidR="00C050E7" w:rsidRPr="00CB6923">
        <w:rPr>
          <w:rFonts w:ascii="Times New Roman" w:hAnsi="Times New Roman"/>
          <w:szCs w:val="24"/>
        </w:rPr>
        <w:t xml:space="preserve"> </w:t>
      </w:r>
      <w:r w:rsidR="00EB39A8" w:rsidRPr="00CB6923">
        <w:rPr>
          <w:rFonts w:ascii="Times New Roman" w:hAnsi="Times New Roman"/>
          <w:szCs w:val="24"/>
        </w:rPr>
        <w:t>a</w:t>
      </w:r>
      <w:r w:rsidR="00C050E7" w:rsidRPr="00CB6923">
        <w:rPr>
          <w:rFonts w:ascii="Times New Roman" w:hAnsi="Times New Roman"/>
          <w:szCs w:val="24"/>
        </w:rPr>
        <w:t xml:space="preserve"> higher overpotential </w:t>
      </w:r>
      <w:r w:rsidR="00382542" w:rsidRPr="00CB6923">
        <w:rPr>
          <w:rFonts w:ascii="Times New Roman" w:hAnsi="Times New Roman"/>
          <w:szCs w:val="24"/>
        </w:rPr>
        <w:t>for</w:t>
      </w:r>
      <w:r w:rsidR="00C050E7" w:rsidRPr="00CB6923">
        <w:rPr>
          <w:rFonts w:ascii="Times New Roman" w:hAnsi="Times New Roman"/>
          <w:szCs w:val="24"/>
        </w:rPr>
        <w:t xml:space="preserve"> reduction</w:t>
      </w:r>
      <w:r w:rsidR="000531F2" w:rsidRPr="00CB6923">
        <w:rPr>
          <w:rFonts w:ascii="Times New Roman" w:hAnsi="Times New Roman"/>
          <w:szCs w:val="24"/>
        </w:rPr>
        <w:t xml:space="preserve"> (0.76 V overpotential is applied on reduction as opposed to </w:t>
      </w:r>
      <w:r w:rsidR="00166A10" w:rsidRPr="00CB6923">
        <w:rPr>
          <w:rFonts w:ascii="Times New Roman" w:hAnsi="Times New Roman"/>
          <w:szCs w:val="24"/>
        </w:rPr>
        <w:t xml:space="preserve">a </w:t>
      </w:r>
      <w:r w:rsidR="000531F2" w:rsidRPr="00CB6923">
        <w:rPr>
          <w:rFonts w:ascii="Times New Roman" w:hAnsi="Times New Roman"/>
          <w:szCs w:val="24"/>
        </w:rPr>
        <w:t xml:space="preserve">0.04 V </w:t>
      </w:r>
      <w:r w:rsidR="00166A10" w:rsidRPr="00CB6923">
        <w:rPr>
          <w:rFonts w:ascii="Times New Roman" w:hAnsi="Times New Roman"/>
          <w:szCs w:val="24"/>
        </w:rPr>
        <w:t>overpotent</w:t>
      </w:r>
      <w:r w:rsidR="00601532" w:rsidRPr="00CB6923">
        <w:rPr>
          <w:rFonts w:ascii="Times New Roman" w:hAnsi="Times New Roman"/>
          <w:szCs w:val="24"/>
        </w:rPr>
        <w:t>i</w:t>
      </w:r>
      <w:r w:rsidR="00166A10" w:rsidRPr="00CB6923">
        <w:rPr>
          <w:rFonts w:ascii="Times New Roman" w:hAnsi="Times New Roman"/>
          <w:szCs w:val="24"/>
        </w:rPr>
        <w:t xml:space="preserve">al </w:t>
      </w:r>
      <w:r w:rsidR="000531F2" w:rsidRPr="00CB6923">
        <w:rPr>
          <w:rFonts w:ascii="Times New Roman" w:hAnsi="Times New Roman"/>
          <w:szCs w:val="24"/>
        </w:rPr>
        <w:t>applied on oxidation)</w:t>
      </w:r>
      <w:r w:rsidR="00C050E7" w:rsidRPr="00CB6923">
        <w:rPr>
          <w:rFonts w:ascii="Times New Roman" w:hAnsi="Times New Roman"/>
          <w:szCs w:val="24"/>
        </w:rPr>
        <w:t xml:space="preserve">, with the aim to drive the reduction to completion (i.e., to ensure </w:t>
      </w:r>
      <w:r w:rsidR="00CD3D2F" w:rsidRPr="00CB6923">
        <w:rPr>
          <w:rFonts w:ascii="Times New Roman" w:hAnsi="Times New Roman"/>
          <w:szCs w:val="24"/>
        </w:rPr>
        <w:t xml:space="preserve">all </w:t>
      </w:r>
      <w:r w:rsidR="009C50C3" w:rsidRPr="00CB6923">
        <w:rPr>
          <w:rFonts w:ascii="Times New Roman" w:hAnsi="Times New Roman"/>
          <w:szCs w:val="24"/>
        </w:rPr>
        <w:t>the TEMPO</w:t>
      </w:r>
      <w:r w:rsidR="009C50C3" w:rsidRPr="00CB6923">
        <w:rPr>
          <w:rFonts w:ascii="Times New Roman" w:hAnsi="Times New Roman"/>
          <w:szCs w:val="24"/>
          <w:vertAlign w:val="superscript"/>
        </w:rPr>
        <w:t>+</w:t>
      </w:r>
      <w:r w:rsidR="009C50C3" w:rsidRPr="00CB6923">
        <w:rPr>
          <w:rFonts w:ascii="Times New Roman" w:hAnsi="Times New Roman"/>
          <w:szCs w:val="24"/>
        </w:rPr>
        <w:t xml:space="preserve"> species are reduced </w:t>
      </w:r>
      <w:r w:rsidR="002D4FDA" w:rsidRPr="00CB6923">
        <w:rPr>
          <w:rFonts w:ascii="Times New Roman" w:hAnsi="Times New Roman"/>
          <w:szCs w:val="24"/>
        </w:rPr>
        <w:t xml:space="preserve">back into TEMPO </w:t>
      </w:r>
      <w:r w:rsidR="009C50C3" w:rsidRPr="00CB6923">
        <w:rPr>
          <w:rFonts w:ascii="Times New Roman" w:hAnsi="Times New Roman"/>
          <w:szCs w:val="24"/>
        </w:rPr>
        <w:t xml:space="preserve">and the </w:t>
      </w:r>
      <w:r w:rsidR="00C050E7" w:rsidRPr="00CB6923">
        <w:rPr>
          <w:rFonts w:ascii="Times New Roman" w:hAnsi="Times New Roman"/>
          <w:szCs w:val="24"/>
        </w:rPr>
        <w:t xml:space="preserve">TEMPO </w:t>
      </w:r>
      <w:r w:rsidR="009C50C3" w:rsidRPr="00CB6923">
        <w:rPr>
          <w:rFonts w:ascii="Times New Roman" w:hAnsi="Times New Roman"/>
          <w:szCs w:val="24"/>
        </w:rPr>
        <w:t xml:space="preserve">concentration </w:t>
      </w:r>
      <w:r w:rsidR="002315AB" w:rsidRPr="00CB6923">
        <w:rPr>
          <w:rFonts w:ascii="Times New Roman" w:hAnsi="Times New Roman"/>
          <w:szCs w:val="24"/>
        </w:rPr>
        <w:t>reaches</w:t>
      </w:r>
      <w:r w:rsidR="009C50C3" w:rsidRPr="00CB6923">
        <w:rPr>
          <w:rFonts w:ascii="Times New Roman" w:hAnsi="Times New Roman"/>
          <w:szCs w:val="24"/>
        </w:rPr>
        <w:t xml:space="preserve"> its initial value be</w:t>
      </w:r>
      <w:r w:rsidR="00C050E7" w:rsidRPr="00CB6923">
        <w:rPr>
          <w:rFonts w:ascii="Times New Roman" w:hAnsi="Times New Roman"/>
          <w:szCs w:val="24"/>
        </w:rPr>
        <w:t>fore the next cycle).</w:t>
      </w:r>
    </w:p>
    <w:p w14:paraId="302408D2" w14:textId="19EFB51C" w:rsidR="00581E34" w:rsidRPr="00CB6923" w:rsidRDefault="00D85E4B" w:rsidP="00581E34">
      <w:pPr>
        <w:pStyle w:val="VAFigureCaption"/>
      </w:pPr>
      <w:r w:rsidRPr="00CB6923">
        <w:rPr>
          <w:noProof/>
        </w:rPr>
        <w:lastRenderedPageBreak/>
        <w:drawing>
          <wp:inline distT="0" distB="0" distL="0" distR="0" wp14:anchorId="1E8755ED" wp14:editId="1C03B722">
            <wp:extent cx="5937250" cy="6407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6407150"/>
                    </a:xfrm>
                    <a:prstGeom prst="rect">
                      <a:avLst/>
                    </a:prstGeom>
                    <a:noFill/>
                    <a:ln>
                      <a:noFill/>
                    </a:ln>
                  </pic:spPr>
                </pic:pic>
              </a:graphicData>
            </a:graphic>
          </wp:inline>
        </w:drawing>
      </w:r>
      <w:r w:rsidR="00581E34" w:rsidRPr="00CB6923">
        <w:rPr>
          <w:b/>
          <w:bCs/>
        </w:rPr>
        <w:t>Figure 2.</w:t>
      </w:r>
      <w:r w:rsidR="00581E34" w:rsidRPr="00CB6923">
        <w:t xml:space="preserve"> a) Molecular structure of TEMPO radical and the corresponding oxidized species, the oxoammonium cation, TEMPO</w:t>
      </w:r>
      <w:r w:rsidR="00581E34" w:rsidRPr="00CB6923">
        <w:rPr>
          <w:vertAlign w:val="superscript"/>
        </w:rPr>
        <w:t>+</w:t>
      </w:r>
      <w:r w:rsidR="00081518" w:rsidRPr="00CB6923">
        <w:t>.</w:t>
      </w:r>
      <w:r w:rsidR="00581E34" w:rsidRPr="00CB6923">
        <w:t xml:space="preserve"> b) EPR and c) NMR spectra evolution over time </w:t>
      </w:r>
      <w:r w:rsidR="00081518" w:rsidRPr="00CB6923">
        <w:t xml:space="preserve">and d) current profile </w:t>
      </w:r>
      <w:r w:rsidR="00581E34" w:rsidRPr="00CB6923">
        <w:t xml:space="preserve">during </w:t>
      </w:r>
      <w:r w:rsidR="00081518" w:rsidRPr="00CB6923">
        <w:t xml:space="preserve">the </w:t>
      </w:r>
      <w:r w:rsidR="00581E34" w:rsidRPr="00CB6923">
        <w:t>3.8 V vs Li/Li</w:t>
      </w:r>
      <w:r w:rsidR="00581E34" w:rsidRPr="00CB6923">
        <w:rPr>
          <w:vertAlign w:val="superscript"/>
        </w:rPr>
        <w:t>+</w:t>
      </w:r>
      <w:r w:rsidR="00581E34" w:rsidRPr="00CB6923">
        <w:t xml:space="preserve"> voltage hold</w:t>
      </w:r>
      <w:r w:rsidR="00081518" w:rsidRPr="00CB6923">
        <w:t>.</w:t>
      </w:r>
      <w:r w:rsidR="00941AF3" w:rsidRPr="00CB6923">
        <w:t xml:space="preserve"> </w:t>
      </w:r>
      <w:r w:rsidR="00581E34" w:rsidRPr="00CB6923">
        <w:t xml:space="preserve">e) </w:t>
      </w:r>
      <w:r w:rsidR="00081518" w:rsidRPr="00CB6923">
        <w:t>R</w:t>
      </w:r>
      <w:r w:rsidR="00581E34" w:rsidRPr="00CB6923">
        <w:t xml:space="preserve">adical concentrations calculated from </w:t>
      </w:r>
      <w:r w:rsidR="00081518" w:rsidRPr="00CB6923">
        <w:t xml:space="preserve">the </w:t>
      </w:r>
      <w:r w:rsidR="00581E34" w:rsidRPr="00CB6923">
        <w:t>EPR absorption (blue), NMR BMS shift (red), and capacity (pink), plotted alongside the applied voltages vs Li/Li</w:t>
      </w:r>
      <w:r w:rsidR="00581E34" w:rsidRPr="00CB6923">
        <w:rPr>
          <w:vertAlign w:val="superscript"/>
        </w:rPr>
        <w:t>+</w:t>
      </w:r>
      <w:r w:rsidR="00581E34" w:rsidRPr="00CB6923">
        <w:t xml:space="preserve"> (black).</w:t>
      </w:r>
    </w:p>
    <w:p w14:paraId="6A988C08" w14:textId="28A7D231" w:rsidR="00581E34" w:rsidRPr="00CB6923" w:rsidRDefault="00364DD3" w:rsidP="00416C39">
      <w:pPr>
        <w:pStyle w:val="TAMainText"/>
        <w:spacing w:after="240"/>
        <w:ind w:firstLine="720"/>
        <w:jc w:val="left"/>
        <w:rPr>
          <w:rFonts w:ascii="Times New Roman" w:hAnsi="Times New Roman"/>
          <w:szCs w:val="24"/>
        </w:rPr>
      </w:pPr>
      <w:r w:rsidRPr="00CB6923">
        <w:lastRenderedPageBreak/>
        <w:t>Figure 2b shows the EPR spectra collected during constant voltage (at 3.8 V vs Li/Li</w:t>
      </w:r>
      <w:r w:rsidRPr="00CB6923">
        <w:rPr>
          <w:vertAlign w:val="superscript"/>
        </w:rPr>
        <w:t>+</w:t>
      </w:r>
      <w:r w:rsidRPr="00CB6923">
        <w:t>) oxidation of TEMPO.</w:t>
      </w:r>
      <w:r w:rsidR="00541B17" w:rsidRPr="00CB6923">
        <w:t xml:space="preserve"> </w:t>
      </w:r>
      <w:r w:rsidR="00A1266C" w:rsidRPr="00CB6923">
        <w:rPr>
          <w:rFonts w:ascii="Times New Roman" w:hAnsi="Times New Roman"/>
          <w:szCs w:val="24"/>
        </w:rPr>
        <w:t>The</w:t>
      </w:r>
      <w:r w:rsidR="00541B17" w:rsidRPr="00CB6923">
        <w:rPr>
          <w:rFonts w:ascii="Times New Roman" w:hAnsi="Times New Roman"/>
          <w:szCs w:val="24"/>
        </w:rPr>
        <w:t xml:space="preserve"> unpaired electron resides mainly on the nitrogen and oxygen atoms, and is protected by methyl groups from chemical reduction and decomposition into nitrone, making it a stable radical</w:t>
      </w:r>
      <w:r w:rsidR="00A1266C" w:rsidRPr="00CB6923">
        <w:rPr>
          <w:rFonts w:ascii="Times New Roman" w:hAnsi="Times New Roman"/>
          <w:szCs w:val="24"/>
        </w:rPr>
        <w:t xml:space="preserve"> (figure 2a</w:t>
      </w:r>
      <w:r w:rsidR="00B05AF9" w:rsidRPr="00CB6923">
        <w:rPr>
          <w:rFonts w:ascii="Times New Roman" w:hAnsi="Times New Roman"/>
          <w:szCs w:val="24"/>
        </w:rPr>
        <w:t>)</w:t>
      </w:r>
      <w:r w:rsidR="00541B17" w:rsidRPr="00CB6923">
        <w:rPr>
          <w:rFonts w:ascii="Times New Roman" w:hAnsi="Times New Roman"/>
          <w:szCs w:val="24"/>
        </w:rPr>
        <w:t>.</w:t>
      </w:r>
      <w:r w:rsidR="00541B17"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{"citationItems":[{"id":"ITEM-1","itemData":{"DOI":"10.1039/9781782629436-00001","ISBN":"9781782628576","ISSN":"14651955","abstract":"Spin labels containing nitroxyl radicals possess many properties that render them useful for electron paramagnetic resonance (EPR) spectroscopy. This review describes the relationships between the structure and properties of nitroxide spin labels, methods for their synthesis, advances in methods for their incorporation into biomolecules, and selected examples of applications in biomolecule structural investigations.","author":[{"dropping-particle":"","family":"Haugland","given":"Marius M.","non-dropping-particle":"","parse-names":false,"suffix":""},{"dropping-particle":"","family":"Anderson","given":"Edward A.","non-dropping-particle":"","parse-names":false,"suffix":""},{"dropping-particle":"","family":"Lovett","given":"Janet E.","non-dropping-particle":"","parse-names":false,"suffix":""}],"container-title":"Electron Paramagnetic Resonance","id":"ITEM-1","issued":{"date-parts":[["2017"]]},"number-of-pages":"1-34","title":"Tuning the properties of nitroxide spin labels for use in electron paramagnetic resonance spectroscopy through chemical modification of the nitroxide framework","type":"book","volume":"25"},"uris":["http://www.mendeley.com/documents/?uuid=58ec2b79-3c91-4f4a-98ff-cc2b83320b74"]}],"mendeley":{"formattedCitation":"&lt;sup&gt;28&lt;/sup&gt;","plainTextFormattedCitation":"28","previouslyFormattedCitation":"&lt;sup&gt;28&lt;/sup&gt;"},"properties":{"noteIndex":0},"schema":"https://github.com/citation-style-language/schema/raw/master/csl-citation.json"}</w:instrText>
      </w:r>
      <w:r w:rsidR="00541B17" w:rsidRPr="00CB6923">
        <w:rPr>
          <w:rFonts w:ascii="Times New Roman" w:hAnsi="Times New Roman"/>
          <w:szCs w:val="24"/>
        </w:rPr>
        <w:fldChar w:fldCharType="separate"/>
      </w:r>
      <w:r w:rsidR="009C4068" w:rsidRPr="00CB6923">
        <w:rPr>
          <w:rFonts w:ascii="Times New Roman" w:hAnsi="Times New Roman"/>
          <w:noProof/>
          <w:szCs w:val="24"/>
          <w:vertAlign w:val="superscript"/>
        </w:rPr>
        <w:t>28</w:t>
      </w:r>
      <w:r w:rsidR="00541B17" w:rsidRPr="00CB6923">
        <w:rPr>
          <w:rFonts w:ascii="Times New Roman" w:hAnsi="Times New Roman"/>
          <w:szCs w:val="24"/>
        </w:rPr>
        <w:fldChar w:fldCharType="end"/>
      </w:r>
      <w:r w:rsidR="00D85E4B" w:rsidRPr="00CB6923">
        <w:rPr>
          <w:rFonts w:ascii="Times New Roman" w:hAnsi="Times New Roman"/>
          <w:szCs w:val="24"/>
        </w:rPr>
        <w:t xml:space="preserve"> </w:t>
      </w:r>
      <w:r w:rsidRPr="00CB6923">
        <w:t>The three observed peaks are characteristic of the hyperfine splitting caused by the nitrogen (spin = 1) nuclei in nitroxy</w:t>
      </w:r>
      <w:r w:rsidR="005D36D0" w:rsidRPr="00CB6923">
        <w:t>l</w:t>
      </w:r>
      <w:r w:rsidRPr="00CB6923">
        <w:t xml:space="preserve"> radicals.</w:t>
      </w:r>
      <w:r w:rsidR="00CA5CF7" w:rsidRPr="00CB6923">
        <w:rPr>
          <w:rFonts w:ascii="Times New Roman" w:hAnsi="Times New Roman"/>
          <w:szCs w:val="24"/>
        </w:rPr>
        <w:fldChar w:fldCharType="begin" w:fldLock="1"/>
      </w:r>
      <w:r w:rsidR="00CA5CF7" w:rsidRPr="00CB6923">
        <w:rPr>
          <w:rFonts w:ascii="Times New Roman" w:hAnsi="Times New Roman"/>
          <w:szCs w:val="24"/>
        </w:rPr>
        <w:instrText>ADDIN CSL_CITATION {"citationItems":[{"id":"ITEM-1","itemData":{"DOI":"10.1039/9781782629436-00001","ISBN":"9781782628576","ISSN":"14651955","abstract":"Spin labels containing nitroxyl radicals possess many properties that render them useful for electron paramagnetic resonance (EPR) spectroscopy. This review describes the relationships between the structure and properties of nitroxide spin labels, methods for their synthesis, advances in methods for their incorporation into biomolecules, and selected examples of applications in biomolecule structural investigations.","author":[{"dropping-particle":"","family":"Haugland","given":"Marius M.","non-dropping-particle":"","parse-names":false,"suffix":""},{"dropping-particle":"","family":"Anderson","given":"Edward A.","non-dropping-particle":"","parse-names":false,"suffix":""},{"dropping-particle":"","family":"Lovett","given":"Janet E.","non-dropping-particle":"","parse-names":false,"suffix":""}],"container-title":"Electron Paramagnetic Resonance","id":"ITEM-1","issued":{"date-parts":[["2017"]]},"number-of-pages":"1-34","title":"Tuning the properties of nitroxide spin labels for use in electron paramagnetic resonance spectroscopy through chemical modification of the nitroxide framework","type":"book","volume":"25"},"uris":["http://www.mendeley.com/documents/?uuid=58ec2b79-3c91-4f4a-98ff-cc2b83320b74"]}],"mendeley":{"formattedCitation":"&lt;sup&gt;28&lt;/sup&gt;","plainTextFormattedCitation":"28","previouslyFormattedCitation":"&lt;sup&gt;28&lt;/sup&gt;"},"properties":{"noteIndex":0},"schema":"https://github.com/citation-style-language/schema/raw/master/csl-citation.json"}</w:instrText>
      </w:r>
      <w:r w:rsidR="00CA5CF7" w:rsidRPr="00CB6923">
        <w:rPr>
          <w:rFonts w:ascii="Times New Roman" w:hAnsi="Times New Roman"/>
          <w:szCs w:val="24"/>
        </w:rPr>
        <w:fldChar w:fldCharType="separate"/>
      </w:r>
      <w:r w:rsidR="00CA5CF7" w:rsidRPr="00CB6923">
        <w:rPr>
          <w:rFonts w:ascii="Times New Roman" w:hAnsi="Times New Roman"/>
          <w:noProof/>
          <w:szCs w:val="24"/>
          <w:vertAlign w:val="superscript"/>
        </w:rPr>
        <w:t>28</w:t>
      </w:r>
      <w:r w:rsidR="00CA5CF7" w:rsidRPr="00CB6923">
        <w:rPr>
          <w:rFonts w:ascii="Times New Roman" w:hAnsi="Times New Roman"/>
          <w:szCs w:val="24"/>
        </w:rPr>
        <w:fldChar w:fldCharType="end"/>
      </w:r>
      <w:r w:rsidR="00B05AF9" w:rsidRPr="00CB6923">
        <w:t xml:space="preserve"> </w:t>
      </w:r>
      <w:r w:rsidR="00CF39D9" w:rsidRPr="00CB6923">
        <w:rPr>
          <w:rFonts w:ascii="Times New Roman" w:hAnsi="Times New Roman"/>
          <w:szCs w:val="24"/>
        </w:rPr>
        <w:t>The peak width decreases with time, which is ascribed to a decrease in both spin exchange as well as dipolar interactions between cations and radicals,</w:t>
      </w:r>
      <w:r w:rsidR="00CF39D9" w:rsidRPr="00CB6923">
        <w:rPr>
          <w:rFonts w:ascii="Times New Roman" w:hAnsi="Times New Roman"/>
          <w:szCs w:val="24"/>
        </w:rPr>
        <w:fldChar w:fldCharType="begin" w:fldLock="1"/>
      </w:r>
      <w:r w:rsidR="00CB06B9" w:rsidRPr="00CB6923">
        <w:rPr>
          <w:rFonts w:ascii="Times New Roman" w:hAnsi="Times New Roman"/>
          <w:szCs w:val="24"/>
        </w:rPr>
        <w:instrText xml:space="preserve">ADDIN CSL_CITATION {"citationItems":[{"id":"ITEM-1","itemData":{"DOI":"10.1007/s00723-016-0854-9","ISSN":"09379347","abstract":"EPR spectra of perdeuterated 2,2,6,6-tetramethyl-4-oxopiperidine-1-oxyl (PDT) are studied as functions of molar concentration, c, and temperature, T, in water and 70 wt % glycerol in water. The increase of the intrinsic line width averaged over the three hyperfine lines,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varies linearly with c with zero intercept in both solvents at all temperatures; therefore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/dc is independent of c. The spin exchange induced dispersion, from which the spin exchange frequency, ωe, may be computed, increases linearly with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 passing through the origin in water and in 70% glycerol at high temperatures; however, at low temperatures, where dipolar interactions broaden the spectra, linearity does not prevail until </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 xml:space="preserve"> &gt; 1 G due to a contribution of dipolar interactions to the dispersion. The broadening constant due to spin exchange,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found from the slope of the linear region, permitting a computation of the dipolar constant,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Btot</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Thus, the separation of concentration broadening into spin exchange and dipolar contributions is effected without having to appeal to some supposed temperature dependence of the two interactions. The fractional broadening by spin exchange, Ω(T), is near unity at high temperatures in both solvents, decreasing to zero in 70% glycerol at 273 K. Ω(T) is a continuous function of the inverse rotational correlation time of PDT but is discontinuous as a function of T/η where η is the shear viscosity. Ω(T) ) 0.5, where spin exchange and dipolar interactions contribute equally to the line width occurs at T/η ) 20 ( 1 K/cP in 70% glycerol. Hydrodynamic predictions of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via the Stokes-Einstein (SE) equation are remarkably accurate in 70% glycerol comparable with the results in a series of alkanes. In water,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Be</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linear with T/η with zero intercept as required by the SE; however, with slope a factor of 0.73 smaller.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is reasonably predicted by the SE only at very small values of η/T very quickly following an approximately logarithmic dependence rather that the linear prediction. Values of d</w:instrText>
      </w:r>
      <w:r w:rsidR="00CB06B9" w:rsidRPr="00CB6923">
        <w:rPr>
          <w:rFonts w:ascii="Cambria Math" w:hAnsi="Cambria Math" w:cs="Cambria Math"/>
          <w:szCs w:val="24"/>
        </w:rPr>
        <w:instrText>〈</w:instrText>
      </w:r>
      <w:r w:rsidR="00CB06B9" w:rsidRPr="00CB6923">
        <w:rPr>
          <w:rFonts w:ascii="Times New Roman" w:hAnsi="Times New Roman"/>
          <w:szCs w:val="24"/>
        </w:rPr>
        <w:instrText>Bdip</w:instrText>
      </w:r>
      <w:r w:rsidR="00CB06B9" w:rsidRPr="00CB6923">
        <w:rPr>
          <w:rFonts w:ascii="Cambria Math" w:hAnsi="Cambria Math" w:cs="Cambria Math"/>
          <w:szCs w:val="24"/>
        </w:rPr>
        <w:instrText>〉</w:instrText>
      </w:r>
      <w:r w:rsidR="00CB06B9" w:rsidRPr="00CB6923">
        <w:rPr>
          <w:rFonts w:ascii="Times New Roman" w:hAnsi="Times New Roman"/>
          <w:szCs w:val="24"/>
        </w:rPr>
        <w:instrText>/dc approach a plateau above η/T ) 0.20 cP/K that is about one-half the solid state limit. Line shifts due to spin exchange are not yet useful to deduce values of Ω(T) due to a lack of knowledge of the time between re-encounters; however, they may be used to verify the values determined from line broadening and spin exchange induced dispersion. Some effects at low temperatures in 7…","author":[{"dropping-particle":"","family":"Bales","given":"Barney L.","non-dropping-particle":"","parse-names":false,"suffix":""},{"dropping-particle":"","family":"Michelle","given":"Meyer","non-dropping-particle":"","parse-names":false,"suffix":""},{"dropping-particle":"","family":"Smith","given":"Steve","non-dropping-particle":"","parse-names":false,"suffix":""},{"dropping-particle":"","family":"Peric","given":"Miroslav","non-dropping-particle":"","parse-names":false,"suffix":""}],"container-title":"Journal of Physical Chemistry A","id":"ITEM-1","issued":{"date-parts":[["2009"]]},"page":"4930-4940","title":"EPR Line Shifts and Line Shape Changes Due to Spin Exchange Between Nitroxide Free Radicals in Liquids: 6. Separating Line Broadening due to Spin Exchange and Dipolar Interactions","type":"article-journal","volume":"113"},"uris":["http://www.mendeley.com/documents/?uuid=7ca5117a-2d34-4cd0-b7e3-cdef319fcb15"]}],"mendeley":{"formattedCitation":"&lt;sup&gt;31&lt;/sup&gt;","plainTextFormattedCitation":"31","previouslyFormattedCitation":"&lt;sup&gt;31&lt;/sup&gt;"},"properties":{"noteIndex":0},"schema":"https://github.com/citation-style-language/schema/raw/master/csl-citation.json"}</w:instrText>
      </w:r>
      <w:r w:rsidR="00CF39D9" w:rsidRPr="00CB6923">
        <w:rPr>
          <w:rFonts w:ascii="Times New Roman" w:hAnsi="Times New Roman"/>
          <w:szCs w:val="24"/>
        </w:rPr>
        <w:fldChar w:fldCharType="separate"/>
      </w:r>
      <w:r w:rsidR="009C4068" w:rsidRPr="00CB6923">
        <w:rPr>
          <w:rFonts w:ascii="Times New Roman" w:hAnsi="Times New Roman"/>
          <w:noProof/>
          <w:szCs w:val="24"/>
          <w:vertAlign w:val="superscript"/>
        </w:rPr>
        <w:t>31</w:t>
      </w:r>
      <w:r w:rsidR="00CF39D9" w:rsidRPr="00CB6923">
        <w:rPr>
          <w:rFonts w:ascii="Times New Roman" w:hAnsi="Times New Roman"/>
          <w:szCs w:val="24"/>
        </w:rPr>
        <w:fldChar w:fldCharType="end"/>
      </w:r>
      <w:r w:rsidR="00CF39D9" w:rsidRPr="00CB6923">
        <w:rPr>
          <w:rFonts w:ascii="Times New Roman" w:hAnsi="Times New Roman"/>
          <w:szCs w:val="24"/>
        </w:rPr>
        <w:t xml:space="preserve"> </w:t>
      </w:r>
      <w:r w:rsidR="003E20DD" w:rsidRPr="00CB6923">
        <w:rPr>
          <w:rFonts w:ascii="Times New Roman" w:hAnsi="Times New Roman"/>
          <w:szCs w:val="24"/>
        </w:rPr>
        <w:t>as the TEMPO concentration decreases. Integrating the EPR spectra gives the absorption signal, which is clearly seen to decrease over time (figure S1). The integral of the absorption spectra is directly proportional to the TEMPO concentration, as fitted by using a calibration curve (see figure S2 for details).</w:t>
      </w:r>
    </w:p>
    <w:p w14:paraId="409274D5" w14:textId="6226738D" w:rsidR="00837B36" w:rsidRPr="00CB6923" w:rsidRDefault="00837B36" w:rsidP="00416C39">
      <w:pPr>
        <w:pStyle w:val="TAMainText"/>
        <w:spacing w:after="240"/>
        <w:ind w:firstLine="720"/>
        <w:jc w:val="left"/>
      </w:pPr>
      <w:r w:rsidRPr="00CB6923">
        <w:t xml:space="preserve">Three </w:t>
      </w:r>
      <w:r w:rsidRPr="00CB6923">
        <w:rPr>
          <w:vertAlign w:val="superscript"/>
        </w:rPr>
        <w:t>1</w:t>
      </w:r>
      <w:r w:rsidRPr="00CB6923">
        <w:t xml:space="preserve">H peaks are seen in the NMR spectra </w:t>
      </w:r>
      <w:r w:rsidR="0045238D" w:rsidRPr="00CB6923">
        <w:t>(</w:t>
      </w:r>
      <w:r w:rsidRPr="00CB6923">
        <w:t>figure 2c</w:t>
      </w:r>
      <w:r w:rsidR="0045238D" w:rsidRPr="00CB6923">
        <w:t>),</w:t>
      </w:r>
      <w:r w:rsidRPr="00CB6923">
        <w:t xml:space="preserve"> which are assigned to the diglyme solvent peaks</w:t>
      </w:r>
      <w:r w:rsidR="002A3BBE" w:rsidRPr="00CB6923">
        <w:t xml:space="preserve"> as non-deuterated diglyme was used</w:t>
      </w:r>
      <w:r w:rsidRPr="00CB6923">
        <w:t>. The TEMPO radical is not directly observed under the conditions used here. Nonetheless, the TEMPO concentration can be inferred indirectly by monitoring the peak shifts caused by changes in the BMS as the radical concentrations evolve during the electrochemistry, using the Evans’ method (</w:t>
      </w:r>
      <w:r w:rsidR="00D77862" w:rsidRPr="00CB6923">
        <w:t xml:space="preserve">see </w:t>
      </w:r>
      <w:r w:rsidRPr="00CB6923">
        <w:t>experimental</w:t>
      </w:r>
      <w:r w:rsidR="00D77862" w:rsidRPr="00CB6923">
        <w:t xml:space="preserve"> methods</w:t>
      </w:r>
      <w:r w:rsidRPr="00CB6923">
        <w:t>).</w:t>
      </w:r>
      <w:r w:rsidR="00C200E2"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{"citationItems":[{"id":"ITEM-1","itemData":{"author":[{"dropping-particle":"","family":"Evans","given":"D. F.","non-dropping-particle":"","parse-names":false,"suffix":""}],"container-title":"J. Chem. Soc.","id":"ITEM-1","issued":{"date-parts":[["1959"]]},"page":"2003-2005","title":"Determination of the Pararnagnetic Susceptibility of Substances in Solution by Nuclear Magnetic Resonance","type":"article-journal"},"uris":["http://www.mendeley.com/documents/?uuid=eb924203-a9af-4308-a41c-d98a910ef0ed"]}],"mendeley":{"formattedCitation":"&lt;sup&gt;30&lt;/sup&gt;","plainTextFormattedCitation":"30","previouslyFormattedCitation":"&lt;sup&gt;30&lt;/sup&gt;"},"properties":{"noteIndex":0},"schema":"https://github.com/citation-style-language/schema/raw/master/csl-citation.json"}</w:instrText>
      </w:r>
      <w:r w:rsidR="00C200E2" w:rsidRPr="00CB6923">
        <w:rPr>
          <w:rFonts w:ascii="Times New Roman" w:hAnsi="Times New Roman"/>
          <w:szCs w:val="24"/>
        </w:rPr>
        <w:fldChar w:fldCharType="separate"/>
      </w:r>
      <w:r w:rsidR="009C4068" w:rsidRPr="00CB6923">
        <w:rPr>
          <w:rFonts w:ascii="Times New Roman" w:hAnsi="Times New Roman"/>
          <w:noProof/>
          <w:szCs w:val="24"/>
          <w:vertAlign w:val="superscript"/>
        </w:rPr>
        <w:t>30</w:t>
      </w:r>
      <w:r w:rsidR="00C200E2" w:rsidRPr="00CB6923">
        <w:rPr>
          <w:rFonts w:ascii="Times New Roman" w:hAnsi="Times New Roman"/>
          <w:szCs w:val="24"/>
        </w:rPr>
        <w:fldChar w:fldCharType="end"/>
      </w:r>
      <w:r w:rsidRPr="00CB6923">
        <w:t xml:space="preserve"> The line broadening of </w:t>
      </w:r>
      <w:r w:rsidR="0045238D" w:rsidRPr="00CB6923">
        <w:t xml:space="preserve">the </w:t>
      </w:r>
      <w:r w:rsidRPr="00CB6923">
        <w:t>NMR solvent peaks also decreases with decreasing radical concentration, as expected with changing concentrations of paramagnetic species in solution (figure S3).</w:t>
      </w:r>
    </w:p>
    <w:p w14:paraId="588BF851" w14:textId="7256B62A" w:rsidR="002C527D" w:rsidRPr="00CB6923" w:rsidRDefault="00333747" w:rsidP="00416C39">
      <w:pPr>
        <w:pStyle w:val="TAMainText"/>
        <w:spacing w:after="240"/>
        <w:ind w:firstLine="720"/>
        <w:jc w:val="left"/>
      </w:pPr>
      <w:r w:rsidRPr="00CB6923">
        <w:t>Thus, from both the EPR spectra integrals and BMS shifts, the radical calculations can be monitored during cell operation and compared to the total charge passed, where the total charge, in mAh, was calculated by integrating the current profile (figure 2d) over time</w:t>
      </w:r>
      <w:r w:rsidR="000707F7" w:rsidRPr="00CB6923">
        <w:t xml:space="preserve">. </w:t>
      </w:r>
      <w:r w:rsidRPr="00CB6923">
        <w:t xml:space="preserve">Charge was </w:t>
      </w:r>
      <w:r w:rsidR="00200796" w:rsidRPr="00CB6923">
        <w:t xml:space="preserve">then </w:t>
      </w:r>
      <w:r w:rsidRPr="00CB6923">
        <w:t>converted into TEMPO radical concentration</w:t>
      </w:r>
      <w:r w:rsidR="003B2B48" w:rsidRPr="00CB6923">
        <w:t xml:space="preserve"> (figure 2e)</w:t>
      </w:r>
      <w:r w:rsidRPr="00CB6923">
        <w:t xml:space="preserve">, assuming TEMPO redox reactions were the only contributors to current </w:t>
      </w:r>
      <w:r w:rsidR="0045238D" w:rsidRPr="00CB6923">
        <w:t xml:space="preserve">(i.e., 100% coulombic efficiency) </w:t>
      </w:r>
      <w:r w:rsidRPr="00CB6923">
        <w:t xml:space="preserve">and using a </w:t>
      </w:r>
      <w:r w:rsidRPr="00CB6923">
        <w:lastRenderedPageBreak/>
        <w:t>stoichiometric conversion of one mole e</w:t>
      </w:r>
      <w:r w:rsidR="004C180E" w:rsidRPr="00CB6923">
        <w:rPr>
          <w:rFonts w:cs="Times"/>
          <w:vertAlign w:val="superscript"/>
        </w:rPr>
        <w:t>−</w:t>
      </w:r>
      <w:r w:rsidRPr="00CB6923">
        <w:t xml:space="preserve"> per mole</w:t>
      </w:r>
      <w:r w:rsidR="00166A10" w:rsidRPr="00CB6923">
        <w:t xml:space="preserve"> of</w:t>
      </w:r>
      <w:r w:rsidRPr="00CB6923">
        <w:t xml:space="preserve"> TEMPO (figure 2</w:t>
      </w:r>
      <w:r w:rsidR="005739D3" w:rsidRPr="00CB6923">
        <w:t>a</w:t>
      </w:r>
      <w:r w:rsidRPr="00CB6923">
        <w:t>).</w:t>
      </w:r>
      <w:r w:rsidR="00401E2F" w:rsidRPr="00CB6923">
        <w:t xml:space="preserve"> This </w:t>
      </w:r>
      <w:r w:rsidR="00166A10" w:rsidRPr="00CB6923">
        <w:t xml:space="preserve">calculation </w:t>
      </w:r>
      <w:r w:rsidR="00401E2F" w:rsidRPr="00CB6923">
        <w:t xml:space="preserve">is useful </w:t>
      </w:r>
      <w:r w:rsidR="00166A10" w:rsidRPr="00CB6923">
        <w:t xml:space="preserve">as it allows us to </w:t>
      </w:r>
      <w:r w:rsidR="00401E2F" w:rsidRPr="00CB6923">
        <w:t>compar</w:t>
      </w:r>
      <w:r w:rsidR="00166A10" w:rsidRPr="00CB6923">
        <w:t>e</w:t>
      </w:r>
      <w:r w:rsidR="00401E2F" w:rsidRPr="00CB6923">
        <w:t xml:space="preserve"> the</w:t>
      </w:r>
      <w:r w:rsidR="009439DE" w:rsidRPr="00CB6923">
        <w:t xml:space="preserve"> </w:t>
      </w:r>
      <w:r w:rsidR="00EB1FC3" w:rsidRPr="00CB6923">
        <w:t xml:space="preserve">theoretical concentrations of TEMPO </w:t>
      </w:r>
      <w:r w:rsidR="00200796" w:rsidRPr="00CB6923">
        <w:t xml:space="preserve">in the solution </w:t>
      </w:r>
      <w:r w:rsidR="007F692E" w:rsidRPr="00CB6923">
        <w:t xml:space="preserve">based on the current flow </w:t>
      </w:r>
      <w:r w:rsidR="00401E2F" w:rsidRPr="00CB6923">
        <w:t xml:space="preserve">with </w:t>
      </w:r>
      <w:r w:rsidR="00200796" w:rsidRPr="00CB6923">
        <w:t xml:space="preserve">those obtained via </w:t>
      </w:r>
      <w:r w:rsidR="00401E2F" w:rsidRPr="00CB6923">
        <w:t>the EPR and NMR quantification methods.</w:t>
      </w:r>
    </w:p>
    <w:p w14:paraId="534C75BB" w14:textId="7BE426F4" w:rsidR="00C71737" w:rsidRPr="00CB6923" w:rsidRDefault="00C71737" w:rsidP="00416C39">
      <w:pPr>
        <w:pStyle w:val="TAMainText"/>
        <w:spacing w:after="240"/>
        <w:ind w:firstLine="720"/>
        <w:jc w:val="left"/>
      </w:pPr>
      <w:r w:rsidRPr="00CB6923">
        <w:t xml:space="preserve">The changes in radical concentration </w:t>
      </w:r>
      <w:r w:rsidR="00214635" w:rsidRPr="00CB6923">
        <w:t xml:space="preserve">measured via EPR and NMR </w:t>
      </w:r>
      <w:r w:rsidRPr="00CB6923">
        <w:t>are consistent with the expected redox reactions, where at potentials above the redox potential of TEMPO, the radical concentration decreases as the TEMPO is oxidized to TEMPO</w:t>
      </w:r>
      <w:r w:rsidRPr="00CB6923">
        <w:rPr>
          <w:vertAlign w:val="superscript"/>
        </w:rPr>
        <w:t>+</w:t>
      </w:r>
      <w:r w:rsidRPr="00CB6923">
        <w:t>, and at potentials below that of TEMPO redox potential, the radical concentration increases as TEMPO</w:t>
      </w:r>
      <w:r w:rsidRPr="00CB6923">
        <w:rPr>
          <w:vertAlign w:val="superscript"/>
        </w:rPr>
        <w:t>+</w:t>
      </w:r>
      <w:r w:rsidRPr="00CB6923">
        <w:t xml:space="preserve"> is reduced and TEMPO radicals are regenerated, (figure 2e). There is, however, an apparent mismatch between the amount of charge passed and the measured radical concentrations from EPR and NMR spectroscopy. </w:t>
      </w:r>
      <w:bookmarkStart w:id="2" w:name="_Hlk86923377"/>
      <w:r w:rsidR="00DA126B" w:rsidRPr="00CB6923">
        <w:t>Due to the reversibility of the TEMPO redox</w:t>
      </w:r>
      <w:r w:rsidR="00200796" w:rsidRPr="00CB6923">
        <w:t xml:space="preserve"> reaction,</w:t>
      </w:r>
      <w:r w:rsidR="00DA126B" w:rsidRPr="00CB6923">
        <w:t xml:space="preserve"> </w:t>
      </w:r>
      <w:r w:rsidR="00B003E7" w:rsidRPr="00CB6923">
        <w:t xml:space="preserve">as </w:t>
      </w:r>
      <w:r w:rsidR="00DA126B" w:rsidRPr="00CB6923">
        <w:t xml:space="preserve">shown by the recovery of TEMPO </w:t>
      </w:r>
      <w:r w:rsidR="006159DB" w:rsidRPr="00CB6923">
        <w:t>after</w:t>
      </w:r>
      <w:r w:rsidR="00DA126B" w:rsidRPr="00CB6923">
        <w:t xml:space="preserve"> the reduction steps</w:t>
      </w:r>
      <w:r w:rsidR="003D0402" w:rsidRPr="00CB6923">
        <w:t xml:space="preserve"> (figure 2e, table S</w:t>
      </w:r>
      <w:r w:rsidR="00DE4B79" w:rsidRPr="00CB6923">
        <w:t>1</w:t>
      </w:r>
      <w:r w:rsidR="003D0402" w:rsidRPr="00CB6923">
        <w:t>)</w:t>
      </w:r>
      <w:r w:rsidR="00DA126B" w:rsidRPr="00CB6923">
        <w:t xml:space="preserve">, and the lack of </w:t>
      </w:r>
      <w:r w:rsidR="00FB016B" w:rsidRPr="00CB6923">
        <w:t>detectable amount</w:t>
      </w:r>
      <w:r w:rsidR="00721907" w:rsidRPr="00CB6923">
        <w:t>s</w:t>
      </w:r>
      <w:r w:rsidR="00FB016B" w:rsidRPr="00CB6923">
        <w:t xml:space="preserve"> of </w:t>
      </w:r>
      <w:r w:rsidR="00DA126B" w:rsidRPr="00CB6923">
        <w:t xml:space="preserve">impurities </w:t>
      </w:r>
      <w:r w:rsidR="00B60A05" w:rsidRPr="00CB6923">
        <w:t xml:space="preserve">or degradation products </w:t>
      </w:r>
      <w:r w:rsidR="00DA126B" w:rsidRPr="00CB6923">
        <w:t>in the electrolyte (figure S</w:t>
      </w:r>
      <w:r w:rsidR="008966E6" w:rsidRPr="00CB6923">
        <w:t>4</w:t>
      </w:r>
      <w:r w:rsidR="00DA126B" w:rsidRPr="00CB6923">
        <w:t>)</w:t>
      </w:r>
      <w:r w:rsidR="00EB5383" w:rsidRPr="00CB6923">
        <w:t xml:space="preserve">, we propose that the </w:t>
      </w:r>
      <w:r w:rsidRPr="00CB6923">
        <w:t xml:space="preserve">mismatch </w:t>
      </w:r>
      <w:r w:rsidR="00EA2FC0" w:rsidRPr="00CB6923">
        <w:t xml:space="preserve">between total charge and measured radical concentrations </w:t>
      </w:r>
      <w:r w:rsidR="009729D1" w:rsidRPr="00CB6923">
        <w:t>can</w:t>
      </w:r>
      <w:r w:rsidRPr="00CB6923">
        <w:t xml:space="preserve"> be explained </w:t>
      </w:r>
      <w:r w:rsidR="00842D99" w:rsidRPr="00CB6923">
        <w:t xml:space="preserve">by </w:t>
      </w:r>
      <w:r w:rsidR="00671669" w:rsidRPr="00CB6923">
        <w:t xml:space="preserve">rapid </w:t>
      </w:r>
      <w:r w:rsidRPr="00CB6923">
        <w:t>redox shuttling</w:t>
      </w:r>
      <w:r w:rsidR="00671669" w:rsidRPr="00CB6923">
        <w:t xml:space="preserve"> of the TEMPO</w:t>
      </w:r>
      <w:r w:rsidR="00671669" w:rsidRPr="00CB6923">
        <w:rPr>
          <w:vertAlign w:val="superscript"/>
        </w:rPr>
        <w:t>+</w:t>
      </w:r>
      <w:r w:rsidRPr="00CB6923">
        <w:t xml:space="preserve"> and a large self-reduction rate at the counter electrode, </w:t>
      </w:r>
      <w:r w:rsidR="00490C8E" w:rsidRPr="00CB6923">
        <w:t xml:space="preserve">which </w:t>
      </w:r>
      <w:r w:rsidRPr="00CB6923">
        <w:t>regenerat</w:t>
      </w:r>
      <w:r w:rsidR="00490C8E" w:rsidRPr="00CB6923">
        <w:t>es</w:t>
      </w:r>
      <w:r w:rsidRPr="00CB6923">
        <w:t xml:space="preserve"> the TEMPO radicals. </w:t>
      </w:r>
      <w:bookmarkEnd w:id="2"/>
    </w:p>
    <w:p w14:paraId="41336A9D" w14:textId="2329A6DE" w:rsidR="001356C9" w:rsidRPr="00CB6923" w:rsidRDefault="002828AB" w:rsidP="000D7F29">
      <w:pPr>
        <w:pStyle w:val="TAMainText"/>
        <w:spacing w:after="240"/>
        <w:ind w:firstLine="720"/>
        <w:jc w:val="left"/>
      </w:pPr>
      <w:r w:rsidRPr="00CB6923">
        <w:t>The</w:t>
      </w:r>
      <w:r w:rsidR="004041BC" w:rsidRPr="00CB6923">
        <w:t xml:space="preserve"> changes in the current when a constant voltage is applied (chronoamperometry) </w:t>
      </w:r>
      <w:r w:rsidR="001B48A8" w:rsidRPr="00CB6923">
        <w:t>also</w:t>
      </w:r>
      <w:r w:rsidR="004041BC" w:rsidRPr="00CB6923">
        <w:t xml:space="preserve"> </w:t>
      </w:r>
      <w:r w:rsidR="001B48A8" w:rsidRPr="00CB6923">
        <w:t>provides information on</w:t>
      </w:r>
      <w:r w:rsidR="004041BC" w:rsidRPr="00CB6923">
        <w:t xml:space="preserve"> concentration and mass transport.</w:t>
      </w:r>
      <w:r w:rsidR="00150692"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{"citationItems":[{"id":"ITEM-1","itemData":{"author":[{"dropping-particle":"","family":"Bard","given":"Allen J.","non-dropping-particle":"","parse-names":false,"suffix":""},{"dropping-particle":"","family":"Faulkner","given":"Larry R.","non-dropping-particle":"","parse-names":false,"suffix":""}],"edition":"2nd","id":"ITEM-1","issued":{"date-parts":[["2001"]]},"publisher":"John Wiley &amp; Sons, Inc","publisher-place":"New York","title":"Electrochemical Methods: Fundamentals and Applications","type":"book"},"uris":["http://www.mendeley.com/documents/?uuid=e9a80384-a8d7-49e3-98b6-5dd1a3bcc03d"]}],"mendeley":{"formattedCitation":"&lt;sup&gt;39&lt;/sup&gt;","plainTextFormattedCitation":"39","previouslyFormattedCitation":"&lt;sup&gt;39&lt;/sup&gt;"},"properties":{"noteIndex":0},"schema":"https://github.com/citation-style-language/schema/raw/master/csl-citation.json"}</w:instrText>
      </w:r>
      <w:r w:rsidR="00150692" w:rsidRPr="00CB6923">
        <w:rPr>
          <w:rFonts w:ascii="Times New Roman" w:hAnsi="Times New Roman"/>
          <w:szCs w:val="24"/>
        </w:rPr>
        <w:fldChar w:fldCharType="separate"/>
      </w:r>
      <w:r w:rsidR="009C4068" w:rsidRPr="00CB6923">
        <w:rPr>
          <w:rFonts w:ascii="Times New Roman" w:hAnsi="Times New Roman"/>
          <w:noProof/>
          <w:szCs w:val="24"/>
          <w:vertAlign w:val="superscript"/>
        </w:rPr>
        <w:t>39</w:t>
      </w:r>
      <w:r w:rsidR="00150692" w:rsidRPr="00CB6923">
        <w:rPr>
          <w:rFonts w:ascii="Times New Roman" w:hAnsi="Times New Roman"/>
          <w:szCs w:val="24"/>
        </w:rPr>
        <w:fldChar w:fldCharType="end"/>
      </w:r>
      <w:r w:rsidR="00313AB3" w:rsidRPr="00CB6923">
        <w:rPr>
          <w:rFonts w:ascii="Times New Roman" w:hAnsi="Times New Roman"/>
          <w:szCs w:val="24"/>
        </w:rPr>
        <w:t xml:space="preserve"> The application of overpotential causes a current spike due to initial redox reactions that occur quickly on the electrode surface. The surface species are then rapidly consumed when sufficient overpotentials are applied</w:t>
      </w:r>
      <w:r w:rsidR="00A463BE" w:rsidRPr="00CB6923">
        <w:rPr>
          <w:rFonts w:ascii="Times New Roman" w:hAnsi="Times New Roman"/>
          <w:szCs w:val="24"/>
        </w:rPr>
        <w:t xml:space="preserve"> and </w:t>
      </w:r>
      <w:r w:rsidR="007E37D1" w:rsidRPr="00CB6923">
        <w:rPr>
          <w:rFonts w:ascii="Times New Roman" w:hAnsi="Times New Roman"/>
          <w:szCs w:val="24"/>
        </w:rPr>
        <w:t>the</w:t>
      </w:r>
      <w:r w:rsidR="00313AB3" w:rsidRPr="00CB6923">
        <w:rPr>
          <w:rFonts w:ascii="Times New Roman" w:hAnsi="Times New Roman"/>
          <w:szCs w:val="24"/>
        </w:rPr>
        <w:t xml:space="preserve"> current </w:t>
      </w:r>
      <w:r w:rsidR="00A463BE" w:rsidRPr="00CB6923">
        <w:rPr>
          <w:rFonts w:ascii="Times New Roman" w:hAnsi="Times New Roman"/>
          <w:szCs w:val="24"/>
        </w:rPr>
        <w:t xml:space="preserve">decays toward zero, indicative of </w:t>
      </w:r>
      <w:r w:rsidR="00313AB3" w:rsidRPr="00CB6923">
        <w:rPr>
          <w:rFonts w:ascii="Times New Roman" w:hAnsi="Times New Roman"/>
          <w:szCs w:val="24"/>
        </w:rPr>
        <w:t>a diffusion limit, where the diffusion rate of reactants from the bulk electrolyte cannot keep up with the electron transfer at the electrode surface.</w:t>
      </w:r>
      <w:r w:rsidR="00313AB3"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{"citationItems":[{"id":"ITEM-1","itemData":{"author":[{"dropping-particle":"","family":"Bard","given":"Allen J.","non-dropping-particle":"","parse-names":false,"suffix":""},{"dropping-particle":"","family":"Faulkner","given":"Larry R.","non-dropping-particle":"","parse-names":false,"suffix":""}],"edition":"2nd","id":"ITEM-1","issued":{"date-parts":[["2001"]]},"publisher":"John Wiley &amp; Sons, Inc","publisher-place":"New York","title":"Electrochemical Methods: Fundamentals and Applications","type":"book"},"uris":["http://www.mendeley.com/documents/?uuid=e9a80384-a8d7-49e3-98b6-5dd1a3bcc03d"]}],"mendeley":{"formattedCitation":"&lt;sup&gt;39&lt;/sup&gt;","plainTextFormattedCitation":"39","previouslyFormattedCitation":"&lt;sup&gt;39&lt;/sup&gt;"},"properties":{"noteIndex":0},"schema":"https://github.com/citation-style-language/schema/raw/master/csl-citation.json"}</w:instrText>
      </w:r>
      <w:r w:rsidR="00313AB3" w:rsidRPr="00CB6923">
        <w:rPr>
          <w:rFonts w:ascii="Times New Roman" w:hAnsi="Times New Roman"/>
          <w:szCs w:val="24"/>
        </w:rPr>
        <w:fldChar w:fldCharType="separate"/>
      </w:r>
      <w:r w:rsidR="009C4068" w:rsidRPr="00CB6923">
        <w:rPr>
          <w:rFonts w:ascii="Times New Roman" w:hAnsi="Times New Roman"/>
          <w:noProof/>
          <w:szCs w:val="24"/>
          <w:vertAlign w:val="superscript"/>
        </w:rPr>
        <w:t>39</w:t>
      </w:r>
      <w:r w:rsidR="00313AB3" w:rsidRPr="00CB6923">
        <w:rPr>
          <w:rFonts w:ascii="Times New Roman" w:hAnsi="Times New Roman"/>
          <w:szCs w:val="24"/>
        </w:rPr>
        <w:fldChar w:fldCharType="end"/>
      </w:r>
      <w:r w:rsidR="00313AB3" w:rsidRPr="00CB6923">
        <w:rPr>
          <w:rFonts w:ascii="Times New Roman" w:hAnsi="Times New Roman"/>
          <w:szCs w:val="24"/>
        </w:rPr>
        <w:t xml:space="preserve"> </w:t>
      </w:r>
      <w:r w:rsidR="00D47213" w:rsidRPr="00CB6923">
        <w:rPr>
          <w:rFonts w:ascii="Times New Roman" w:hAnsi="Times New Roman"/>
          <w:szCs w:val="24"/>
        </w:rPr>
        <w:t xml:space="preserve">Interestingly, after the initial current peak, the current plateaus </w:t>
      </w:r>
      <w:r w:rsidR="00BA201D" w:rsidRPr="00CB6923">
        <w:rPr>
          <w:rFonts w:ascii="Times New Roman" w:hAnsi="Times New Roman"/>
          <w:szCs w:val="24"/>
        </w:rPr>
        <w:t xml:space="preserve">(figure 2d) </w:t>
      </w:r>
      <w:r w:rsidR="00D47213" w:rsidRPr="00CB6923">
        <w:rPr>
          <w:rFonts w:ascii="Times New Roman" w:hAnsi="Times New Roman"/>
          <w:szCs w:val="24"/>
        </w:rPr>
        <w:t xml:space="preserve">rather than decaying as expected in </w:t>
      </w:r>
      <w:r w:rsidR="00161D49" w:rsidRPr="00CB6923">
        <w:rPr>
          <w:rFonts w:ascii="Times New Roman" w:hAnsi="Times New Roman"/>
          <w:szCs w:val="24"/>
        </w:rPr>
        <w:t xml:space="preserve">static </w:t>
      </w:r>
      <w:r w:rsidR="00D47213" w:rsidRPr="00CB6923">
        <w:rPr>
          <w:rFonts w:ascii="Times New Roman" w:hAnsi="Times New Roman"/>
          <w:szCs w:val="24"/>
        </w:rPr>
        <w:t>chronoamperometry experiments (figure S</w:t>
      </w:r>
      <w:r w:rsidR="006A30B2" w:rsidRPr="00CB6923">
        <w:rPr>
          <w:rFonts w:ascii="Times New Roman" w:hAnsi="Times New Roman"/>
          <w:szCs w:val="24"/>
        </w:rPr>
        <w:t>5</w:t>
      </w:r>
      <w:r w:rsidR="00D47213" w:rsidRPr="00CB6923">
        <w:rPr>
          <w:rFonts w:ascii="Times New Roman" w:hAnsi="Times New Roman"/>
          <w:szCs w:val="24"/>
        </w:rPr>
        <w:t xml:space="preserve">). This indicates that a diffusion </w:t>
      </w:r>
      <w:r w:rsidR="00D47213" w:rsidRPr="00CB6923">
        <w:rPr>
          <w:rFonts w:ascii="Times New Roman" w:hAnsi="Times New Roman"/>
          <w:szCs w:val="24"/>
        </w:rPr>
        <w:lastRenderedPageBreak/>
        <w:t>limit is not reached; instead, it suggests that a constant supply of reactants is reaching the electrode at rates comparable to the oxidation reaction rate. In part this is due to the flow set-up, where ‘fresh’ electrolyte containing TEMPO is continually transported to the electrode for oxidation, enhancing the mass transport and preventing the current from quickly decaying to zero, as seen in figure 2d. However, once all the TEMPO in the tubing and reservoir has been oxidized into TEMPO</w:t>
      </w:r>
      <w:r w:rsidR="00D47213" w:rsidRPr="00CB6923">
        <w:rPr>
          <w:rFonts w:ascii="Times New Roman" w:hAnsi="Times New Roman"/>
          <w:szCs w:val="24"/>
          <w:vertAlign w:val="superscript"/>
        </w:rPr>
        <w:t>+</w:t>
      </w:r>
      <w:r w:rsidR="00D47213" w:rsidRPr="00CB6923">
        <w:rPr>
          <w:rFonts w:ascii="Times New Roman" w:hAnsi="Times New Roman"/>
          <w:szCs w:val="24"/>
        </w:rPr>
        <w:t>, the oxidation current is</w:t>
      </w:r>
      <w:r w:rsidR="00575508" w:rsidRPr="00CB6923">
        <w:rPr>
          <w:rFonts w:ascii="Times New Roman" w:hAnsi="Times New Roman"/>
          <w:szCs w:val="24"/>
        </w:rPr>
        <w:t xml:space="preserve"> again</w:t>
      </w:r>
      <w:r w:rsidR="00D47213" w:rsidRPr="00CB6923">
        <w:rPr>
          <w:rFonts w:ascii="Times New Roman" w:hAnsi="Times New Roman"/>
          <w:szCs w:val="24"/>
        </w:rPr>
        <w:t xml:space="preserve"> expected to approach zero. This decrease in current is not observed </w:t>
      </w:r>
      <w:r w:rsidR="00B542C7" w:rsidRPr="00CB6923">
        <w:rPr>
          <w:rFonts w:ascii="Times New Roman" w:hAnsi="Times New Roman"/>
          <w:szCs w:val="24"/>
        </w:rPr>
        <w:t xml:space="preserve">even </w:t>
      </w:r>
      <w:r w:rsidR="00D47213" w:rsidRPr="00CB6923">
        <w:rPr>
          <w:rFonts w:ascii="Times New Roman" w:hAnsi="Times New Roman"/>
          <w:szCs w:val="24"/>
        </w:rPr>
        <w:t>after long voltage holds (figure S</w:t>
      </w:r>
      <w:r w:rsidR="00767634" w:rsidRPr="00CB6923">
        <w:rPr>
          <w:rFonts w:ascii="Times New Roman" w:hAnsi="Times New Roman"/>
          <w:szCs w:val="24"/>
        </w:rPr>
        <w:t>6</w:t>
      </w:r>
      <w:r w:rsidR="00D47213" w:rsidRPr="00CB6923">
        <w:rPr>
          <w:rFonts w:ascii="Times New Roman" w:hAnsi="Times New Roman"/>
          <w:szCs w:val="24"/>
        </w:rPr>
        <w:t xml:space="preserve">), and further supports the radical quantification data (figure 2e) </w:t>
      </w:r>
      <w:r w:rsidR="004E333F" w:rsidRPr="00CB6923">
        <w:rPr>
          <w:rFonts w:ascii="Times New Roman" w:hAnsi="Times New Roman"/>
          <w:szCs w:val="24"/>
        </w:rPr>
        <w:t xml:space="preserve">which showed </w:t>
      </w:r>
      <w:r w:rsidR="00D47213" w:rsidRPr="00CB6923">
        <w:rPr>
          <w:rFonts w:ascii="Times New Roman" w:hAnsi="Times New Roman"/>
          <w:szCs w:val="24"/>
        </w:rPr>
        <w:t xml:space="preserve">that the TEMPO </w:t>
      </w:r>
      <w:r w:rsidR="004E333F" w:rsidRPr="00CB6923">
        <w:rPr>
          <w:rFonts w:ascii="Times New Roman" w:hAnsi="Times New Roman"/>
          <w:szCs w:val="24"/>
        </w:rPr>
        <w:t>wa</w:t>
      </w:r>
      <w:r w:rsidR="00D47213" w:rsidRPr="00CB6923">
        <w:rPr>
          <w:rFonts w:ascii="Times New Roman" w:hAnsi="Times New Roman"/>
          <w:szCs w:val="24"/>
        </w:rPr>
        <w:t xml:space="preserve">s not </w:t>
      </w:r>
      <w:r w:rsidR="004E333F" w:rsidRPr="00CB6923">
        <w:rPr>
          <w:rFonts w:ascii="Times New Roman" w:hAnsi="Times New Roman"/>
          <w:szCs w:val="24"/>
        </w:rPr>
        <w:t xml:space="preserve">being </w:t>
      </w:r>
      <w:r w:rsidR="00D47213" w:rsidRPr="00CB6923">
        <w:rPr>
          <w:rFonts w:ascii="Times New Roman" w:hAnsi="Times New Roman"/>
          <w:szCs w:val="24"/>
        </w:rPr>
        <w:t xml:space="preserve">continuously depleted on oxidation but </w:t>
      </w:r>
      <w:r w:rsidR="004E333F" w:rsidRPr="00CB6923">
        <w:rPr>
          <w:rFonts w:ascii="Times New Roman" w:hAnsi="Times New Roman"/>
          <w:szCs w:val="24"/>
        </w:rPr>
        <w:t>wa</w:t>
      </w:r>
      <w:r w:rsidR="00D47213" w:rsidRPr="00CB6923">
        <w:rPr>
          <w:rFonts w:ascii="Times New Roman" w:hAnsi="Times New Roman"/>
          <w:szCs w:val="24"/>
        </w:rPr>
        <w:t>s being regenerated elsewhere in the cell.</w:t>
      </w:r>
      <w:r w:rsidR="00AF2C52" w:rsidRPr="00CB6923">
        <w:rPr>
          <w:rFonts w:ascii="Times New Roman" w:hAnsi="Times New Roman"/>
          <w:szCs w:val="24"/>
        </w:rPr>
        <w:t xml:space="preserve"> In other words, </w:t>
      </w:r>
      <w:r w:rsidR="00BD0CA1" w:rsidRPr="00CB6923">
        <w:rPr>
          <w:rFonts w:ascii="Times New Roman" w:hAnsi="Times New Roman"/>
          <w:szCs w:val="24"/>
        </w:rPr>
        <w:t>i</w:t>
      </w:r>
      <w:r w:rsidR="003D647A" w:rsidRPr="00CB6923">
        <w:rPr>
          <w:rFonts w:ascii="Times New Roman" w:hAnsi="Times New Roman"/>
          <w:szCs w:val="24"/>
        </w:rPr>
        <w:t>ncreasing</w:t>
      </w:r>
      <w:r w:rsidR="00BD0CA1" w:rsidRPr="00CB6923">
        <w:rPr>
          <w:rFonts w:ascii="Times New Roman" w:hAnsi="Times New Roman"/>
          <w:szCs w:val="24"/>
        </w:rPr>
        <w:t xml:space="preserve"> mass transport in LABs/RFBs</w:t>
      </w:r>
      <w:r w:rsidR="000D7F29" w:rsidRPr="00CB6923">
        <w:rPr>
          <w:rFonts w:ascii="Times New Roman" w:hAnsi="Times New Roman"/>
          <w:szCs w:val="24"/>
        </w:rPr>
        <w:t xml:space="preserve">, as </w:t>
      </w:r>
      <w:r w:rsidR="006E359D" w:rsidRPr="00CB6923">
        <w:rPr>
          <w:rFonts w:ascii="Times New Roman" w:hAnsi="Times New Roman"/>
          <w:szCs w:val="24"/>
        </w:rPr>
        <w:t>achieved here</w:t>
      </w:r>
      <w:r w:rsidR="000D7F29" w:rsidRPr="00CB6923">
        <w:rPr>
          <w:rFonts w:ascii="Times New Roman" w:hAnsi="Times New Roman"/>
          <w:szCs w:val="24"/>
        </w:rPr>
        <w:t xml:space="preserve"> </w:t>
      </w:r>
      <w:r w:rsidR="006E359D" w:rsidRPr="00CB6923">
        <w:rPr>
          <w:rFonts w:ascii="Times New Roman" w:hAnsi="Times New Roman"/>
          <w:szCs w:val="24"/>
        </w:rPr>
        <w:t xml:space="preserve">by using a </w:t>
      </w:r>
      <w:r w:rsidR="000D7F29" w:rsidRPr="00CB6923">
        <w:rPr>
          <w:rFonts w:ascii="Times New Roman" w:hAnsi="Times New Roman"/>
          <w:szCs w:val="24"/>
        </w:rPr>
        <w:t xml:space="preserve">flow </w:t>
      </w:r>
      <w:r w:rsidR="006E359D" w:rsidRPr="00CB6923">
        <w:rPr>
          <w:rFonts w:ascii="Times New Roman" w:hAnsi="Times New Roman"/>
          <w:szCs w:val="24"/>
        </w:rPr>
        <w:t>cell</w:t>
      </w:r>
      <w:r w:rsidR="000D7F29" w:rsidRPr="00CB6923">
        <w:rPr>
          <w:rFonts w:ascii="Times New Roman" w:hAnsi="Times New Roman"/>
          <w:szCs w:val="24"/>
        </w:rPr>
        <w:t>,</w:t>
      </w:r>
      <w:r w:rsidR="00BD0CA1" w:rsidRPr="00CB6923">
        <w:rPr>
          <w:rFonts w:ascii="Times New Roman" w:hAnsi="Times New Roman"/>
          <w:szCs w:val="24"/>
        </w:rPr>
        <w:t xml:space="preserve"> also results in increased crossover of redox active species in solution.</w:t>
      </w:r>
      <w:r w:rsidR="00AF2C52" w:rsidRPr="00CB6923">
        <w:rPr>
          <w:rFonts w:ascii="Times New Roman" w:hAnsi="Times New Roman"/>
          <w:szCs w:val="24"/>
        </w:rPr>
        <w:t xml:space="preserve"> </w:t>
      </w:r>
    </w:p>
    <w:p w14:paraId="52985C7E" w14:textId="3FA3E3F6" w:rsidR="00010098" w:rsidRPr="00CB6923" w:rsidRDefault="00200796" w:rsidP="00026354">
      <w:pPr>
        <w:pStyle w:val="TAMainText"/>
        <w:spacing w:after="240"/>
        <w:ind w:firstLine="0"/>
        <w:jc w:val="left"/>
        <w:rPr>
          <w:i/>
          <w:iCs/>
        </w:rPr>
      </w:pPr>
      <w:r w:rsidRPr="00CB6923">
        <w:rPr>
          <w:i/>
          <w:iCs/>
        </w:rPr>
        <w:t>Modelling cro</w:t>
      </w:r>
      <w:r w:rsidR="00707FAD" w:rsidRPr="00CB6923">
        <w:rPr>
          <w:i/>
          <w:iCs/>
        </w:rPr>
        <w:t>ssover (i) during constant voltage oxidation</w:t>
      </w:r>
      <w:r w:rsidR="00941AF3" w:rsidRPr="00CB6923">
        <w:rPr>
          <w:i/>
          <w:iCs/>
        </w:rPr>
        <w:t xml:space="preserve"> </w:t>
      </w:r>
    </w:p>
    <w:p w14:paraId="7B27D9B0" w14:textId="3C80B73C" w:rsidR="00707FAD" w:rsidRPr="00CB6923" w:rsidRDefault="00AE2A9D" w:rsidP="00026354">
      <w:pPr>
        <w:pStyle w:val="VAFigureCaption"/>
      </w:pPr>
      <w:r w:rsidRPr="00CB6923">
        <w:rPr>
          <w:b/>
          <w:bCs/>
          <w:noProof/>
        </w:rPr>
        <w:lastRenderedPageBreak/>
        <w:drawing>
          <wp:inline distT="0" distB="0" distL="0" distR="0" wp14:anchorId="390D3DC7" wp14:editId="52C41560">
            <wp:extent cx="5935980" cy="7482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7482840"/>
                    </a:xfrm>
                    <a:prstGeom prst="rect">
                      <a:avLst/>
                    </a:prstGeom>
                    <a:noFill/>
                    <a:ln>
                      <a:noFill/>
                    </a:ln>
                  </pic:spPr>
                </pic:pic>
              </a:graphicData>
            </a:graphic>
          </wp:inline>
        </w:drawing>
      </w:r>
      <w:r w:rsidR="00026354" w:rsidRPr="00CB6923">
        <w:rPr>
          <w:b/>
          <w:bCs/>
        </w:rPr>
        <w:t>Figure 3.</w:t>
      </w:r>
      <w:r w:rsidR="00026354" w:rsidRPr="00CB6923">
        <w:t xml:space="preserve"> a) Simulated TEMPO and b) TEMPO</w:t>
      </w:r>
      <w:r w:rsidR="00026354" w:rsidRPr="00CB6923">
        <w:rPr>
          <w:vertAlign w:val="superscript"/>
        </w:rPr>
        <w:t>+</w:t>
      </w:r>
      <w:r w:rsidR="00026354" w:rsidRPr="00CB6923">
        <w:t xml:space="preserve"> concentrations as a function of distance across the cathode, separator, and anode domains shown after the first 30 </w:t>
      </w:r>
      <w:r w:rsidR="00E005BD" w:rsidRPr="00CB6923">
        <w:t>s</w:t>
      </w:r>
      <w:r w:rsidR="00026354" w:rsidRPr="00CB6923">
        <w:t xml:space="preserve"> of a constant voltage hold at </w:t>
      </w:r>
      <w:r w:rsidR="00026354" w:rsidRPr="00CB6923">
        <w:lastRenderedPageBreak/>
        <w:t>3.8</w:t>
      </w:r>
      <w:r w:rsidR="00E005BD" w:rsidRPr="00CB6923">
        <w:t xml:space="preserve"> </w:t>
      </w:r>
      <w:r w:rsidR="00026354" w:rsidRPr="00CB6923">
        <w:t>V vs Li/Li</w:t>
      </w:r>
      <w:r w:rsidR="00026354" w:rsidRPr="00CB6923">
        <w:rPr>
          <w:vertAlign w:val="superscript"/>
        </w:rPr>
        <w:t>+</w:t>
      </w:r>
      <w:r w:rsidR="00026354" w:rsidRPr="00CB6923">
        <w:t xml:space="preserve"> (0.35</w:t>
      </w:r>
      <w:r w:rsidR="00E005BD" w:rsidRPr="00CB6923">
        <w:t xml:space="preserve"> </w:t>
      </w:r>
      <w:r w:rsidR="00026354" w:rsidRPr="00CB6923">
        <w:t>V vs LFP/FP), c) TEMPO</w:t>
      </w:r>
      <w:r w:rsidR="00026354" w:rsidRPr="00CB6923">
        <w:rPr>
          <w:vertAlign w:val="superscript"/>
        </w:rPr>
        <w:t>+</w:t>
      </w:r>
      <w:r w:rsidR="00026354" w:rsidRPr="00CB6923">
        <w:t xml:space="preserve"> concentration at the anode surface as a function of time during constant voltage oxidation, d) simulated current profiles during constant voltage oxidation, and (inset) fraction of the current resulting in self-reduction at the anode. </w:t>
      </w:r>
      <w:r w:rsidR="004E333F" w:rsidRPr="00CB6923">
        <w:t>R</w:t>
      </w:r>
      <w:r w:rsidR="00026354" w:rsidRPr="00CB6923">
        <w:t>eaction rate constant:diffusion coefficient ratios of 1:0.5, 1:1, and 1:2, were used, where a 1:0.5 ratio (blue trace) corresponds to a diffusion coefficient value that is half that of the redox reaction rate constant. The black dotted trace corresponds to a simulation with diffusion rates that are orders of magnitude smaller than the reaction rate</w:t>
      </w:r>
      <w:r w:rsidR="006F2CE6" w:rsidRPr="00CB6923">
        <w:t>, representing a cell with low mass transport</w:t>
      </w:r>
      <w:r w:rsidR="00026354" w:rsidRPr="00CB6923">
        <w:t>.</w:t>
      </w:r>
      <w:r w:rsidR="00D2366B" w:rsidRPr="00CB6923">
        <w:t xml:space="preserve"> e) </w:t>
      </w:r>
      <w:r w:rsidR="00A94052" w:rsidRPr="00CB6923">
        <w:t xml:space="preserve">Simulated current profiles using the </w:t>
      </w:r>
      <w:r w:rsidR="00D2366B" w:rsidRPr="00CB6923">
        <w:t xml:space="preserve">2D </w:t>
      </w:r>
      <w:r w:rsidR="00A94052" w:rsidRPr="00CB6923">
        <w:t>model at various flow rates</w:t>
      </w:r>
      <w:r w:rsidR="00200796" w:rsidRPr="00CB6923">
        <w:t>, from static to 0.1 cm</w:t>
      </w:r>
      <w:r w:rsidR="00200796" w:rsidRPr="00CB6923">
        <w:rPr>
          <w:vertAlign w:val="superscript"/>
        </w:rPr>
        <w:t>3</w:t>
      </w:r>
      <w:r w:rsidR="0056108A" w:rsidRPr="00CB6923">
        <w:rPr>
          <w:vertAlign w:val="superscript"/>
        </w:rPr>
        <w:t xml:space="preserve"> </w:t>
      </w:r>
      <w:r w:rsidR="00200796" w:rsidRPr="00CB6923">
        <w:t>s</w:t>
      </w:r>
      <w:r w:rsidR="0056108A" w:rsidRPr="00CB6923">
        <w:rPr>
          <w:rFonts w:cs="Times"/>
          <w:vertAlign w:val="superscript"/>
        </w:rPr>
        <w:t>−</w:t>
      </w:r>
      <w:r w:rsidR="0056108A" w:rsidRPr="00CB6923">
        <w:rPr>
          <w:vertAlign w:val="superscript"/>
        </w:rPr>
        <w:t>1</w:t>
      </w:r>
      <w:r w:rsidR="00A94052" w:rsidRPr="00CB6923">
        <w:t>, and f) Comparison</w:t>
      </w:r>
      <w:r w:rsidR="00D2366B" w:rsidRPr="00CB6923">
        <w:t xml:space="preserve"> </w:t>
      </w:r>
      <w:r w:rsidR="00A94052" w:rsidRPr="00CB6923">
        <w:t xml:space="preserve">of experimental current profile with the simulation at </w:t>
      </w:r>
      <w:r w:rsidR="00200796" w:rsidRPr="00CB6923">
        <w:t xml:space="preserve">a </w:t>
      </w:r>
      <w:r w:rsidR="00A94052" w:rsidRPr="00CB6923">
        <w:t>0.01 cm</w:t>
      </w:r>
      <w:r w:rsidR="00A94052" w:rsidRPr="00CB6923">
        <w:rPr>
          <w:vertAlign w:val="superscript"/>
        </w:rPr>
        <w:t>3</w:t>
      </w:r>
      <w:r w:rsidR="00A94052" w:rsidRPr="00CB6923">
        <w:t xml:space="preserve"> s</w:t>
      </w:r>
      <w:r w:rsidR="00A94052" w:rsidRPr="00CB6923">
        <w:rPr>
          <w:rFonts w:cs="Times"/>
          <w:vertAlign w:val="superscript"/>
        </w:rPr>
        <w:t>−</w:t>
      </w:r>
      <w:r w:rsidR="00A94052" w:rsidRPr="00CB6923">
        <w:rPr>
          <w:vertAlign w:val="superscript"/>
        </w:rPr>
        <w:t>1</w:t>
      </w:r>
      <w:r w:rsidR="00A94052" w:rsidRPr="00CB6923">
        <w:t xml:space="preserve"> flow rate.</w:t>
      </w:r>
    </w:p>
    <w:p w14:paraId="5D9380D4" w14:textId="77777777" w:rsidR="004E333F" w:rsidRPr="00CB6923" w:rsidRDefault="004E333F" w:rsidP="0020102B"/>
    <w:p w14:paraId="4466A3B3" w14:textId="47D793DA" w:rsidR="00EB04F4" w:rsidRPr="00CB6923" w:rsidRDefault="00C55505" w:rsidP="00685153">
      <w:pPr>
        <w:pStyle w:val="TAMainText"/>
        <w:spacing w:after="240"/>
        <w:ind w:firstLine="720"/>
        <w:jc w:val="left"/>
        <w:rPr>
          <w:rFonts w:ascii="Times New Roman" w:hAnsi="Times New Roman"/>
          <w:szCs w:val="24"/>
        </w:rPr>
      </w:pPr>
      <w:r w:rsidRPr="00CB6923">
        <w:t>A 1D computational model was developed and applied to investigate the diffusion of TEMPO/TEMPO</w:t>
      </w:r>
      <w:r w:rsidRPr="00CB6923">
        <w:rPr>
          <w:vertAlign w:val="superscript"/>
        </w:rPr>
        <w:t>+</w:t>
      </w:r>
      <w:r w:rsidRPr="00CB6923">
        <w:t xml:space="preserve"> during oxidation reactions. </w:t>
      </w:r>
      <w:r w:rsidR="00402B51" w:rsidRPr="00CB6923">
        <w:t xml:space="preserve">The governing equations and model domains are given in the SI. </w:t>
      </w:r>
      <w:r w:rsidRPr="00CB6923">
        <w:t xml:space="preserve">The model is </w:t>
      </w:r>
      <w:r w:rsidR="007F71F4" w:rsidRPr="00CB6923">
        <w:t xml:space="preserve">used </w:t>
      </w:r>
      <w:r w:rsidRPr="00CB6923">
        <w:t xml:space="preserve">to calculate </w:t>
      </w:r>
      <w:r w:rsidR="007F71F4" w:rsidRPr="00CB6923">
        <w:t xml:space="preserve">the </w:t>
      </w:r>
      <w:r w:rsidRPr="00CB6923">
        <w:t>concentration</w:t>
      </w:r>
      <w:r w:rsidR="007F71F4" w:rsidRPr="00CB6923">
        <w:t>s</w:t>
      </w:r>
      <w:r w:rsidRPr="00CB6923">
        <w:t xml:space="preserve"> of solution species in the electrodes </w:t>
      </w:r>
      <w:r w:rsidR="001356C9" w:rsidRPr="00CB6923">
        <w:t xml:space="preserve">and </w:t>
      </w:r>
      <w:r w:rsidRPr="00CB6923">
        <w:t xml:space="preserve">bulk electrolyte and </w:t>
      </w:r>
      <w:r w:rsidR="001356C9" w:rsidRPr="00CB6923">
        <w:t xml:space="preserve">explore the effect of diffusion rates on </w:t>
      </w:r>
      <w:r w:rsidRPr="00CB6923">
        <w:t>the extent of redox shuttling. For modeling simplicity, a static cell without flowing electrolyte was used</w:t>
      </w:r>
      <w:r w:rsidR="001356C9" w:rsidRPr="00CB6923">
        <w:t>.</w:t>
      </w:r>
      <w:r w:rsidRPr="00CB6923">
        <w:t xml:space="preserve"> (</w:t>
      </w:r>
      <w:r w:rsidR="001356C9" w:rsidRPr="00CB6923">
        <w:t>N</w:t>
      </w:r>
      <w:r w:rsidRPr="00CB6923">
        <w:t>o convective terms were added to the governing equations due to the complexities of accurately describing</w:t>
      </w:r>
      <w:r w:rsidR="007F71F4" w:rsidRPr="00CB6923">
        <w:t xml:space="preserve"> the</w:t>
      </w:r>
      <w:r w:rsidRPr="00CB6923">
        <w:t xml:space="preserve"> flow field for the cell shown in figure 1).</w:t>
      </w:r>
      <w:r w:rsidR="00941AF3" w:rsidRPr="00CB6923">
        <w:t xml:space="preserve"> </w:t>
      </w:r>
      <w:r w:rsidR="00EB04F4" w:rsidRPr="00CB6923">
        <w:rPr>
          <w:rFonts w:ascii="Times New Roman" w:hAnsi="Times New Roman"/>
          <w:szCs w:val="24"/>
        </w:rPr>
        <w:t>The 1D models were then tested for different ratios of the redox rate to effective diffusivity. Ratios were used to simplify the model, as the diffusion rate changes at each time point and position point</w:t>
      </w:r>
      <w:r w:rsidR="00EF4C27" w:rsidRPr="00CB6923">
        <w:rPr>
          <w:rFonts w:ascii="Times New Roman" w:hAnsi="Times New Roman"/>
          <w:szCs w:val="24"/>
        </w:rPr>
        <w:t>,</w:t>
      </w:r>
      <w:r w:rsidR="00EB04F4" w:rsidRPr="00CB6923">
        <w:rPr>
          <w:rFonts w:ascii="Times New Roman" w:hAnsi="Times New Roman"/>
          <w:szCs w:val="24"/>
        </w:rPr>
        <w:t xml:space="preserve"> due to its dependence on local concentration gradients (equation S</w:t>
      </w:r>
      <w:r w:rsidR="006441FF" w:rsidRPr="00CB6923">
        <w:rPr>
          <w:rFonts w:ascii="Times New Roman" w:hAnsi="Times New Roman"/>
          <w:szCs w:val="24"/>
        </w:rPr>
        <w:t>9</w:t>
      </w:r>
      <w:r w:rsidR="00EB04F4" w:rsidRPr="00CB6923">
        <w:rPr>
          <w:rFonts w:ascii="Times New Roman" w:hAnsi="Times New Roman"/>
          <w:szCs w:val="24"/>
        </w:rPr>
        <w:t>.3). Similarly, the reaction rate is dependent on the local concentration, (equation 4) and will also vary with time and position</w:t>
      </w:r>
      <w:r w:rsidR="0075129C" w:rsidRPr="00CB6923">
        <w:rPr>
          <w:rFonts w:ascii="Times New Roman" w:hAnsi="Times New Roman"/>
          <w:szCs w:val="24"/>
        </w:rPr>
        <w:t>.</w:t>
      </w:r>
      <w:r w:rsidR="00941AF3" w:rsidRPr="00CB6923">
        <w:rPr>
          <w:rFonts w:ascii="Times New Roman" w:hAnsi="Times New Roman"/>
          <w:szCs w:val="24"/>
        </w:rPr>
        <w:t xml:space="preserve"> </w:t>
      </w:r>
      <w:r w:rsidR="0075129C" w:rsidRPr="00CB6923">
        <w:rPr>
          <w:rFonts w:ascii="Times New Roman" w:hAnsi="Times New Roman"/>
          <w:szCs w:val="24"/>
        </w:rPr>
        <w:t>A 3.8</w:t>
      </w:r>
      <w:r w:rsidR="00E13EFD" w:rsidRPr="00CB6923">
        <w:rPr>
          <w:rFonts w:ascii="Times New Roman" w:hAnsi="Times New Roman"/>
          <w:szCs w:val="24"/>
        </w:rPr>
        <w:t xml:space="preserve"> </w:t>
      </w:r>
      <w:r w:rsidR="0075129C" w:rsidRPr="00CB6923">
        <w:rPr>
          <w:rFonts w:ascii="Times New Roman" w:hAnsi="Times New Roman"/>
          <w:szCs w:val="24"/>
        </w:rPr>
        <w:t>V potential vs Li/Li</w:t>
      </w:r>
      <w:r w:rsidR="0075129C" w:rsidRPr="00CB6923">
        <w:rPr>
          <w:rFonts w:ascii="Times New Roman" w:hAnsi="Times New Roman"/>
          <w:szCs w:val="24"/>
          <w:vertAlign w:val="superscript"/>
        </w:rPr>
        <w:t>+</w:t>
      </w:r>
      <w:r w:rsidR="0075129C" w:rsidRPr="00CB6923">
        <w:rPr>
          <w:rFonts w:ascii="Times New Roman" w:hAnsi="Times New Roman"/>
          <w:szCs w:val="24"/>
        </w:rPr>
        <w:t xml:space="preserve"> (0.35V vs LFP/FP) was applied for 1800 s at the cathode to oxidize TEMPO to TEMPO</w:t>
      </w:r>
      <w:r w:rsidR="0075129C" w:rsidRPr="00CB6923">
        <w:rPr>
          <w:rFonts w:ascii="Times New Roman" w:hAnsi="Times New Roman"/>
          <w:szCs w:val="24"/>
          <w:vertAlign w:val="superscript"/>
        </w:rPr>
        <w:t>+</w:t>
      </w:r>
      <w:r w:rsidR="0075129C" w:rsidRPr="00CB6923">
        <w:rPr>
          <w:rFonts w:ascii="Times New Roman" w:hAnsi="Times New Roman"/>
          <w:szCs w:val="24"/>
        </w:rPr>
        <w:t xml:space="preserve"> for all simulations.</w:t>
      </w:r>
    </w:p>
    <w:p w14:paraId="784975EF" w14:textId="28BB0B81" w:rsidR="00AF087B" w:rsidRPr="00CB6923" w:rsidRDefault="00413CC8" w:rsidP="00685153">
      <w:pPr>
        <w:pStyle w:val="TAMainText"/>
        <w:spacing w:after="240"/>
        <w:ind w:firstLine="720"/>
        <w:jc w:val="left"/>
      </w:pPr>
      <w:r w:rsidRPr="00CB6923">
        <w:lastRenderedPageBreak/>
        <w:t>An</w:t>
      </w:r>
      <w:r w:rsidRPr="00CB6923">
        <w:rPr>
          <w:rFonts w:ascii="Times New Roman" w:hAnsi="Times New Roman"/>
          <w:szCs w:val="24"/>
        </w:rPr>
        <w:t xml:space="preserve"> electron-transfer rate constant of</w:t>
      </w:r>
      <w:r w:rsidR="00941AF3" w:rsidRPr="00CB6923">
        <w:rPr>
          <w:rFonts w:ascii="Times New Roman" w:hAnsi="Times New Roman"/>
          <w:szCs w:val="24"/>
        </w:rPr>
        <w:t xml:space="preserve"> </w:t>
      </w:r>
      <w:r w:rsidRPr="00CB6923">
        <w:rPr>
          <w:rFonts w:ascii="Times New Roman" w:hAnsi="Times New Roman"/>
          <w:szCs w:val="24"/>
        </w:rPr>
        <w:t>~1</w:t>
      </w:r>
      <m:oMath>
        <m:r>
          <w:rPr>
            <w:rFonts w:ascii="Cambria Math" w:hAnsi="Cambria Math"/>
            <w:szCs w:val="24"/>
          </w:rPr>
          <m:t>×</m:t>
        </m:r>
      </m:oMath>
      <w:r w:rsidRPr="00CB6923">
        <w:rPr>
          <w:rFonts w:ascii="Times New Roman" w:hAnsi="Times New Roman"/>
          <w:szCs w:val="24"/>
        </w:rPr>
        <w:t>10</w:t>
      </w:r>
      <w:r w:rsidRPr="00CB6923">
        <w:rPr>
          <w:rFonts w:ascii="Times New Roman" w:hAnsi="Times New Roman"/>
          <w:szCs w:val="24"/>
          <w:vertAlign w:val="superscript"/>
        </w:rPr>
        <w:t>-3</w:t>
      </w:r>
      <w:r w:rsidRPr="00CB6923">
        <w:rPr>
          <w:rFonts w:ascii="Times New Roman" w:hAnsi="Times New Roman"/>
          <w:szCs w:val="24"/>
        </w:rPr>
        <w:t xml:space="preserve"> cm</w:t>
      </w:r>
      <w:r w:rsidR="0053600F" w:rsidRPr="00CB6923">
        <w:rPr>
          <w:rFonts w:ascii="Times New Roman" w:hAnsi="Times New Roman"/>
          <w:szCs w:val="24"/>
        </w:rPr>
        <w:t>∙</w:t>
      </w:r>
      <w:r w:rsidRPr="00CB6923">
        <w:rPr>
          <w:rFonts w:ascii="Times New Roman" w:hAnsi="Times New Roman"/>
          <w:szCs w:val="24"/>
        </w:rPr>
        <w:t>s</w:t>
      </w:r>
      <w:r w:rsidR="0053600F" w:rsidRPr="00CB6923">
        <w:rPr>
          <w:rFonts w:ascii="Times New Roman" w:hAnsi="Times New Roman"/>
          <w:szCs w:val="24"/>
          <w:vertAlign w:val="superscript"/>
        </w:rPr>
        <w:t>−1</w:t>
      </w:r>
      <w:r w:rsidRPr="00CB6923">
        <w:rPr>
          <w:rFonts w:ascii="Times New Roman" w:hAnsi="Times New Roman"/>
          <w:szCs w:val="24"/>
        </w:rPr>
        <w:t xml:space="preserve"> was measured experimentally using chronoamperometry in a static cells</w:t>
      </w:r>
      <w:r w:rsidR="00586C46" w:rsidRPr="00CB6923">
        <w:rPr>
          <w:rFonts w:ascii="Times New Roman" w:hAnsi="Times New Roman"/>
          <w:szCs w:val="24"/>
        </w:rPr>
        <w:t xml:space="preserve"> (figure S5)</w:t>
      </w:r>
      <w:r w:rsidR="008F5848" w:rsidRPr="00CB6923">
        <w:rPr>
          <w:rFonts w:ascii="Times New Roman" w:hAnsi="Times New Roman"/>
          <w:szCs w:val="24"/>
        </w:rPr>
        <w:t>,</w:t>
      </w:r>
      <w:r w:rsidR="00586C46" w:rsidRPr="00CB6923">
        <w:rPr>
          <w:rFonts w:ascii="Times New Roman" w:hAnsi="Times New Roman"/>
          <w:szCs w:val="24"/>
        </w:rPr>
        <w:t xml:space="preserve"> </w:t>
      </w:r>
      <w:r w:rsidRPr="00CB6923">
        <w:rPr>
          <w:rFonts w:ascii="Times New Roman" w:hAnsi="Times New Roman"/>
          <w:szCs w:val="24"/>
        </w:rPr>
        <w:t xml:space="preserve">which is comparable with literature values, ~3 </w:t>
      </w:r>
      <m:oMath>
        <m:r>
          <w:rPr>
            <w:rFonts w:ascii="Cambria Math" w:hAnsi="Cambria Math"/>
            <w:szCs w:val="24"/>
          </w:rPr>
          <m:t>×</m:t>
        </m:r>
      </m:oMath>
      <w:r w:rsidRPr="00CB6923">
        <w:rPr>
          <w:rFonts w:ascii="Times New Roman" w:hAnsi="Times New Roman"/>
          <w:szCs w:val="24"/>
        </w:rPr>
        <w:t>10</w:t>
      </w:r>
      <w:r w:rsidRPr="00CB6923">
        <w:rPr>
          <w:rFonts w:ascii="Times New Roman" w:hAnsi="Times New Roman"/>
          <w:szCs w:val="24"/>
          <w:vertAlign w:val="superscript"/>
        </w:rPr>
        <w:t>-3</w:t>
      </w:r>
      <w:r w:rsidRPr="00CB6923">
        <w:rPr>
          <w:rFonts w:ascii="Times New Roman" w:hAnsi="Times New Roman"/>
          <w:szCs w:val="24"/>
        </w:rPr>
        <w:t xml:space="preserve"> </w:t>
      </w:r>
      <w:r w:rsidR="001945C9" w:rsidRPr="00CB6923">
        <w:rPr>
          <w:rFonts w:ascii="Times New Roman" w:hAnsi="Times New Roman"/>
          <w:szCs w:val="24"/>
        </w:rPr>
        <w:t>cm</w:t>
      </w:r>
      <w:r w:rsidR="00B30D12" w:rsidRPr="00CB6923">
        <w:rPr>
          <w:rFonts w:ascii="Times New Roman" w:hAnsi="Times New Roman"/>
          <w:szCs w:val="24"/>
        </w:rPr>
        <w:t xml:space="preserve"> </w:t>
      </w:r>
      <w:r w:rsidR="001945C9" w:rsidRPr="00CB6923">
        <w:rPr>
          <w:rFonts w:ascii="Times New Roman" w:hAnsi="Times New Roman"/>
          <w:szCs w:val="24"/>
        </w:rPr>
        <w:t>s</w:t>
      </w:r>
      <w:r w:rsidR="001945C9" w:rsidRPr="00CB6923">
        <w:rPr>
          <w:rFonts w:ascii="Times New Roman" w:hAnsi="Times New Roman"/>
          <w:szCs w:val="24"/>
          <w:vertAlign w:val="superscript"/>
        </w:rPr>
        <w:t>−1</w:t>
      </w:r>
      <w:r w:rsidRPr="00CB6923">
        <w:rPr>
          <w:rFonts w:ascii="Times New Roman" w:hAnsi="Times New Roman"/>
          <w:szCs w:val="24"/>
        </w:rPr>
        <w:t>,</w:t>
      </w:r>
      <w:r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{"citationItems":[{"id":"ITEM-1","itemData":{"DOI":"10.1038/s41467-018-03204-0","ISSN":"20411723","abstract":"Lithium–oxygen cells, in which lithium peroxide forms in solution rather than on the electrode surface, can sustain relatively high cycling rates but require redox mediators to charge. The mediators are oxidised at the electrode surface and then oxidise lithium peroxide stored in the cathode. The kinetics of lithium peroxide oxidation has received almost no attention and yet is crucial for the operation of the lithium–oxygen cell. It is essential that the molecules oxidise lithium peroxide sufficiently rapidly to sustain fast charging. Here, we investigate the kinetics of lithium peroxide oxidation by several different classes of redox mediators. We show that the reaction is not a simple outer-sphere electron transfer and that the steric structure of the mediator molecule plays an important role. The fastest mediator studied could sustain a charging current of up to 1.9 A cm–2, based on a model for a porous electrode described here.","author":[{"dropping-particle":"","family":"Chen","given":"Yuhui","non-dropping-particle":"","parse-names":false,"suffix":""},{"dropping-particle":"","family":"Gao","given":"Xiangwen","non-dropping-particle":"","parse-names":false,"suffix":""},{"dropping-particle":"","family":"Johnson","given":"Lee R.","non-dropping-particle":"","parse-names":false,"suffix":""},{"dropping-particle":"","family":"Bruce","given":"Peter G.","non-dropping-particle":"","parse-names":false,"suffix":""}],"container-title":"Nature Communications","id":"ITEM-1","issue":"1","issued":{"date-parts":[["2018"]]},"publisher":"Springer US","title":"Kinetics of lithium peroxide oxidation by redox mediators and consequences for the lithium-oxygen cell","type":"article-journal","volume":"9"},"uris":["http://www.mendeley.com/documents/?uuid=ec350401-7ded-4470-94c7-23f02035e7f3"]}],"mendeley":{"formattedCitation":"&lt;sup&gt;40&lt;/sup&gt;","plainTextFormattedCitation":"40","previouslyFormattedCitation":"&lt;sup&gt;40&lt;/sup&gt;"},"properties":{"noteIndex":0},"schema":"https://github.com/citation-style-language/schema/raw/master/csl-citation.json"}</w:instrText>
      </w:r>
      <w:r w:rsidRPr="00CB6923">
        <w:rPr>
          <w:rFonts w:ascii="Times New Roman" w:hAnsi="Times New Roman"/>
          <w:szCs w:val="24"/>
        </w:rPr>
        <w:fldChar w:fldCharType="separate"/>
      </w:r>
      <w:r w:rsidR="009C4068" w:rsidRPr="00CB6923">
        <w:rPr>
          <w:rFonts w:ascii="Times New Roman" w:hAnsi="Times New Roman"/>
          <w:noProof/>
          <w:szCs w:val="24"/>
          <w:vertAlign w:val="superscript"/>
        </w:rPr>
        <w:t>40</w:t>
      </w:r>
      <w:r w:rsidRPr="00CB6923">
        <w:rPr>
          <w:rFonts w:ascii="Times New Roman" w:hAnsi="Times New Roman"/>
          <w:szCs w:val="24"/>
        </w:rPr>
        <w:fldChar w:fldCharType="end"/>
      </w:r>
      <w:r w:rsidRPr="00CB6923">
        <w:rPr>
          <w:rFonts w:ascii="Times New Roman" w:hAnsi="Times New Roman"/>
          <w:szCs w:val="24"/>
        </w:rPr>
        <w:t xml:space="preserve"> while a typical literature value for the diffusion coefficient of TEMPO is D</w:t>
      </w:r>
      <w:r w:rsidRPr="00CB6923">
        <w:rPr>
          <w:rFonts w:ascii="Times New Roman" w:hAnsi="Times New Roman"/>
          <w:szCs w:val="24"/>
          <w:vertAlign w:val="subscript"/>
        </w:rPr>
        <w:t>TEMPO</w:t>
      </w:r>
      <w:r w:rsidRPr="00CB6923">
        <w:rPr>
          <w:rFonts w:ascii="Times New Roman" w:hAnsi="Times New Roman"/>
          <w:szCs w:val="24"/>
        </w:rPr>
        <w:t xml:space="preserve"> ~ 1x10</w:t>
      </w:r>
      <w:r w:rsidRPr="00CB6923">
        <w:rPr>
          <w:rFonts w:ascii="Times New Roman" w:hAnsi="Times New Roman"/>
          <w:szCs w:val="24"/>
          <w:vertAlign w:val="superscript"/>
        </w:rPr>
        <w:t>-5</w:t>
      </w:r>
      <w:r w:rsidRPr="00CB6923">
        <w:rPr>
          <w:rFonts w:ascii="Times New Roman" w:hAnsi="Times New Roman"/>
          <w:szCs w:val="24"/>
        </w:rPr>
        <w:t xml:space="preserve"> cm</w:t>
      </w:r>
      <w:r w:rsidRPr="00CB6923">
        <w:rPr>
          <w:rFonts w:ascii="Times New Roman" w:hAnsi="Times New Roman"/>
          <w:szCs w:val="24"/>
          <w:vertAlign w:val="superscript"/>
        </w:rPr>
        <w:t>2</w:t>
      </w:r>
      <w:r w:rsidR="00B30D12" w:rsidRPr="00CB6923">
        <w:rPr>
          <w:rFonts w:ascii="Times New Roman" w:hAnsi="Times New Roman"/>
          <w:szCs w:val="24"/>
        </w:rPr>
        <w:t xml:space="preserve"> </w:t>
      </w:r>
      <w:r w:rsidRPr="00CB6923">
        <w:rPr>
          <w:rFonts w:ascii="Times New Roman" w:hAnsi="Times New Roman"/>
          <w:szCs w:val="24"/>
        </w:rPr>
        <w:t>s</w:t>
      </w:r>
      <w:r w:rsidRPr="00CB6923">
        <w:rPr>
          <w:rFonts w:ascii="Times New Roman" w:hAnsi="Times New Roman"/>
          <w:szCs w:val="24"/>
          <w:vertAlign w:val="superscript"/>
        </w:rPr>
        <w:t>-1</w:t>
      </w:r>
      <w:r w:rsidR="00685153" w:rsidRPr="00CB6923">
        <w:rPr>
          <w:rFonts w:ascii="Times New Roman" w:hAnsi="Times New Roman"/>
          <w:szCs w:val="24"/>
        </w:rPr>
        <w:t>.</w:t>
      </w:r>
      <w:r w:rsidRPr="00CB6923">
        <w:rPr>
          <w:rFonts w:ascii="Times New Roman" w:hAnsi="Times New Roman"/>
          <w:szCs w:val="24"/>
        </w:rPr>
        <w:fldChar w:fldCharType="begin" w:fldLock="1"/>
      </w:r>
      <w:r w:rsidR="00877DE5" w:rsidRPr="00CB6923">
        <w:rPr>
          <w:rFonts w:ascii="Times New Roman" w:hAnsi="Times New Roman"/>
          <w:szCs w:val="24"/>
        </w:rPr>
        <w:instrText>ADDIN CSL_CITATION {"citationItems":[{"id":"ITEM-1","itemData":{"DOI":"10.1021/ja508400m","ISSN":"15205126","abstract":"Nonaqueous Li-O2 batteries are an intensively studied future energy storage technology because of their high theoretical energy density. However, a number of barriers prevent a practical application, and one of the major challenges is the reduction of the high charge overpotential: Whereas lithium peroxide (Li2O2) is formed during discharge at around 2.7 V (vs Li+/Li), its electrochemical decomposition during the charge process requires potentials up to 4.5 V. This high potential gap leads to a low round-trip efficiency of the cell, and more importantly, the high charge potential causes electrochemical decomposition of other cell constituents. Dissolved oxidation catalysts can act as mobile redox mediators (RM), which enable the oxidation of Li2O2 particles even without a direct electric contact to the positive electrode. Herein we show that the addition of 10 mM TEMPO (2,2,6,6-tetramethylpiperidinyloxyl), homogeneously dissolved in the electrolyte, provides a distinct reduction of the charging potentials by 500 mV. Moreover, TEMPO enables a significant enhancement of the cycling stability leading to a doubling of the cycle life. The efficiency of the TEMPO mediated catalysis was further investigated by a parallel monitoring of the cell pressure, which excludes a considerable contribution of a parasitic shuttle (i.e., internal ionic short circuit) to the anode during cycling. We prove the suitability of TEMPO by a systematic study of the relevant physical and chemical properties, i.e., its (electro)chemical stability, redox potential, diffusion coefficient and the influence on the oxygen solubility. Furthermore, the charging mechanisms of Li-O2 cells with and without TEMPO were compared by combining different electrochemical and analytical techniques.","author":[{"dropping-particle":"","family":"Bergner","given":"Benjamin J.","non-dropping-particle":"","parse-names":false,"suffix":""},{"dropping-particle":"","family":"Schürmann","given":"Adrian","non-dropping-particle":"","parse-names":false,"suffix":""},{"dropping-particle":"","family":"Peppler","given":"Klaus","non-dropping-particle":"","parse-names":false,"suffix":""},{"dropping-particle":"","family":"Garsuch","given":"Arnd","non-dropping-particle":"","parse-names":false,"suffix":""},{"dropping-particle":"","family":"Janek","given":"Jürgen","non-dropping-particle":"","parse-names":false,"suffix":""}],"container-title":"Journal of the American Chemical Society","id":"ITEM-1","issue":"42","issued":{"date-parts":[["2014"]]},"page":"15054-15064","title":"TEMPO: A mobile catalyst for rechargeable Li-O2 batteries","type":"article-journal","volume":"136"},"uris":["http://www.mendeley.com/documents/?uuid=a2897d28-efc5-41ea-b031-0dda3d6ad6d2"]}],"mendeley":{"formattedCitation":"&lt;sup&gt;5&lt;/sup&gt;","plainTextFormattedCitation":"5","previouslyFormattedCitation":"&lt;sup&gt;5&lt;/sup&gt;"},"properties":{"noteIndex":0},"schema":"https://github.com/citation-style-language/schema/raw/master/csl-citation.json"}</w:instrText>
      </w:r>
      <w:r w:rsidRPr="00CB6923">
        <w:rPr>
          <w:rFonts w:ascii="Times New Roman" w:hAnsi="Times New Roman"/>
          <w:szCs w:val="24"/>
        </w:rPr>
        <w:fldChar w:fldCharType="separate"/>
      </w:r>
      <w:r w:rsidR="00877DE5" w:rsidRPr="00CB6923">
        <w:rPr>
          <w:rFonts w:ascii="Times New Roman" w:hAnsi="Times New Roman"/>
          <w:noProof/>
          <w:szCs w:val="24"/>
          <w:vertAlign w:val="superscript"/>
        </w:rPr>
        <w:t>5</w:t>
      </w:r>
      <w:r w:rsidRPr="00CB6923">
        <w:rPr>
          <w:rFonts w:ascii="Times New Roman" w:hAnsi="Times New Roman"/>
          <w:szCs w:val="24"/>
        </w:rPr>
        <w:fldChar w:fldCharType="end"/>
      </w:r>
      <w:r w:rsidR="00941AF3" w:rsidRPr="00CB6923">
        <w:rPr>
          <w:rFonts w:ascii="Times New Roman" w:hAnsi="Times New Roman"/>
          <w:szCs w:val="24"/>
        </w:rPr>
        <w:t xml:space="preserve"> </w:t>
      </w:r>
      <w:r w:rsidR="00685153" w:rsidRPr="00CB6923">
        <w:rPr>
          <w:rFonts w:ascii="Times New Roman" w:hAnsi="Times New Roman"/>
          <w:szCs w:val="24"/>
        </w:rPr>
        <w:t>T</w:t>
      </w:r>
      <w:r w:rsidRPr="00CB6923">
        <w:rPr>
          <w:rFonts w:ascii="Times New Roman" w:hAnsi="Times New Roman"/>
          <w:szCs w:val="24"/>
        </w:rPr>
        <w:t>hus s</w:t>
      </w:r>
      <w:r w:rsidR="00013834" w:rsidRPr="00CB6923">
        <w:rPr>
          <w:rFonts w:ascii="Times New Roman" w:hAnsi="Times New Roman"/>
          <w:szCs w:val="24"/>
        </w:rPr>
        <w:t>imulation</w:t>
      </w:r>
      <w:r w:rsidR="009D2E43" w:rsidRPr="00CB6923">
        <w:rPr>
          <w:rFonts w:ascii="Times New Roman" w:hAnsi="Times New Roman"/>
          <w:szCs w:val="24"/>
        </w:rPr>
        <w:t xml:space="preserve">s were </w:t>
      </w:r>
      <w:r w:rsidR="00AF087B" w:rsidRPr="00CB6923">
        <w:rPr>
          <w:rFonts w:ascii="Times New Roman" w:hAnsi="Times New Roman"/>
          <w:szCs w:val="24"/>
        </w:rPr>
        <w:t xml:space="preserve">initially </w:t>
      </w:r>
      <w:r w:rsidR="009D2E43" w:rsidRPr="00CB6923">
        <w:rPr>
          <w:rFonts w:ascii="Times New Roman" w:hAnsi="Times New Roman"/>
          <w:szCs w:val="24"/>
        </w:rPr>
        <w:t xml:space="preserve">performed </w:t>
      </w:r>
      <w:r w:rsidR="00013834" w:rsidRPr="00CB6923">
        <w:rPr>
          <w:rFonts w:ascii="Times New Roman" w:hAnsi="Times New Roman"/>
          <w:szCs w:val="24"/>
        </w:rPr>
        <w:t xml:space="preserve">with </w:t>
      </w:r>
      <w:r w:rsidR="0075129C" w:rsidRPr="00CB6923">
        <w:rPr>
          <w:rFonts w:ascii="Times New Roman" w:hAnsi="Times New Roman"/>
          <w:szCs w:val="24"/>
        </w:rPr>
        <w:t>a</w:t>
      </w:r>
      <w:r w:rsidR="00685153" w:rsidRPr="00CB6923">
        <w:rPr>
          <w:rFonts w:ascii="Times New Roman" w:hAnsi="Times New Roman"/>
          <w:szCs w:val="24"/>
        </w:rPr>
        <w:t xml:space="preserve"> </w:t>
      </w:r>
      <w:r w:rsidR="00B00039" w:rsidRPr="00CB6923">
        <w:rPr>
          <w:rFonts w:ascii="Times New Roman" w:hAnsi="Times New Roman"/>
          <w:szCs w:val="24"/>
        </w:rPr>
        <w:t>reaction rate constant:diffusion coefficient</w:t>
      </w:r>
      <w:r w:rsidR="00013834" w:rsidRPr="00CB6923">
        <w:rPr>
          <w:rFonts w:ascii="Times New Roman" w:hAnsi="Times New Roman"/>
          <w:szCs w:val="24"/>
        </w:rPr>
        <w:t xml:space="preserve"> </w:t>
      </w:r>
      <w:r w:rsidR="00B00039" w:rsidRPr="00CB6923">
        <w:rPr>
          <w:rFonts w:ascii="Times New Roman" w:hAnsi="Times New Roman"/>
          <w:szCs w:val="24"/>
        </w:rPr>
        <w:t>of 1:10</w:t>
      </w:r>
      <w:r w:rsidR="00B00039" w:rsidRPr="00CB6923">
        <w:rPr>
          <w:rFonts w:ascii="Times New Roman" w:hAnsi="Times New Roman"/>
          <w:szCs w:val="24"/>
          <w:vertAlign w:val="superscript"/>
        </w:rPr>
        <w:t>-</w:t>
      </w:r>
      <w:r w:rsidR="00877DE5" w:rsidRPr="00CB6923">
        <w:rPr>
          <w:rFonts w:ascii="Times New Roman" w:hAnsi="Times New Roman"/>
          <w:szCs w:val="24"/>
          <w:vertAlign w:val="superscript"/>
        </w:rPr>
        <w:t>2</w:t>
      </w:r>
      <w:r w:rsidR="00B00039" w:rsidRPr="00CB6923">
        <w:rPr>
          <w:rFonts w:ascii="Times New Roman" w:hAnsi="Times New Roman"/>
          <w:szCs w:val="24"/>
          <w:vertAlign w:val="superscript"/>
        </w:rPr>
        <w:t xml:space="preserve"> </w:t>
      </w:r>
      <w:r w:rsidR="00B00039" w:rsidRPr="00CB6923">
        <w:rPr>
          <w:rFonts w:ascii="Times New Roman" w:hAnsi="Times New Roman"/>
          <w:szCs w:val="24"/>
        </w:rPr>
        <w:t>(figure 3a, b, black dotted trace</w:t>
      </w:r>
      <w:r w:rsidR="0075129C" w:rsidRPr="00CB6923">
        <w:rPr>
          <w:rFonts w:ascii="Times New Roman" w:hAnsi="Times New Roman"/>
          <w:szCs w:val="24"/>
        </w:rPr>
        <w:t>).</w:t>
      </w:r>
      <w:r w:rsidR="00941AF3" w:rsidRPr="00CB6923">
        <w:rPr>
          <w:rFonts w:ascii="Times New Roman" w:hAnsi="Times New Roman"/>
          <w:szCs w:val="24"/>
        </w:rPr>
        <w:t xml:space="preserve"> </w:t>
      </w:r>
      <w:r w:rsidR="0075129C" w:rsidRPr="00CB6923">
        <w:rPr>
          <w:rFonts w:ascii="Times New Roman" w:hAnsi="Times New Roman"/>
          <w:szCs w:val="24"/>
        </w:rPr>
        <w:t>Figure 3a and b, respectively, show the TEMPO and TEMPO</w:t>
      </w:r>
      <w:r w:rsidR="0075129C" w:rsidRPr="00CB6923">
        <w:rPr>
          <w:rFonts w:ascii="Times New Roman" w:hAnsi="Times New Roman"/>
          <w:szCs w:val="24"/>
          <w:vertAlign w:val="superscript"/>
        </w:rPr>
        <w:t>+</w:t>
      </w:r>
      <w:r w:rsidR="0075129C" w:rsidRPr="00CB6923">
        <w:rPr>
          <w:rFonts w:ascii="Times New Roman" w:hAnsi="Times New Roman"/>
          <w:szCs w:val="24"/>
        </w:rPr>
        <w:t xml:space="preserve"> concentrations after 30 </w:t>
      </w:r>
      <w:r w:rsidR="00E005BD" w:rsidRPr="00CB6923">
        <w:rPr>
          <w:rFonts w:ascii="Times New Roman" w:hAnsi="Times New Roman"/>
          <w:szCs w:val="24"/>
        </w:rPr>
        <w:t>s</w:t>
      </w:r>
      <w:r w:rsidR="0075129C" w:rsidRPr="00CB6923">
        <w:rPr>
          <w:rFonts w:ascii="Times New Roman" w:hAnsi="Times New Roman"/>
          <w:szCs w:val="24"/>
        </w:rPr>
        <w:t xml:space="preserve"> of constant voltage oxidation.</w:t>
      </w:r>
      <w:r w:rsidR="00941AF3" w:rsidRPr="00CB6923">
        <w:rPr>
          <w:rFonts w:ascii="Times New Roman" w:hAnsi="Times New Roman"/>
          <w:szCs w:val="24"/>
        </w:rPr>
        <w:t xml:space="preserve"> </w:t>
      </w:r>
      <w:r w:rsidR="00EF4C27" w:rsidRPr="00CB6923">
        <w:rPr>
          <w:rFonts w:ascii="Times New Roman" w:hAnsi="Times New Roman"/>
          <w:szCs w:val="24"/>
        </w:rPr>
        <w:t>U</w:t>
      </w:r>
      <w:r w:rsidRPr="00CB6923">
        <w:rPr>
          <w:rFonts w:ascii="Times New Roman" w:hAnsi="Times New Roman"/>
          <w:szCs w:val="24"/>
        </w:rPr>
        <w:t xml:space="preserve">nder these </w:t>
      </w:r>
      <w:r w:rsidR="00EF4C27" w:rsidRPr="00CB6923">
        <w:rPr>
          <w:rFonts w:ascii="Times New Roman" w:hAnsi="Times New Roman"/>
          <w:szCs w:val="24"/>
        </w:rPr>
        <w:t xml:space="preserve">simulations </w:t>
      </w:r>
      <w:r w:rsidRPr="00CB6923">
        <w:rPr>
          <w:rFonts w:ascii="Times New Roman" w:hAnsi="Times New Roman"/>
          <w:szCs w:val="24"/>
        </w:rPr>
        <w:t xml:space="preserve">conditions </w:t>
      </w:r>
      <w:r w:rsidR="00013834" w:rsidRPr="00CB6923">
        <w:rPr>
          <w:rFonts w:ascii="Times New Roman" w:hAnsi="Times New Roman"/>
          <w:szCs w:val="24"/>
        </w:rPr>
        <w:t>almost no transport of TEMPO from the bulk into the cathode or TEMPO</w:t>
      </w:r>
      <w:r w:rsidR="00013834" w:rsidRPr="00CB6923">
        <w:rPr>
          <w:rFonts w:ascii="Times New Roman" w:hAnsi="Times New Roman"/>
          <w:szCs w:val="24"/>
          <w:vertAlign w:val="superscript"/>
        </w:rPr>
        <w:t>+</w:t>
      </w:r>
      <w:r w:rsidR="00013834" w:rsidRPr="00CB6923">
        <w:rPr>
          <w:rFonts w:ascii="Times New Roman" w:hAnsi="Times New Roman"/>
          <w:szCs w:val="24"/>
        </w:rPr>
        <w:t xml:space="preserve"> from the cathode into the electrolyte is observed.</w:t>
      </w:r>
      <w:r w:rsidR="00457E16" w:rsidRPr="00CB6923">
        <w:rPr>
          <w:rFonts w:ascii="Times New Roman" w:hAnsi="Times New Roman"/>
          <w:szCs w:val="24"/>
        </w:rPr>
        <w:t xml:space="preserve"> </w:t>
      </w:r>
      <w:r w:rsidR="009D2E43" w:rsidRPr="00CB6923">
        <w:rPr>
          <w:rFonts w:ascii="Times New Roman" w:hAnsi="Times New Roman"/>
          <w:szCs w:val="24"/>
        </w:rPr>
        <w:t>Furthermore, v</w:t>
      </w:r>
      <w:r w:rsidR="00457E16" w:rsidRPr="00CB6923">
        <w:rPr>
          <w:rFonts w:ascii="Times New Roman" w:hAnsi="Times New Roman"/>
          <w:szCs w:val="24"/>
        </w:rPr>
        <w:t>ery little TEMPO</w:t>
      </w:r>
      <w:r w:rsidR="00457E16" w:rsidRPr="00CB6923">
        <w:rPr>
          <w:rFonts w:ascii="Times New Roman" w:hAnsi="Times New Roman"/>
          <w:szCs w:val="24"/>
          <w:vertAlign w:val="superscript"/>
        </w:rPr>
        <w:t>+</w:t>
      </w:r>
      <w:r w:rsidR="00457E16" w:rsidRPr="00CB6923">
        <w:rPr>
          <w:rFonts w:ascii="Times New Roman" w:hAnsi="Times New Roman"/>
          <w:szCs w:val="24"/>
        </w:rPr>
        <w:t xml:space="preserve"> reac</w:t>
      </w:r>
      <w:r w:rsidR="009D2E43" w:rsidRPr="00CB6923">
        <w:rPr>
          <w:rFonts w:ascii="Times New Roman" w:hAnsi="Times New Roman"/>
          <w:szCs w:val="24"/>
        </w:rPr>
        <w:t>hes</w:t>
      </w:r>
      <w:r w:rsidR="00457E16" w:rsidRPr="00CB6923">
        <w:rPr>
          <w:rFonts w:ascii="Times New Roman" w:hAnsi="Times New Roman"/>
          <w:szCs w:val="24"/>
        </w:rPr>
        <w:t xml:space="preserve"> the anode surface</w:t>
      </w:r>
      <w:r w:rsidR="001A0F3E" w:rsidRPr="00CB6923">
        <w:rPr>
          <w:rFonts w:ascii="Times New Roman" w:hAnsi="Times New Roman"/>
          <w:szCs w:val="24"/>
        </w:rPr>
        <w:t xml:space="preserve"> throughout the </w:t>
      </w:r>
      <w:r w:rsidR="009D2E43" w:rsidRPr="00CB6923">
        <w:rPr>
          <w:rFonts w:ascii="Times New Roman" w:hAnsi="Times New Roman"/>
          <w:szCs w:val="24"/>
        </w:rPr>
        <w:t>simulation</w:t>
      </w:r>
      <w:r w:rsidR="00457E16" w:rsidRPr="00CB6923">
        <w:rPr>
          <w:rFonts w:ascii="Times New Roman" w:hAnsi="Times New Roman"/>
          <w:szCs w:val="24"/>
        </w:rPr>
        <w:t xml:space="preserve">, </w:t>
      </w:r>
      <w:r w:rsidR="009D2E43" w:rsidRPr="00CB6923">
        <w:rPr>
          <w:rFonts w:ascii="Times New Roman" w:hAnsi="Times New Roman"/>
          <w:szCs w:val="24"/>
        </w:rPr>
        <w:t xml:space="preserve">as </w:t>
      </w:r>
      <w:r w:rsidR="00457E16" w:rsidRPr="00CB6923">
        <w:rPr>
          <w:rFonts w:ascii="Times New Roman" w:hAnsi="Times New Roman"/>
          <w:szCs w:val="24"/>
        </w:rPr>
        <w:t>shown in figure 3c, black dotted trace.</w:t>
      </w:r>
      <w:r w:rsidR="001A0F3E" w:rsidRPr="00CB6923">
        <w:rPr>
          <w:rFonts w:ascii="Times New Roman" w:hAnsi="Times New Roman"/>
          <w:szCs w:val="24"/>
        </w:rPr>
        <w:t xml:space="preserve"> </w:t>
      </w:r>
      <w:r w:rsidR="005C078B" w:rsidRPr="00CB6923">
        <w:rPr>
          <w:rFonts w:ascii="Times New Roman" w:hAnsi="Times New Roman"/>
          <w:szCs w:val="24"/>
        </w:rPr>
        <w:t>Figure 3d plots the current as a function of time as calculated from the diffusion model, assuming TEMPO redox is the sole contributor to current. Currents were calculated by integrating the number of electrons passed per timestep across the electrode region. Initially, the rapid oxidation of TEMPO species at the cathode results in high currents</w:t>
      </w:r>
      <w:r w:rsidR="00AF087B" w:rsidRPr="00CB6923">
        <w:rPr>
          <w:rFonts w:ascii="Times New Roman" w:hAnsi="Times New Roman"/>
          <w:szCs w:val="24"/>
        </w:rPr>
        <w:t xml:space="preserve"> (figure 3d)</w:t>
      </w:r>
      <w:r w:rsidR="005C078B" w:rsidRPr="00CB6923">
        <w:rPr>
          <w:rFonts w:ascii="Times New Roman" w:hAnsi="Times New Roman"/>
          <w:szCs w:val="24"/>
        </w:rPr>
        <w:t>.</w:t>
      </w:r>
      <w:r w:rsidR="00941AF3" w:rsidRPr="00CB6923">
        <w:rPr>
          <w:rFonts w:ascii="Times New Roman" w:hAnsi="Times New Roman"/>
          <w:szCs w:val="24"/>
        </w:rPr>
        <w:t xml:space="preserve"> </w:t>
      </w:r>
      <w:r w:rsidRPr="00CB6923">
        <w:rPr>
          <w:rFonts w:ascii="Times New Roman" w:hAnsi="Times New Roman"/>
          <w:szCs w:val="24"/>
        </w:rPr>
        <w:t>In contrast to the experimental data of Fig</w:t>
      </w:r>
      <w:r w:rsidR="00AF087B" w:rsidRPr="00CB6923">
        <w:rPr>
          <w:rFonts w:ascii="Times New Roman" w:hAnsi="Times New Roman"/>
          <w:szCs w:val="24"/>
        </w:rPr>
        <w:t xml:space="preserve">ure 2d, but as </w:t>
      </w:r>
      <w:r w:rsidR="001A0F3E" w:rsidRPr="00CB6923">
        <w:rPr>
          <w:rFonts w:ascii="Times New Roman" w:hAnsi="Times New Roman"/>
          <w:szCs w:val="24"/>
        </w:rPr>
        <w:t xml:space="preserve">expected for </w:t>
      </w:r>
      <w:r w:rsidR="00AF087B" w:rsidRPr="00CB6923">
        <w:rPr>
          <w:rFonts w:ascii="Times New Roman" w:hAnsi="Times New Roman"/>
          <w:szCs w:val="24"/>
        </w:rPr>
        <w:t xml:space="preserve">a </w:t>
      </w:r>
      <w:r w:rsidR="001A0F3E" w:rsidRPr="00CB6923">
        <w:rPr>
          <w:rFonts w:ascii="Times New Roman" w:hAnsi="Times New Roman"/>
          <w:szCs w:val="24"/>
        </w:rPr>
        <w:t xml:space="preserve">diffusion-limited regime, the </w:t>
      </w:r>
      <w:r w:rsidR="00AF087B" w:rsidRPr="00CB6923">
        <w:rPr>
          <w:rFonts w:ascii="Times New Roman" w:hAnsi="Times New Roman"/>
          <w:szCs w:val="24"/>
        </w:rPr>
        <w:t xml:space="preserve">calculated </w:t>
      </w:r>
      <w:r w:rsidR="001A0F3E" w:rsidRPr="00CB6923">
        <w:rPr>
          <w:rFonts w:ascii="Times New Roman" w:hAnsi="Times New Roman"/>
          <w:szCs w:val="24"/>
        </w:rPr>
        <w:t>current profile exhibits</w:t>
      </w:r>
      <w:r w:rsidR="00176064" w:rsidRPr="00CB6923">
        <w:rPr>
          <w:rFonts w:ascii="Times New Roman" w:hAnsi="Times New Roman"/>
          <w:szCs w:val="24"/>
        </w:rPr>
        <w:t xml:space="preserve"> a rapid decay to zero, indicating a depletion of TEMPO species at the cathode.</w:t>
      </w:r>
    </w:p>
    <w:p w14:paraId="522A1D67" w14:textId="06DF7FAC" w:rsidR="00026354" w:rsidRPr="00CB6923" w:rsidRDefault="00AF087B" w:rsidP="00EB04F4">
      <w:pPr>
        <w:pStyle w:val="TAMainText"/>
        <w:spacing w:after="240"/>
        <w:ind w:firstLine="720"/>
        <w:jc w:val="left"/>
        <w:rPr>
          <w:rFonts w:ascii="Times New Roman" w:hAnsi="Times New Roman"/>
          <w:szCs w:val="24"/>
        </w:rPr>
      </w:pPr>
      <w:r w:rsidRPr="00CB6923">
        <w:rPr>
          <w:rFonts w:ascii="Times New Roman" w:hAnsi="Times New Roman"/>
          <w:szCs w:val="24"/>
        </w:rPr>
        <w:t>Since these</w:t>
      </w:r>
      <w:r w:rsidR="00176064" w:rsidRPr="00CB6923">
        <w:rPr>
          <w:rFonts w:ascii="Times New Roman" w:hAnsi="Times New Roman"/>
          <w:szCs w:val="24"/>
        </w:rPr>
        <w:t xml:space="preserve"> </w:t>
      </w:r>
      <w:r w:rsidR="00786C87" w:rsidRPr="00CB6923">
        <w:rPr>
          <w:rFonts w:ascii="Times New Roman" w:hAnsi="Times New Roman"/>
          <w:szCs w:val="24"/>
        </w:rPr>
        <w:t>simulations</w:t>
      </w:r>
      <w:r w:rsidR="00176064" w:rsidRPr="00CB6923">
        <w:rPr>
          <w:rFonts w:ascii="Times New Roman" w:hAnsi="Times New Roman"/>
          <w:szCs w:val="24"/>
        </w:rPr>
        <w:t xml:space="preserve"> were unable to reproduce the </w:t>
      </w:r>
      <w:r w:rsidRPr="00CB6923">
        <w:rPr>
          <w:rFonts w:ascii="Times New Roman" w:hAnsi="Times New Roman"/>
          <w:szCs w:val="24"/>
        </w:rPr>
        <w:t>experimentally</w:t>
      </w:r>
      <w:r w:rsidR="005D1728" w:rsidRPr="00CB6923">
        <w:rPr>
          <w:rFonts w:ascii="Times New Roman" w:hAnsi="Times New Roman"/>
          <w:szCs w:val="24"/>
        </w:rPr>
        <w:t xml:space="preserve"> </w:t>
      </w:r>
      <w:r w:rsidRPr="00CB6923">
        <w:rPr>
          <w:rFonts w:ascii="Times New Roman" w:hAnsi="Times New Roman"/>
          <w:szCs w:val="24"/>
        </w:rPr>
        <w:t xml:space="preserve">observed </w:t>
      </w:r>
      <w:r w:rsidR="00176064" w:rsidRPr="00CB6923">
        <w:rPr>
          <w:rFonts w:ascii="Times New Roman" w:hAnsi="Times New Roman"/>
          <w:szCs w:val="24"/>
        </w:rPr>
        <w:t xml:space="preserve">current behaviors and redox shuttling (figure 2d, e), </w:t>
      </w:r>
      <w:r w:rsidR="007818E2" w:rsidRPr="00CB6923">
        <w:rPr>
          <w:rFonts w:ascii="Times New Roman" w:hAnsi="Times New Roman"/>
          <w:szCs w:val="24"/>
        </w:rPr>
        <w:t xml:space="preserve">simulations with </w:t>
      </w:r>
      <w:r w:rsidR="00786C87" w:rsidRPr="00CB6923">
        <w:rPr>
          <w:rFonts w:ascii="Times New Roman" w:hAnsi="Times New Roman"/>
          <w:szCs w:val="24"/>
        </w:rPr>
        <w:t>faster mass transport</w:t>
      </w:r>
      <w:r w:rsidR="007818E2" w:rsidRPr="00CB6923">
        <w:rPr>
          <w:rFonts w:ascii="Times New Roman" w:hAnsi="Times New Roman"/>
          <w:szCs w:val="24"/>
        </w:rPr>
        <w:t xml:space="preserve"> were explored</w:t>
      </w:r>
      <w:r w:rsidR="0075129C" w:rsidRPr="00CB6923">
        <w:rPr>
          <w:rFonts w:ascii="Times New Roman" w:hAnsi="Times New Roman"/>
          <w:szCs w:val="24"/>
        </w:rPr>
        <w:t>.</w:t>
      </w:r>
      <w:r w:rsidR="00941AF3" w:rsidRPr="00CB6923">
        <w:rPr>
          <w:rFonts w:ascii="Times New Roman" w:hAnsi="Times New Roman"/>
          <w:szCs w:val="24"/>
        </w:rPr>
        <w:t xml:space="preserve"> </w:t>
      </w:r>
      <w:r w:rsidR="00402B51" w:rsidRPr="00CB6923">
        <w:rPr>
          <w:rFonts w:ascii="Times New Roman" w:hAnsi="Times New Roman"/>
          <w:szCs w:val="24"/>
        </w:rPr>
        <w:t>Reaction:diffusion</w:t>
      </w:r>
      <w:r w:rsidR="0071051D" w:rsidRPr="00CB6923">
        <w:rPr>
          <w:rFonts w:ascii="Times New Roman" w:hAnsi="Times New Roman"/>
          <w:szCs w:val="24"/>
        </w:rPr>
        <w:t xml:space="preserve"> coefficient</w:t>
      </w:r>
      <w:r w:rsidR="00402B51" w:rsidRPr="00CB6923">
        <w:rPr>
          <w:rFonts w:ascii="Times New Roman" w:hAnsi="Times New Roman"/>
          <w:szCs w:val="24"/>
        </w:rPr>
        <w:t xml:space="preserve"> ratios of 1:0.5, 1:1, and 1:2, were used, corresponding to diffusion constant equal to half, equal and double the reaction rate constant, respectively (figure 3a, b). As expected, </w:t>
      </w:r>
      <w:r w:rsidR="0071051D" w:rsidRPr="00CB6923">
        <w:rPr>
          <w:rFonts w:ascii="Times New Roman" w:hAnsi="Times New Roman"/>
          <w:szCs w:val="24"/>
        </w:rPr>
        <w:t>relatively lower</w:t>
      </w:r>
      <w:r w:rsidR="00402B51" w:rsidRPr="00CB6923">
        <w:rPr>
          <w:rFonts w:ascii="Times New Roman" w:hAnsi="Times New Roman"/>
          <w:szCs w:val="24"/>
        </w:rPr>
        <w:t xml:space="preserve"> diffusion leads to faster depletion of TEMPO in the cathode region (figure 3a</w:t>
      </w:r>
      <w:r w:rsidR="003D6C93" w:rsidRPr="00CB6923">
        <w:rPr>
          <w:rFonts w:ascii="Times New Roman" w:hAnsi="Times New Roman"/>
          <w:szCs w:val="24"/>
        </w:rPr>
        <w:t>,</w:t>
      </w:r>
      <w:r w:rsidR="00402B51" w:rsidRPr="00CB6923">
        <w:rPr>
          <w:rFonts w:ascii="Times New Roman" w:hAnsi="Times New Roman"/>
          <w:szCs w:val="24"/>
        </w:rPr>
        <w:t xml:space="preserve"> blue trace), while at increased diffusion ratios (figure 3a</w:t>
      </w:r>
      <w:r w:rsidR="003D6C93" w:rsidRPr="00CB6923">
        <w:rPr>
          <w:rFonts w:ascii="Times New Roman" w:hAnsi="Times New Roman"/>
          <w:szCs w:val="24"/>
        </w:rPr>
        <w:t>,</w:t>
      </w:r>
      <w:r w:rsidR="00402B51" w:rsidRPr="00CB6923">
        <w:rPr>
          <w:rFonts w:ascii="Times New Roman" w:hAnsi="Times New Roman"/>
          <w:szCs w:val="24"/>
        </w:rPr>
        <w:t xml:space="preserve"> yellow trace), TEMPO from the bulk (separator region) easily replenishes the supply. The TEMPO</w:t>
      </w:r>
      <w:r w:rsidR="00402B51" w:rsidRPr="00CB6923">
        <w:rPr>
          <w:rFonts w:ascii="Times New Roman" w:hAnsi="Times New Roman"/>
          <w:szCs w:val="24"/>
          <w:vertAlign w:val="superscript"/>
        </w:rPr>
        <w:t>+</w:t>
      </w:r>
      <w:r w:rsidR="00402B51" w:rsidRPr="00CB6923">
        <w:rPr>
          <w:rFonts w:ascii="Times New Roman" w:hAnsi="Times New Roman"/>
          <w:szCs w:val="24"/>
        </w:rPr>
        <w:t xml:space="preserve"> formed at </w:t>
      </w:r>
      <w:r w:rsidR="00402B51" w:rsidRPr="00CB6923">
        <w:rPr>
          <w:rFonts w:ascii="Times New Roman" w:hAnsi="Times New Roman"/>
          <w:szCs w:val="24"/>
        </w:rPr>
        <w:lastRenderedPageBreak/>
        <w:t>the cathode also diffuses into the bulk separator region much more efficiently at the higher rate of diffusion (figure 3b</w:t>
      </w:r>
      <w:r w:rsidR="003D6C93" w:rsidRPr="00CB6923">
        <w:rPr>
          <w:rFonts w:ascii="Times New Roman" w:hAnsi="Times New Roman"/>
          <w:szCs w:val="24"/>
        </w:rPr>
        <w:t>,</w:t>
      </w:r>
      <w:r w:rsidR="00402B51" w:rsidRPr="00CB6923">
        <w:rPr>
          <w:rFonts w:ascii="Times New Roman" w:hAnsi="Times New Roman"/>
          <w:szCs w:val="24"/>
        </w:rPr>
        <w:t xml:space="preserve"> yellow trace). </w:t>
      </w:r>
    </w:p>
    <w:p w14:paraId="63DFD7D9" w14:textId="20D840BA" w:rsidR="00EF4C27" w:rsidRPr="00CB6923" w:rsidRDefault="003D6C93" w:rsidP="00C55505">
      <w:pPr>
        <w:pStyle w:val="TAMainText"/>
        <w:spacing w:after="240"/>
        <w:ind w:firstLine="720"/>
        <w:jc w:val="left"/>
      </w:pPr>
      <w:r w:rsidRPr="00CB6923">
        <w:t>Again, increasing the diffusion ratio increases the amount of TEMPO</w:t>
      </w:r>
      <w:r w:rsidRPr="00CB6923">
        <w:rPr>
          <w:vertAlign w:val="superscript"/>
        </w:rPr>
        <w:t>+</w:t>
      </w:r>
      <w:r w:rsidRPr="00CB6923">
        <w:t xml:space="preserve"> that </w:t>
      </w:r>
      <w:r w:rsidR="00D10FA4" w:rsidRPr="00CB6923">
        <w:t>diffused to the anode as a function of time (figure 3c)</w:t>
      </w:r>
      <w:r w:rsidRPr="00CB6923">
        <w:t xml:space="preserve">. After more than 450 </w:t>
      </w:r>
      <w:r w:rsidR="00E005BD" w:rsidRPr="00CB6923">
        <w:t>s</w:t>
      </w:r>
      <w:r w:rsidRPr="00CB6923">
        <w:t>, ~1 mM of TEMPO</w:t>
      </w:r>
      <w:r w:rsidRPr="00CB6923">
        <w:rPr>
          <w:vertAlign w:val="superscript"/>
        </w:rPr>
        <w:t>+</w:t>
      </w:r>
      <w:r w:rsidRPr="00CB6923">
        <w:t xml:space="preserve"> is present at the anode surface for a 1:2 redox to diffusion rate ratio (figure 3c, yellow). </w:t>
      </w:r>
      <w:r w:rsidR="00647B4D" w:rsidRPr="00CB6923">
        <w:t>In the model, all TEMPO</w:t>
      </w:r>
      <w:r w:rsidR="00647B4D" w:rsidRPr="00CB6923">
        <w:rPr>
          <w:vertAlign w:val="superscript"/>
        </w:rPr>
        <w:t>+</w:t>
      </w:r>
      <w:r w:rsidR="00647B4D" w:rsidRPr="00CB6923">
        <w:t xml:space="preserve"> species that have diffused to the anode are subject to self-reduction, due to the overpotential at the anode. </w:t>
      </w:r>
    </w:p>
    <w:p w14:paraId="73858468" w14:textId="2E017542" w:rsidR="00AD6F5D" w:rsidRPr="00CB6923" w:rsidRDefault="00647B4D" w:rsidP="00C55505">
      <w:pPr>
        <w:pStyle w:val="TAMainText"/>
        <w:spacing w:after="240"/>
        <w:ind w:firstLine="720"/>
        <w:jc w:val="left"/>
      </w:pPr>
      <w:r w:rsidRPr="00CB6923">
        <w:t>Initially Li metal anode was first used in the modelling due to its relevance in Li-air batteries.</w:t>
      </w:r>
      <w:r w:rsidR="00941AF3" w:rsidRPr="00CB6923">
        <w:t xml:space="preserve"> </w:t>
      </w:r>
      <w:r w:rsidRPr="00CB6923">
        <w:t>Since the metal has a large reductive potential, the self-reduction rate of TEMPO</w:t>
      </w:r>
      <w:r w:rsidRPr="00CB6923">
        <w:rPr>
          <w:vertAlign w:val="superscript"/>
        </w:rPr>
        <w:t>+</w:t>
      </w:r>
      <w:r w:rsidRPr="00CB6923">
        <w:t xml:space="preserve"> at the anode (in the absence of a passivating layer such as the SEI) is very fast. Furthermore, as the reaction rate constant is proportional to the exponential term (equation 5), the overpotential at the anode results in a reduction rate constant that is several orders of magnitude larger than the oxidation rate constant at the cathode.</w:t>
      </w:r>
      <w:r w:rsidR="00941AF3" w:rsidRPr="00CB6923">
        <w:t xml:space="preserve"> </w:t>
      </w:r>
      <w:r w:rsidRPr="00CB6923">
        <w:t>We note that the overpotential of</w:t>
      </w:r>
      <w:r w:rsidR="00202DEA" w:rsidRPr="00CB6923">
        <w:t xml:space="preserve"> both</w:t>
      </w:r>
      <w:r w:rsidRPr="00CB6923">
        <w:t xml:space="preserve"> Li metal </w:t>
      </w:r>
      <w:r w:rsidR="0011425D" w:rsidRPr="00CB6923">
        <w:rPr>
          <w:rFonts w:ascii="Times New Roman" w:hAnsi="Times New Roman"/>
          <w:szCs w:val="24"/>
        </w:rPr>
        <w:t>(</w:t>
      </w:r>
      <m:oMath>
        <m:sSub>
          <m:sSubPr>
            <m:ctrlPr>
              <w:rPr>
                <w:rFonts w:ascii="Cambria Math" w:hAnsi="Cambria Math"/>
                <w:i/>
                <w:szCs w:val="24"/>
              </w:rPr>
            </m:ctrlPr>
          </m:sSubPr>
          <m:e>
            <m:r>
              <w:rPr>
                <w:rFonts w:ascii="Cambria Math" w:hAnsi="Cambria Math"/>
                <w:szCs w:val="24"/>
              </w:rPr>
              <m:t>η</m:t>
            </m:r>
          </m:e>
          <m:sub>
            <m:sSup>
              <m:sSupPr>
                <m:ctrlPr>
                  <w:rPr>
                    <w:rFonts w:ascii="Cambria Math" w:hAnsi="Cambria Math"/>
                    <w:i/>
                    <w:szCs w:val="24"/>
                  </w:rPr>
                </m:ctrlPr>
              </m:sSupPr>
              <m:e>
                <m:r>
                  <w:rPr>
                    <w:rFonts w:ascii="Cambria Math" w:hAnsi="Cambria Math"/>
                    <w:szCs w:val="24"/>
                  </w:rPr>
                  <m:t>TEMPO/TEMPO</m:t>
                </m:r>
              </m:e>
              <m:sup>
                <m:r>
                  <w:rPr>
                    <w:rFonts w:ascii="Cambria Math" w:hAnsi="Cambria Math"/>
                    <w:szCs w:val="24"/>
                  </w:rPr>
                  <m:t>+</m:t>
                </m:r>
              </m:sup>
            </m:sSup>
          </m:sub>
        </m:sSub>
        <m:r>
          <w:rPr>
            <w:rFonts w:ascii="Cambria Math" w:hAnsi="Cambria Math"/>
            <w:szCs w:val="24"/>
          </w:rPr>
          <m:t>=3.76 V</m:t>
        </m:r>
      </m:oMath>
      <w:r w:rsidR="0011425D" w:rsidRPr="00CB6923">
        <w:rPr>
          <w:rFonts w:ascii="Times New Roman" w:hAnsi="Times New Roman"/>
          <w:szCs w:val="24"/>
        </w:rPr>
        <w:t>) and LFP (</w:t>
      </w:r>
      <m:oMath>
        <m:sSub>
          <m:sSubPr>
            <m:ctrlPr>
              <w:rPr>
                <w:rFonts w:ascii="Cambria Math" w:hAnsi="Cambria Math"/>
                <w:i/>
                <w:szCs w:val="24"/>
              </w:rPr>
            </m:ctrlPr>
          </m:sSubPr>
          <m:e>
            <m:r>
              <w:rPr>
                <w:rFonts w:ascii="Cambria Math" w:hAnsi="Cambria Math"/>
                <w:szCs w:val="24"/>
              </w:rPr>
              <m:t>η</m:t>
            </m:r>
          </m:e>
          <m:sub>
            <m:sSup>
              <m:sSupPr>
                <m:ctrlPr>
                  <w:rPr>
                    <w:rFonts w:ascii="Cambria Math" w:hAnsi="Cambria Math"/>
                    <w:i/>
                    <w:szCs w:val="24"/>
                  </w:rPr>
                </m:ctrlPr>
              </m:sSupPr>
              <m:e>
                <m:r>
                  <w:rPr>
                    <w:rFonts w:ascii="Cambria Math" w:hAnsi="Cambria Math"/>
                    <w:szCs w:val="24"/>
                  </w:rPr>
                  <m:t>TEMPO/TEMPO</m:t>
                </m:r>
              </m:e>
              <m:sup>
                <m:r>
                  <w:rPr>
                    <w:rFonts w:ascii="Cambria Math" w:hAnsi="Cambria Math"/>
                    <w:szCs w:val="24"/>
                  </w:rPr>
                  <m:t>+</m:t>
                </m:r>
              </m:sup>
            </m:sSup>
          </m:sub>
        </m:sSub>
        <m:r>
          <w:rPr>
            <w:rFonts w:ascii="Cambria Math" w:hAnsi="Cambria Math"/>
            <w:szCs w:val="24"/>
          </w:rPr>
          <m:t>=0.31 V</m:t>
        </m:r>
      </m:oMath>
      <w:r w:rsidR="0011425D" w:rsidRPr="00CB6923">
        <w:rPr>
          <w:rFonts w:ascii="Times New Roman" w:hAnsi="Times New Roman"/>
          <w:szCs w:val="24"/>
        </w:rPr>
        <w:t>)</w:t>
      </w:r>
      <w:r w:rsidR="0011425D" w:rsidRPr="00CB6923">
        <w:t xml:space="preserve"> </w:t>
      </w:r>
      <w:r w:rsidRPr="00CB6923">
        <w:t xml:space="preserve">at the anode results in a sufficiently large reaction rate constant (equation 5), </w:t>
      </w:r>
      <w:r w:rsidR="00A22758" w:rsidRPr="00CB6923">
        <w:t xml:space="preserve">leading </w:t>
      </w:r>
      <w:r w:rsidRPr="00CB6923">
        <w:t>to fast reduction of TEMPO</w:t>
      </w:r>
      <w:r w:rsidRPr="00CB6923">
        <w:rPr>
          <w:vertAlign w:val="superscript"/>
        </w:rPr>
        <w:t>+</w:t>
      </w:r>
      <w:r w:rsidRPr="00CB6923">
        <w:t xml:space="preserve"> back to TEMPO. For the timescales and time steps used, varying the choice of anode resulted in </w:t>
      </w:r>
      <w:r w:rsidR="006E359D" w:rsidRPr="00CB6923">
        <w:t xml:space="preserve">essentially </w:t>
      </w:r>
      <w:r w:rsidRPr="00CB6923">
        <w:t>no difference to the simulated results of figure 3, as shown in Figure S7.</w:t>
      </w:r>
    </w:p>
    <w:p w14:paraId="4BE314C6" w14:textId="01249477" w:rsidR="00FE1C40" w:rsidRPr="00CB6923" w:rsidRDefault="006E359D" w:rsidP="00C55505">
      <w:pPr>
        <w:pStyle w:val="TAMainText"/>
        <w:spacing w:after="240"/>
        <w:ind w:firstLine="720"/>
        <w:jc w:val="left"/>
      </w:pPr>
      <w:r w:rsidRPr="00CB6923">
        <w:t xml:space="preserve">In </w:t>
      </w:r>
      <w:r w:rsidR="00A34913" w:rsidRPr="00CB6923">
        <w:t xml:space="preserve">the fast mass transport regime used in the model, the current subsequently plateaus </w:t>
      </w:r>
      <w:r w:rsidR="005C078B" w:rsidRPr="00CB6923">
        <w:t xml:space="preserve">(figure 3d) </w:t>
      </w:r>
      <w:r w:rsidR="00A34913" w:rsidRPr="00CB6923">
        <w:t>rather than decay</w:t>
      </w:r>
      <w:r w:rsidRPr="00CB6923">
        <w:t>ing</w:t>
      </w:r>
      <w:r w:rsidR="00A34913" w:rsidRPr="00CB6923">
        <w:t xml:space="preserve"> to zero</w:t>
      </w:r>
      <w:r w:rsidR="00EF4C27" w:rsidRPr="00CB6923">
        <w:t>,</w:t>
      </w:r>
      <w:r w:rsidR="007B1E3B"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{"citationItems":[{"id":"ITEM-1","itemData":{"author":[{"dropping-particle":"","family":"Bard","given":"Allen J.","non-dropping-particle":"","parse-names":false,"suffix":""},{"dropping-particle":"","family":"Faulkner","given":"Larry R.","non-dropping-particle":"","parse-names":false,"suffix":""}],"edition":"2nd","id":"ITEM-1","issued":{"date-parts":[["2001"]]},"publisher":"John Wiley &amp; Sons, Inc","publisher-place":"New York","title":"Electrochemical Methods: Fundamentals and Applications","type":"book"},"uris":["http://www.mendeley.com/documents/?uuid=e9a80384-a8d7-49e3-98b6-5dd1a3bcc03d"]}],"mendeley":{"formattedCitation":"&lt;sup&gt;39&lt;/sup&gt;","plainTextFormattedCitation":"39","previouslyFormattedCitation":"&lt;sup&gt;39&lt;/sup&gt;"},"properties":{"noteIndex":0},"schema":"https://github.com/citation-style-language/schema/raw/master/csl-citation.json"}</w:instrText>
      </w:r>
      <w:r w:rsidR="007B1E3B" w:rsidRPr="00CB6923">
        <w:rPr>
          <w:rFonts w:ascii="Times New Roman" w:hAnsi="Times New Roman"/>
          <w:szCs w:val="24"/>
        </w:rPr>
        <w:fldChar w:fldCharType="separate"/>
      </w:r>
      <w:r w:rsidR="009C4068" w:rsidRPr="00CB6923">
        <w:rPr>
          <w:rFonts w:ascii="Times New Roman" w:hAnsi="Times New Roman"/>
          <w:noProof/>
          <w:szCs w:val="24"/>
          <w:vertAlign w:val="superscript"/>
        </w:rPr>
        <w:t>39</w:t>
      </w:r>
      <w:r w:rsidR="007B1E3B" w:rsidRPr="00CB6923">
        <w:rPr>
          <w:rFonts w:ascii="Times New Roman" w:hAnsi="Times New Roman"/>
          <w:szCs w:val="24"/>
        </w:rPr>
        <w:fldChar w:fldCharType="end"/>
      </w:r>
      <w:r w:rsidR="00A34913" w:rsidRPr="00CB6923">
        <w:t xml:space="preserve"> </w:t>
      </w:r>
      <w:r w:rsidR="00EF4C27" w:rsidRPr="00CB6923">
        <w:t xml:space="preserve">now </w:t>
      </w:r>
      <w:r w:rsidR="008C554D" w:rsidRPr="00CB6923">
        <w:t xml:space="preserve">consistent with </w:t>
      </w:r>
      <w:r w:rsidR="00BC3467" w:rsidRPr="00CB6923">
        <w:t>the experimental current profile (figure 2d)</w:t>
      </w:r>
      <w:r w:rsidR="00141134" w:rsidRPr="00CB6923">
        <w:t>.</w:t>
      </w:r>
      <w:r w:rsidR="00941AF3" w:rsidRPr="00CB6923">
        <w:t xml:space="preserve"> </w:t>
      </w:r>
      <w:r w:rsidR="00A40A08" w:rsidRPr="00CB6923">
        <w:t xml:space="preserve">Larger diffusion ratios resulted in larger current values at the plateau. The current plateau occurs at lower values in the simulated data (figure 3d) compared to the experimental (figure 2d) due to modeling constraints; the model contains a smaller volume of electrolyte and </w:t>
      </w:r>
      <w:r w:rsidR="00A40A08" w:rsidRPr="00CB6923">
        <w:lastRenderedPageBreak/>
        <w:t xml:space="preserve">therefore </w:t>
      </w:r>
      <w:r w:rsidR="00035042" w:rsidRPr="00CB6923">
        <w:t xml:space="preserve">a smaller </w:t>
      </w:r>
      <w:r w:rsidR="00A40A08" w:rsidRPr="00CB6923">
        <w:t xml:space="preserve">number of redox species. Only electrolyte in the cell is accounted for in the model as opposed to an external electrolyte reservoir, which limits the amount of current that can be sustained in the model. </w:t>
      </w:r>
      <w:r w:rsidR="00BC3467" w:rsidRPr="00CB6923">
        <w:t>The inset in figure 3d shows the fraction of the current at the anode stemming from the self-reduction of TEMPO</w:t>
      </w:r>
      <w:r w:rsidR="00BC3467" w:rsidRPr="00CB6923">
        <w:rPr>
          <w:vertAlign w:val="superscript"/>
        </w:rPr>
        <w:t>+</w:t>
      </w:r>
      <w:r w:rsidR="00BC3467" w:rsidRPr="00CB6923">
        <w:t xml:space="preserve">. At these fast mass transport regimes, redox shuttling contributes to nearly all of the current at the anode by 1800 </w:t>
      </w:r>
      <w:r w:rsidR="001F2AC0" w:rsidRPr="00CB6923">
        <w:t>s</w:t>
      </w:r>
      <w:r w:rsidR="00BC3467" w:rsidRPr="00CB6923">
        <w:t xml:space="preserve">. </w:t>
      </w:r>
      <w:r w:rsidR="00AB17FA" w:rsidRPr="00CB6923">
        <w:t>Again, this is comparable to the radical quantification experiment with in-situ EPR and NMR, where the net oxidation of TEMPO to TEMPO</w:t>
      </w:r>
      <w:r w:rsidR="00AB17FA" w:rsidRPr="00CB6923">
        <w:rPr>
          <w:vertAlign w:val="superscript"/>
        </w:rPr>
        <w:t>+</w:t>
      </w:r>
      <w:r w:rsidR="00AB17FA" w:rsidRPr="00CB6923">
        <w:t xml:space="preserve"> is limited by significant reduction of TEMPO</w:t>
      </w:r>
      <w:r w:rsidR="00AB17FA" w:rsidRPr="00CB6923">
        <w:rPr>
          <w:vertAlign w:val="superscript"/>
        </w:rPr>
        <w:t>+</w:t>
      </w:r>
      <w:r w:rsidR="00AB17FA" w:rsidRPr="00CB6923">
        <w:t xml:space="preserve"> at the anode.</w:t>
      </w:r>
    </w:p>
    <w:p w14:paraId="35AD30E9" w14:textId="39C8DC82" w:rsidR="00A34913" w:rsidRPr="00CB6923" w:rsidRDefault="00984EF7" w:rsidP="00C55505">
      <w:pPr>
        <w:pStyle w:val="TAMainText"/>
        <w:spacing w:after="240"/>
        <w:ind w:firstLine="720"/>
        <w:jc w:val="left"/>
      </w:pPr>
      <w:r w:rsidRPr="00CB6923">
        <w:t xml:space="preserve">A 2D computational model was also </w:t>
      </w:r>
      <w:r w:rsidR="00AC2298" w:rsidRPr="00CB6923">
        <w:t>developed</w:t>
      </w:r>
      <w:r w:rsidRPr="00CB6923">
        <w:t xml:space="preserve"> for this system</w:t>
      </w:r>
      <w:r w:rsidR="006B2C57" w:rsidRPr="00CB6923">
        <w:t>.</w:t>
      </w:r>
      <w:r w:rsidR="00AC2298" w:rsidRPr="00CB6923">
        <w:t xml:space="preserve"> </w:t>
      </w:r>
      <w:r w:rsidR="006B2C57" w:rsidRPr="00CB6923">
        <w:t>First, a</w:t>
      </w:r>
      <w:r w:rsidR="00492B7B" w:rsidRPr="00CB6923">
        <w:t xml:space="preserve"> flow field </w:t>
      </w:r>
      <w:r w:rsidR="006B2C57" w:rsidRPr="00CB6923">
        <w:t>was set up over the computational domain, where</w:t>
      </w:r>
      <w:r w:rsidR="001173A7" w:rsidRPr="00CB6923">
        <w:t xml:space="preserve"> electrolyte </w:t>
      </w:r>
      <w:r w:rsidR="006B2C57" w:rsidRPr="00CB6923">
        <w:t xml:space="preserve">flows in via an </w:t>
      </w:r>
      <w:r w:rsidR="001173A7" w:rsidRPr="00CB6923">
        <w:t>inlet</w:t>
      </w:r>
      <w:r w:rsidR="006B2C57" w:rsidRPr="00CB6923">
        <w:t xml:space="preserve">, flows through the cell, </w:t>
      </w:r>
      <w:r w:rsidR="00A21108" w:rsidRPr="00CB6923">
        <w:t xml:space="preserve">and </w:t>
      </w:r>
      <w:r w:rsidR="006B2C57" w:rsidRPr="00CB6923">
        <w:t xml:space="preserve">then out via an </w:t>
      </w:r>
      <w:r w:rsidR="001173A7" w:rsidRPr="00CB6923">
        <w:t xml:space="preserve">outlet </w:t>
      </w:r>
      <w:r w:rsidR="002A35D0" w:rsidRPr="00CB6923">
        <w:t>(figure S</w:t>
      </w:r>
      <w:r w:rsidR="00107F58" w:rsidRPr="00CB6923">
        <w:t>9</w:t>
      </w:r>
      <w:r w:rsidR="002A35D0" w:rsidRPr="00CB6923">
        <w:t>)</w:t>
      </w:r>
      <w:r w:rsidR="001C7644" w:rsidRPr="00CB6923">
        <w:t>.</w:t>
      </w:r>
      <w:r w:rsidR="00737675" w:rsidRPr="00CB6923">
        <w:fldChar w:fldCharType="begin" w:fldLock="1"/>
      </w:r>
      <w:r w:rsidR="00737675" w:rsidRPr="00CB6923">
        <w:instrText>ADDIN CSL_CITATION {"citationItems":[{"id":"ITEM-1","itemData":{"DOI":"10.1023/A:1003867012551","ISSN":"0021891X","abstract":"A simple mathematical model is developed to investigate the superiority of the interdigitated flow field design over the conventional one, especially in terms of maximum power density. Darcy's equation for porous media and the standard diffusion equation with effective diffusivity are used in the gas diffuser, and a coupled boundary condition given by the Butler-Volmer equation is used at the catalyst layer interface. The performance of PEM fuel cells with a conventional flow field and an interdigitated flow field is studied with other appropriate boundary conditions. The theoretical results show that the limiting current density of a fuel cell with an interdigitated flow field is about three times the current density of a fuel cell with a conventional flow field. The results also demonstrate that the interdigitated flow field design can double the maximum power density of a PEM fuel cell. The modelling results compared well with experimental data in the literature.","author":[{"dropping-particle":"","family":"Kazim","given":"A.","non-dropping-particle":"","parse-names":false,"suffix":""},{"dropping-particle":"","family":"Liu","given":"H. T.","non-dropping-particle":"","parse-names":false,"suffix":""},{"dropping-particle":"","family":"Forges","given":"P.","non-dropping-particle":"","parse-names":false,"suffix":""}],"container-title":"Journal of Applied Electrochemistry","id":"ITEM-1","issue":"12","issued":{"date-parts":[["1999"]]},"page":"1409-1416","title":"Modelling of performance of PEM fuel cells with conventional and interdigitated flow fields","type":"article-journal","volume":"29"},"uris":["http://www.mendeley.com/documents/?uuid=e2554329-8be3-4f7c-906d-ac24ddac8fbd"]}],"mendeley":{"formattedCitation":"&lt;sup&gt;41&lt;/sup&gt;","plainTextFormattedCitation":"41","previouslyFormattedCitation":"&lt;sup&gt;41&lt;/sup&gt;"},"properties":{"noteIndex":0},"schema":"https://github.com/citation-style-language/schema/raw/master/csl-citation.json"}</w:instrText>
      </w:r>
      <w:r w:rsidR="00737675" w:rsidRPr="00CB6923">
        <w:fldChar w:fldCharType="separate"/>
      </w:r>
      <w:r w:rsidR="00737675" w:rsidRPr="00CB6923">
        <w:rPr>
          <w:noProof/>
          <w:vertAlign w:val="superscript"/>
        </w:rPr>
        <w:t>41</w:t>
      </w:r>
      <w:r w:rsidR="00737675" w:rsidRPr="00CB6923">
        <w:fldChar w:fldCharType="end"/>
      </w:r>
      <w:r w:rsidR="001C7644" w:rsidRPr="00CB6923">
        <w:t xml:space="preserve"> </w:t>
      </w:r>
      <w:r w:rsidR="00492B7B" w:rsidRPr="00CB6923">
        <w:t>The mass transport of TEMPO and TEMPO</w:t>
      </w:r>
      <w:r w:rsidR="00492B7B" w:rsidRPr="00CB6923">
        <w:rPr>
          <w:vertAlign w:val="superscript"/>
        </w:rPr>
        <w:t>+</w:t>
      </w:r>
      <w:r w:rsidR="00492B7B" w:rsidRPr="00CB6923">
        <w:t xml:space="preserve"> is then determined using </w:t>
      </w:r>
      <w:r w:rsidR="00E04B46" w:rsidRPr="00CB6923">
        <w:t>a</w:t>
      </w:r>
      <w:r w:rsidR="00492B7B" w:rsidRPr="00CB6923">
        <w:t xml:space="preserve"> convection-diffusion equation</w:t>
      </w:r>
      <w:r w:rsidR="00D35238" w:rsidRPr="00CB6923">
        <w:t xml:space="preserve"> </w:t>
      </w:r>
      <w:r w:rsidR="00180CE9" w:rsidRPr="00CB6923">
        <w:t>(</w:t>
      </w:r>
      <w:r w:rsidR="00A339C2" w:rsidRPr="00CB6923">
        <w:t>Equation 7</w:t>
      </w:r>
      <w:r w:rsidR="00180CE9" w:rsidRPr="00CB6923">
        <w:t>)</w:t>
      </w:r>
      <w:r w:rsidR="00A339C2" w:rsidRPr="00CB6923">
        <w:t>, which includes both flow and diffusion</w:t>
      </w:r>
      <w:r w:rsidR="00492B7B" w:rsidRPr="00CB6923">
        <w:t>.</w:t>
      </w:r>
      <w:r w:rsidR="00E04B46" w:rsidRPr="00CB6923">
        <w:fldChar w:fldCharType="begin" w:fldLock="1"/>
      </w:r>
      <w:r w:rsidR="00737675" w:rsidRPr="00CB6923">
        <w:instrText>ADDIN CSL_CITATION {"citationItems":[{"id":"ITEM-1","itemData":{"DOI":"10.1149/2.017209jes","ISSN":"0013-4651","abstract":"This paper presents a 2-D transient, isothermal model of a vanadium redox flow battery that can predict the species crossover and related capacity loss during operation. The model incorporates the species transport across the membrane due to convection, diffusion, and migration, and accounts for the transfer of water between the half-cells to capture the change in electrolyte volume. The model also accounts for the side reactions and associated changes in species concentration in each half-cell due to vanadium crossover. A set of boundary conditions based on the conservations of flux and current are incorporated at the electrolyte|membrane interfaces to account for the steep gradients in concentration and potential at these interfaces. In addition, the present model further improves upon the accuracy of existing models by incorporating a more complete version of the Nernst equation, which enables accurate prediction of the cell potential without the use of a fitting voltage. A direct comparison of the model predictions with experimental data shows that the model accurately predicts the measured voltage of a single charge/discharge cycle with an average error of 1.83%, and estimates the capacity loss of a 45 cycle experiment with an average error of 4.2%. The vanadium redox flow battery (VRFB) is an emerging energy storage technology that offers unique solutions for smart grid appli-cations, such as renewable energy storage, peak shaving, and electric utility load leveling. In these systems, liquid electrolytes are stored in external tanks and circulated through a cell stack, where the energy conversion process occurs due to electrochemical reduction-oxidation reactions. These reactions occur on porous graphite felt electrodes which are separated by an ion exchange membrane. The role of the membrane is to keep the solutions separate while allowing for the transfer of H + protons to maintain electroneutrality in the electrolytes. The key advantage of the VRFB is the that energy storage and power generation are decoupled, such that the energy storage capacity is de-termined by the volume of the external tanks, and the power rating is determined by the geometry and number of the electrochemical cells. Among the flow battery types, the VRFB distinguishes itself by using different oxidation states of the same vanadium element in the redox reactions. 1 During charge/discharge of a VRFB, the redox reactions occur simultaneously in both half-cells as follows: V …","author":[{"dropping-particle":"","family":"Knehr","given":"K. W.","non-dropping-particle":"","parse-names":false,"suffix":""},{"dropping-particle":"","family":"Agar","given":"Ertan","non-dropping-particle":"","parse-names":false,"suffix":""},{"dropping-particle":"","family":"Dennison","given":"C. R.","non-dropping-particle":"","parse-names":false,"suffix":""},{"dropping-particle":"","family":"Kalidindi","given":"A. R.","non-dropping-particle":"","parse-names":false,"suffix":""},{"dropping-particle":"","family":"Kumbur","given":"E. C.","non-dropping-particle":"","parse-names":false,"suffix":""}],"container-title":"Journal of The Electrochemical Society","id":"ITEM-1","issue":"9","issued":{"date-parts":[["2012"]]},"page":"A1446-A1459","title":"A Transient Vanadium Flow Battery Model Incorporating Vanadium Crossover and Water Transport through the Membrane","type":"article-journal","volume":"159"},"uris":["http://www.mendeley.com/documents/?uuid=6f7d5fac-c4ae-4099-a425-4c742eb9776a"]}],"mendeley":{"formattedCitation":"&lt;sup&gt;42&lt;/sup&gt;","plainTextFormattedCitation":"42","previouslyFormattedCitation":"&lt;sup&gt;42&lt;/sup&gt;"},"properties":{"noteIndex":0},"schema":"https://github.com/citation-style-language/schema/raw/master/csl-citation.json"}</w:instrText>
      </w:r>
      <w:r w:rsidR="00E04B46" w:rsidRPr="00CB6923">
        <w:fldChar w:fldCharType="separate"/>
      </w:r>
      <w:r w:rsidR="00737675" w:rsidRPr="00CB6923">
        <w:rPr>
          <w:noProof/>
          <w:vertAlign w:val="superscript"/>
        </w:rPr>
        <w:t>42</w:t>
      </w:r>
      <w:r w:rsidR="00E04B46" w:rsidRPr="00CB6923">
        <w:fldChar w:fldCharType="end"/>
      </w:r>
      <w:r w:rsidR="00492B7B" w:rsidRPr="00CB6923">
        <w:t xml:space="preserve"> </w:t>
      </w:r>
      <w:r w:rsidR="00C60362" w:rsidRPr="00CB6923">
        <w:t xml:space="preserve">Details for the model description can be found in the SI. </w:t>
      </w:r>
      <w:r w:rsidR="002A498F" w:rsidRPr="00CB6923">
        <w:t xml:space="preserve">The concentration profiles and simulated current vs time calculated using the 2D model show </w:t>
      </w:r>
      <w:r w:rsidR="006748BD" w:rsidRPr="00CB6923">
        <w:t>the same</w:t>
      </w:r>
      <w:r w:rsidR="002A498F" w:rsidRPr="00CB6923">
        <w:t xml:space="preserve"> trends to the 1D model</w:t>
      </w:r>
      <w:r w:rsidR="00DD07ED" w:rsidRPr="00CB6923">
        <w:t>: a</w:t>
      </w:r>
      <w:r w:rsidR="00981F36" w:rsidRPr="00CB6923">
        <w:t>t higher flow rates</w:t>
      </w:r>
      <w:r w:rsidR="002A498F" w:rsidRPr="00CB6923">
        <w:t xml:space="preserve">, </w:t>
      </w:r>
      <w:r w:rsidR="00981F36" w:rsidRPr="00CB6923">
        <w:t xml:space="preserve">TEMPO from the bulk </w:t>
      </w:r>
      <w:r w:rsidR="00EC5B4E" w:rsidRPr="00CB6923">
        <w:t>electrolyte reaches the cathode more readily</w:t>
      </w:r>
      <w:r w:rsidR="001A7BD2" w:rsidRPr="00CB6923">
        <w:t>, enabling higher concentrations of TEMPO</w:t>
      </w:r>
      <w:r w:rsidR="001A7BD2" w:rsidRPr="00CB6923">
        <w:rPr>
          <w:vertAlign w:val="superscript"/>
        </w:rPr>
        <w:t>+</w:t>
      </w:r>
      <w:r w:rsidR="001A7BD2" w:rsidRPr="00CB6923">
        <w:t xml:space="preserve"> to form</w:t>
      </w:r>
      <w:r w:rsidR="00CD6BC4" w:rsidRPr="00CB6923">
        <w:t xml:space="preserve"> (figures S</w:t>
      </w:r>
      <w:r w:rsidR="00107F58" w:rsidRPr="00CB6923">
        <w:t>10</w:t>
      </w:r>
      <w:r w:rsidR="00CD6BC4" w:rsidRPr="00CB6923">
        <w:t>-S</w:t>
      </w:r>
      <w:r w:rsidR="002D04BC" w:rsidRPr="00CB6923">
        <w:t>1</w:t>
      </w:r>
      <w:r w:rsidR="00107F58" w:rsidRPr="00CB6923">
        <w:t>3</w:t>
      </w:r>
      <w:r w:rsidR="00CD6BC4" w:rsidRPr="00CB6923">
        <w:t>)</w:t>
      </w:r>
      <w:r w:rsidR="00EC5B4E" w:rsidRPr="00CB6923">
        <w:t xml:space="preserve">. </w:t>
      </w:r>
      <w:r w:rsidR="00B25EE3" w:rsidRPr="00CB6923">
        <w:t>In the</w:t>
      </w:r>
      <w:r w:rsidR="00737D6B" w:rsidRPr="00CB6923">
        <w:t xml:space="preserve"> simulated current profiles</w:t>
      </w:r>
      <w:r w:rsidR="005868E2" w:rsidRPr="00CB6923">
        <w:t xml:space="preserve">, increasing the mass transport </w:t>
      </w:r>
      <w:r w:rsidR="005C20EC" w:rsidRPr="00CB6923">
        <w:t xml:space="preserve">also </w:t>
      </w:r>
      <w:r w:rsidR="005868E2" w:rsidRPr="00CB6923">
        <w:t>led to current plateaus</w:t>
      </w:r>
      <w:r w:rsidR="001D1B55" w:rsidRPr="00CB6923">
        <w:t xml:space="preserve"> at larger values</w:t>
      </w:r>
      <w:r w:rsidR="00B25EE3" w:rsidRPr="00CB6923">
        <w:t xml:space="preserve"> </w:t>
      </w:r>
      <w:r w:rsidR="00634A6F" w:rsidRPr="00CB6923">
        <w:t xml:space="preserve">(figure 3e) </w:t>
      </w:r>
      <w:bookmarkStart w:id="3" w:name="_Hlk88050164"/>
      <w:r w:rsidR="000B4F9E" w:rsidRPr="00CB6923">
        <w:t>as well as</w:t>
      </w:r>
      <w:r w:rsidR="00B25EE3" w:rsidRPr="00CB6923">
        <w:t xml:space="preserve"> </w:t>
      </w:r>
      <w:bookmarkStart w:id="4" w:name="_Hlk88064034"/>
      <w:r w:rsidR="00BC1762" w:rsidRPr="00CB6923">
        <w:t>higher crossover and</w:t>
      </w:r>
      <w:bookmarkEnd w:id="4"/>
      <w:r w:rsidR="00BC1762" w:rsidRPr="00CB6923">
        <w:t xml:space="preserve"> </w:t>
      </w:r>
      <w:r w:rsidR="00634A6F" w:rsidRPr="00CB6923">
        <w:t xml:space="preserve">larger </w:t>
      </w:r>
      <w:r w:rsidR="00670EE4" w:rsidRPr="00CB6923">
        <w:t>current</w:t>
      </w:r>
      <w:r w:rsidR="000B4F9E" w:rsidRPr="00CB6923">
        <w:t xml:space="preserve">s </w:t>
      </w:r>
      <w:r w:rsidR="00634A6F" w:rsidRPr="00CB6923">
        <w:t>that</w:t>
      </w:r>
      <w:r w:rsidR="00670EE4" w:rsidRPr="00CB6923">
        <w:t xml:space="preserve"> result</w:t>
      </w:r>
      <w:r w:rsidR="00634A6F" w:rsidRPr="00CB6923">
        <w:t>ed</w:t>
      </w:r>
      <w:r w:rsidR="00670EE4" w:rsidRPr="00CB6923">
        <w:t xml:space="preserve"> </w:t>
      </w:r>
      <w:r w:rsidR="00A21108" w:rsidRPr="00CB6923">
        <w:t xml:space="preserve">from </w:t>
      </w:r>
      <w:r w:rsidR="00670EE4" w:rsidRPr="00CB6923">
        <w:t>TEMPO</w:t>
      </w:r>
      <w:r w:rsidR="00670EE4" w:rsidRPr="00CB6923">
        <w:rPr>
          <w:vertAlign w:val="superscript"/>
        </w:rPr>
        <w:t>+</w:t>
      </w:r>
      <w:r w:rsidR="00670EE4" w:rsidRPr="00CB6923">
        <w:t xml:space="preserve"> </w:t>
      </w:r>
      <w:r w:rsidR="00EB1685" w:rsidRPr="00CB6923">
        <w:t xml:space="preserve">reduction </w:t>
      </w:r>
      <w:r w:rsidR="00670EE4" w:rsidRPr="00CB6923">
        <w:t xml:space="preserve">at the anode </w:t>
      </w:r>
      <w:bookmarkEnd w:id="3"/>
      <w:r w:rsidR="00B25EE3" w:rsidRPr="00CB6923">
        <w:t>(figure S</w:t>
      </w:r>
      <w:r w:rsidR="00176EC8" w:rsidRPr="00CB6923">
        <w:t>1</w:t>
      </w:r>
      <w:r w:rsidR="00107F58" w:rsidRPr="00CB6923">
        <w:t>4</w:t>
      </w:r>
      <w:r w:rsidR="00B25EE3" w:rsidRPr="00CB6923">
        <w:t>)</w:t>
      </w:r>
      <w:r w:rsidR="00670EE4" w:rsidRPr="00CB6923">
        <w:t xml:space="preserve">. </w:t>
      </w:r>
      <w:r w:rsidR="00C35689" w:rsidRPr="00CB6923">
        <w:t>The simulated current using a flow rate of 0.01 cm</w:t>
      </w:r>
      <w:r w:rsidR="00C35689" w:rsidRPr="00CB6923">
        <w:rPr>
          <w:vertAlign w:val="superscript"/>
        </w:rPr>
        <w:t>3</w:t>
      </w:r>
      <w:r w:rsidR="00C35689" w:rsidRPr="00CB6923">
        <w:t xml:space="preserve"> s</w:t>
      </w:r>
      <w:r w:rsidR="00C35689" w:rsidRPr="00CB6923">
        <w:rPr>
          <w:rFonts w:cs="Times"/>
          <w:vertAlign w:val="superscript"/>
        </w:rPr>
        <w:t>−</w:t>
      </w:r>
      <w:r w:rsidR="00C35689" w:rsidRPr="00CB6923">
        <w:rPr>
          <w:vertAlign w:val="superscript"/>
        </w:rPr>
        <w:t>1</w:t>
      </w:r>
      <w:r w:rsidR="00C35689" w:rsidRPr="00CB6923">
        <w:t xml:space="preserve"> </w:t>
      </w:r>
      <w:r w:rsidR="00A21108" w:rsidRPr="00CB6923">
        <w:t xml:space="preserve">is close to the measured </w:t>
      </w:r>
      <w:r w:rsidR="00C35689" w:rsidRPr="00CB6923">
        <w:t>experimental current</w:t>
      </w:r>
      <w:r w:rsidR="00854DDF" w:rsidRPr="00CB6923">
        <w:t>, particularly when the current plateaus</w:t>
      </w:r>
      <w:r w:rsidR="00C35689" w:rsidRPr="00CB6923">
        <w:t xml:space="preserve"> (figure </w:t>
      </w:r>
      <w:r w:rsidR="00231DC7" w:rsidRPr="00CB6923">
        <w:t>3f</w:t>
      </w:r>
      <w:r w:rsidR="00C35689" w:rsidRPr="00CB6923">
        <w:t>), although f</w:t>
      </w:r>
      <w:r w:rsidR="001C7644" w:rsidRPr="00CB6923">
        <w:t xml:space="preserve">urther work improving the accuracy of the 2D model </w:t>
      </w:r>
      <w:r w:rsidR="009C0823" w:rsidRPr="00CB6923">
        <w:t>is still needed</w:t>
      </w:r>
      <w:r w:rsidR="004C38D6" w:rsidRPr="00CB6923">
        <w:t xml:space="preserve">, particularly </w:t>
      </w:r>
      <w:r w:rsidR="00A21108" w:rsidRPr="00CB6923">
        <w:t xml:space="preserve">to </w:t>
      </w:r>
      <w:r w:rsidR="004C38D6" w:rsidRPr="00CB6923">
        <w:t>captur</w:t>
      </w:r>
      <w:r w:rsidR="00A21108" w:rsidRPr="00CB6923">
        <w:t>e</w:t>
      </w:r>
      <w:r w:rsidR="004C38D6" w:rsidRPr="00CB6923">
        <w:t xml:space="preserve"> the experimental exponential current decay</w:t>
      </w:r>
      <w:r w:rsidR="00B21836" w:rsidRPr="00CB6923">
        <w:t xml:space="preserve"> </w:t>
      </w:r>
      <w:r w:rsidR="00A21108" w:rsidRPr="00CB6923">
        <w:t xml:space="preserve">by using </w:t>
      </w:r>
      <w:r w:rsidR="00B21836" w:rsidRPr="00CB6923">
        <w:t>more accurate reaction rates</w:t>
      </w:r>
      <w:r w:rsidR="001C7644" w:rsidRPr="00CB6923">
        <w:t xml:space="preserve">. </w:t>
      </w:r>
    </w:p>
    <w:p w14:paraId="2CFDCA81" w14:textId="30266465" w:rsidR="00FC4328" w:rsidRPr="00CB6923" w:rsidRDefault="00C01CA0" w:rsidP="00C01CA0">
      <w:pPr>
        <w:pStyle w:val="TAMainText"/>
        <w:spacing w:after="240"/>
        <w:ind w:firstLine="0"/>
        <w:jc w:val="left"/>
        <w:rPr>
          <w:i/>
          <w:iCs/>
        </w:rPr>
      </w:pPr>
      <w:r w:rsidRPr="00CB6923">
        <w:rPr>
          <w:i/>
          <w:iCs/>
        </w:rPr>
        <w:t>The 1D crossover model (ii) during constant voltage holds</w:t>
      </w:r>
    </w:p>
    <w:p w14:paraId="4BE650AE" w14:textId="0FF55301" w:rsidR="00C01CA0" w:rsidRPr="00CB6923" w:rsidRDefault="00995B2E" w:rsidP="00C01CA0">
      <w:pPr>
        <w:pStyle w:val="TAMainText"/>
        <w:spacing w:after="240"/>
        <w:ind w:firstLine="0"/>
        <w:jc w:val="left"/>
      </w:pPr>
      <w:r w:rsidRPr="00CB6923">
        <w:rPr>
          <w:noProof/>
        </w:rPr>
        <w:lastRenderedPageBreak/>
        <w:drawing>
          <wp:inline distT="0" distB="0" distL="0" distR="0" wp14:anchorId="2E335279" wp14:editId="517E1691">
            <wp:extent cx="5937250" cy="2463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14:paraId="204BAF78" w14:textId="2C1DC682" w:rsidR="00C01CA0" w:rsidRPr="00CB6923" w:rsidRDefault="00C01CA0" w:rsidP="00C01CA0">
      <w:pPr>
        <w:pStyle w:val="VAFigureCaption"/>
      </w:pPr>
      <w:r w:rsidRPr="00CB6923">
        <w:rPr>
          <w:b/>
          <w:bCs/>
        </w:rPr>
        <w:t>Figure 4</w:t>
      </w:r>
      <w:r w:rsidRPr="00CB6923">
        <w:t>. OCV decay profile varying a) heterogeneous electron transfer coefficients and b) diffusion coefficients.</w:t>
      </w:r>
    </w:p>
    <w:p w14:paraId="473B5ED0" w14:textId="620F3E10" w:rsidR="00C01CA0" w:rsidRPr="00CB6923" w:rsidRDefault="00B51580" w:rsidP="00416C39">
      <w:pPr>
        <w:pStyle w:val="TAMainText"/>
        <w:spacing w:after="240"/>
        <w:ind w:firstLine="720"/>
        <w:jc w:val="left"/>
        <w:rPr>
          <w:rFonts w:ascii="Times New Roman" w:hAnsi="Times New Roman"/>
          <w:szCs w:val="24"/>
        </w:rPr>
      </w:pPr>
      <w:r w:rsidRPr="00CB6923">
        <w:t>Applying the 1D diffusion model to open-circuit-voltage (OCV) behavior also indicates that both the diffusion rate and self-reduction rate affects the voltage decay. The Nernst equation (equation 6) relates the concentration of oxidized and reduced species to deviations from standard potential. As the concentration of TEMPO slowly increases at OCV due to the crossover and self-reduction of TEMPO</w:t>
      </w:r>
      <w:r w:rsidRPr="00CB6923">
        <w:rPr>
          <w:vertAlign w:val="superscript"/>
        </w:rPr>
        <w:t>+</w:t>
      </w:r>
      <w:r w:rsidRPr="00CB6923">
        <w:t>, the equilibrium potential decreases. Increasing the electron transfer rate leads to faster decrease in voltage decay, as expected since TEMPO concentrations will increase more rapidly with faster self-reduction (figure 4a). Slower diffusion rates led to a gentle sloping OCV decay, while faster diffusion rates lead to a steeper decay</w:t>
      </w:r>
      <w:r w:rsidR="00EF4C27" w:rsidRPr="00CB6923">
        <w:t xml:space="preserve"> (figure 4b)</w:t>
      </w:r>
      <w:r w:rsidRPr="00CB6923">
        <w:t xml:space="preserve">. </w:t>
      </w:r>
      <w:bookmarkStart w:id="5" w:name="_Hlk86924368"/>
      <w:r w:rsidRPr="00CB6923">
        <w:t>The</w:t>
      </w:r>
      <w:r w:rsidR="00136FF2" w:rsidRPr="00CB6923">
        <w:t>se general trends and</w:t>
      </w:r>
      <w:r w:rsidRPr="00CB6923">
        <w:t xml:space="preserve"> shape of the initial drop and slower decay in the simulated OCV </w:t>
      </w:r>
      <w:r w:rsidR="00136FF2" w:rsidRPr="00CB6923">
        <w:t>can help explain</w:t>
      </w:r>
      <w:r w:rsidRPr="00CB6923">
        <w:t xml:space="preserve"> the experimental OCV (figure S</w:t>
      </w:r>
      <w:r w:rsidR="003E47BC" w:rsidRPr="00CB6923">
        <w:t>1</w:t>
      </w:r>
      <w:r w:rsidR="0034019B" w:rsidRPr="00CB6923">
        <w:t>5</w:t>
      </w:r>
      <w:r w:rsidRPr="00CB6923">
        <w:t>, figure 4)</w:t>
      </w:r>
      <w:r w:rsidR="008E238B" w:rsidRPr="00CB6923">
        <w:t xml:space="preserve">, where the initial volage drop is related to the fast reaction kinetics, and </w:t>
      </w:r>
      <w:r w:rsidR="00A21108" w:rsidRPr="00CB6923">
        <w:t xml:space="preserve">the </w:t>
      </w:r>
      <w:r w:rsidR="008E238B" w:rsidRPr="00CB6923">
        <w:t>subsequent sloping voltage decay is more closely related to diffusion rates</w:t>
      </w:r>
      <w:r w:rsidRPr="00CB6923">
        <w:t>.</w:t>
      </w:r>
      <w:bookmarkEnd w:id="5"/>
      <w:r w:rsidRPr="00CB6923">
        <w:t xml:space="preserve"> Due to the fast diffusion and the comparatively small volume of electrolyte used in the simulation, however, the OCV decays much faster than in experiment</w:t>
      </w:r>
      <w:r w:rsidR="00035042" w:rsidRPr="00CB6923">
        <w:t>s</w:t>
      </w:r>
      <w:r w:rsidRPr="00CB6923">
        <w:t xml:space="preserve"> </w:t>
      </w:r>
      <w:r w:rsidRPr="00CB6923">
        <w:lastRenderedPageBreak/>
        <w:t xml:space="preserve">(figure S8). These results are in agreement with OCV models for </w:t>
      </w:r>
      <w:r w:rsidR="00403870" w:rsidRPr="00CB6923">
        <w:t xml:space="preserve">vanadium </w:t>
      </w:r>
      <w:r w:rsidRPr="00CB6923">
        <w:t>redox flow batteries, which demonstrate that crossover rates of redox</w:t>
      </w:r>
      <w:r w:rsidR="00035042" w:rsidRPr="00CB6923">
        <w:t>-</w:t>
      </w:r>
      <w:r w:rsidRPr="00CB6923">
        <w:t>active species play an important role in self-discharge extent and rate.</w:t>
      </w:r>
      <w:r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{"citationItems":[{"id":"ITEM-1","itemData":{"DOI":"10.1016/j.est.2019.101109","ISSN":"2352152X","abstract":"Vanadium-redox-flow batteries (VRFB) are the most commercialized flow batteries. Many models are designed to improve several parameters and setups to increase the efficiency or decrease costs. The open circuit voltage (OCV) inside VRFB models is either modelled based on state of charge (SOC) or the vanadium ion concentrations. In both cases a form of the Nernst equation is used to approximate the OCV and feeding the Nernst equation with results from measurements or theory. Measurements to approximate the OCV at a SOC are state of the art. The theoretical input for the Nernst equation still lacks of precision and approaches to increase the precision, were studied in the last decade. Here an empirical approach shows possible improvements to link the measured OCV with the theoretical SOC. The improvements are performed by fitting mathematical functions to the differences between the theoretical and measured data with leas square. This is performed for anion exchange membranes (AEM) with great success. The mean error for the approach of Zlotorowicz et al. [1] is below 1% with a maximum error of 3%. The fitting functions is interpreted as effects influencing the energy conversion processes, like crossover, changes in material characteristics and further side reactions. Fitting the cation exchange membrane (CEM), using the same approach, proves to be more challenging. The mean error is 1.9 to 2.8% with a maximum error of 23%, which shows different approaches might improve CEM based VRFBs. The processes inside a stack with a CEM follow different processes than for AEMs and slight connection to other energy conversion systems with flow cells could be drawn. The temperature dependency shows further influences than defined in by the Nernst equation, for a VRFB. Depending on the approach the temperature shifts the OCV curve along the SOC range or changes all four fitting parameters. The results show possibilities and helps to choose from different approaches of modelling the correlation between ion concentration and SOC for AEM and CEM with temperature influences.","author":[{"dropping-particle":"","family":"Kleinsteinberg","given":"B.","non-dropping-particle":"","parse-names":false,"suffix":""},{"dropping-particle":"","family":"Klick","given":"S.","non-dropping-particle":"","parse-names":false,"suffix":""},{"dropping-particle":"","family":"Sauer","given":"Dirk Uwe","non-dropping-particle":"","parse-names":false,"suffix":""}],"container-title":"Journal of Energy Storage","id":"ITEM-1","issue":"February","issued":{"date-parts":[["2020"]]},"page":"101109","publisher":"Elsevier","title":"Empirical approach to determine open-circuit voltage of a vanadium-redox-flow battery for models, based on published data for anion-exchange and cation-exchange membranes and temperature dependency","type":"article-journal","volume":"28"},"uris":["http://www.mendeley.com/documents/?uuid=b79dca8f-5332-41f9-bc64-bab7bb5f9426"]}],"mendeley":{"formattedCitation":"&lt;sup&gt;19&lt;/sup&gt;","plainTextFormattedCitation":"19","previouslyFormattedCitation":"&lt;sup&gt;19&lt;/sup&gt;"},"properties":{"noteIndex":0},"schema":"https://github.com/citation-style-language/schema/raw/master/csl-citation.json"}</w:instrText>
      </w:r>
      <w:r w:rsidRPr="00CB6923">
        <w:rPr>
          <w:rFonts w:ascii="Times New Roman" w:hAnsi="Times New Roman"/>
          <w:szCs w:val="24"/>
        </w:rPr>
        <w:fldChar w:fldCharType="separate"/>
      </w:r>
      <w:r w:rsidR="00592AF7" w:rsidRPr="00CB6923">
        <w:rPr>
          <w:rFonts w:ascii="Times New Roman" w:hAnsi="Times New Roman"/>
          <w:noProof/>
          <w:szCs w:val="24"/>
          <w:vertAlign w:val="superscript"/>
        </w:rPr>
        <w:t>19</w:t>
      </w:r>
      <w:r w:rsidRPr="00CB6923">
        <w:rPr>
          <w:rFonts w:ascii="Times New Roman" w:hAnsi="Times New Roman"/>
          <w:szCs w:val="24"/>
        </w:rPr>
        <w:fldChar w:fldCharType="end"/>
      </w:r>
    </w:p>
    <w:p w14:paraId="15EA70BB" w14:textId="44DECA8C" w:rsidR="00C31A96" w:rsidRPr="00CB6923" w:rsidRDefault="00C31A96" w:rsidP="00C31A96">
      <w:pPr>
        <w:pStyle w:val="TAMainText"/>
        <w:spacing w:after="240"/>
        <w:ind w:firstLine="0"/>
        <w:jc w:val="left"/>
        <w:rPr>
          <w:rFonts w:ascii="Times New Roman" w:hAnsi="Times New Roman"/>
          <w:i/>
          <w:iCs/>
          <w:szCs w:val="24"/>
        </w:rPr>
      </w:pPr>
      <w:r w:rsidRPr="00CB6923">
        <w:rPr>
          <w:rFonts w:ascii="Times New Roman" w:hAnsi="Times New Roman"/>
          <w:i/>
          <w:iCs/>
          <w:szCs w:val="24"/>
        </w:rPr>
        <w:t>Effect of Li-Nafion on TEMPO crossover using online NMR and EPR experiments</w:t>
      </w:r>
    </w:p>
    <w:p w14:paraId="64CC85A0" w14:textId="27A23C03" w:rsidR="00C31A96" w:rsidRPr="00CB6923" w:rsidRDefault="00A9141C" w:rsidP="00A9141C">
      <w:pPr>
        <w:pStyle w:val="TAMainText"/>
        <w:spacing w:after="240"/>
        <w:ind w:firstLine="0"/>
        <w:jc w:val="left"/>
        <w:rPr>
          <w:rFonts w:ascii="Times New Roman" w:hAnsi="Times New Roman"/>
          <w:szCs w:val="24"/>
        </w:rPr>
      </w:pPr>
      <w:r w:rsidRPr="00CB6923">
        <w:rPr>
          <w:rFonts w:ascii="Times New Roman" w:hAnsi="Times New Roman"/>
          <w:noProof/>
          <w:szCs w:val="24"/>
        </w:rPr>
        <w:lastRenderedPageBreak/>
        <w:drawing>
          <wp:inline distT="0" distB="0" distL="0" distR="0" wp14:anchorId="14DF5266" wp14:editId="71DD2142">
            <wp:extent cx="5937250" cy="655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6553200"/>
                    </a:xfrm>
                    <a:prstGeom prst="rect">
                      <a:avLst/>
                    </a:prstGeom>
                    <a:noFill/>
                    <a:ln>
                      <a:noFill/>
                    </a:ln>
                  </pic:spPr>
                </pic:pic>
              </a:graphicData>
            </a:graphic>
          </wp:inline>
        </w:drawing>
      </w:r>
      <w:r w:rsidR="00C31A96" w:rsidRPr="00CB6923">
        <w:rPr>
          <w:b/>
          <w:bCs/>
        </w:rPr>
        <w:t>Figure 5</w:t>
      </w:r>
      <w:r w:rsidR="00C31A96" w:rsidRPr="00CB6923">
        <w:t>. a) Schematic of flow cell designed to measure TEMPO crossover in the absence of</w:t>
      </w:r>
      <w:r w:rsidR="00CA3776" w:rsidRPr="00CB6923">
        <w:t xml:space="preserve"> </w:t>
      </w:r>
      <w:r w:rsidR="00C31A96" w:rsidRPr="00CB6923">
        <w:t>electrochemi</w:t>
      </w:r>
      <w:r w:rsidR="007C7540" w:rsidRPr="00CB6923">
        <w:t>cal reactions</w:t>
      </w:r>
      <w:r w:rsidR="00C31A96" w:rsidRPr="00CB6923">
        <w:t xml:space="preserve">, with electrolyte reservoirs containing TEMPO in diglyme on one side and diglyme reservoir on the other. The crossover species were measured via online EPR and NMR by monitoring the change in the radical concentrations in the solvent-only reservoir as a </w:t>
      </w:r>
      <w:r w:rsidR="00C31A96" w:rsidRPr="00CB6923">
        <w:lastRenderedPageBreak/>
        <w:t>function of time as shown in (b) for two different membranes, Celgard and Nafion.</w:t>
      </w:r>
      <w:r w:rsidR="00941AF3" w:rsidRPr="00CB6923">
        <w:t xml:space="preserve"> </w:t>
      </w:r>
      <w:r w:rsidR="00C31A96" w:rsidRPr="00CB6923">
        <w:t>The radical concentration was measured by EPR absorption and NMR via the BMS shift.</w:t>
      </w:r>
    </w:p>
    <w:p w14:paraId="5F2826EB" w14:textId="5C3AB061" w:rsidR="00C31A96" w:rsidRPr="00CB6923" w:rsidRDefault="00403870" w:rsidP="00416C39">
      <w:pPr>
        <w:pStyle w:val="TAMainText"/>
        <w:spacing w:after="240"/>
        <w:ind w:firstLine="720"/>
        <w:jc w:val="left"/>
      </w:pPr>
      <w:r w:rsidRPr="00CB6923">
        <w:t>It is clear from both experiment</w:t>
      </w:r>
      <w:r w:rsidR="0016521B" w:rsidRPr="00CB6923">
        <w:t>s</w:t>
      </w:r>
      <w:r w:rsidRPr="00CB6923">
        <w:t xml:space="preserve"> and the simulations that crossover rates are significantly enhanced in flow experiments, motivating simpler experiments, performed</w:t>
      </w:r>
      <w:r w:rsidR="00C31A96" w:rsidRPr="00CB6923">
        <w:t xml:space="preserve"> in the absence of </w:t>
      </w:r>
      <w:r w:rsidRPr="00CB6923">
        <w:t xml:space="preserve">an </w:t>
      </w:r>
      <w:r w:rsidR="00C31A96" w:rsidRPr="00CB6923">
        <w:t>electrochemical reaction</w:t>
      </w:r>
      <w:r w:rsidRPr="00CB6923">
        <w:t xml:space="preserve">, </w:t>
      </w:r>
      <w:r w:rsidR="00C31A96" w:rsidRPr="00CB6923">
        <w:t xml:space="preserve">to compare the </w:t>
      </w:r>
      <w:r w:rsidRPr="00CB6923">
        <w:t xml:space="preserve">efficacies </w:t>
      </w:r>
      <w:r w:rsidR="00C31A96" w:rsidRPr="00CB6923">
        <w:t xml:space="preserve">of Li-Nafion </w:t>
      </w:r>
      <w:r w:rsidRPr="00CB6923">
        <w:t xml:space="preserve">and </w:t>
      </w:r>
      <w:r w:rsidR="00C31A96" w:rsidRPr="00CB6923">
        <w:t>Celgard in mitigating crossover</w:t>
      </w:r>
      <w:r w:rsidRPr="00CB6923">
        <w:t xml:space="preserve"> (</w:t>
      </w:r>
      <w:r w:rsidR="00C31A96" w:rsidRPr="00CB6923">
        <w:t>figure 5a schematic</w:t>
      </w:r>
      <w:r w:rsidRPr="00CB6923">
        <w:t>)</w:t>
      </w:r>
      <w:r w:rsidR="00C31A96" w:rsidRPr="00CB6923">
        <w:t>. In this set-up, a reservoir of TEMPO in diglyme solvent was flowed on one side of the cell, while a reservoir of pure diglyme was flowed on the other side and through the EPR and NMR spectrometers. The concentration of radical species in the pure reservoir was monitored via online EPR and NMR measurements, to track crossover of TEMPO species. Either Celgard or Li-Nafion membranes were used to separate the two sides of the cell. Flow rates used were the same as the electrochemical cell (~</w:t>
      </w:r>
      <w:r w:rsidR="00D333CF" w:rsidRPr="00CB6923">
        <w:t xml:space="preserve"> </w:t>
      </w:r>
      <w:r w:rsidR="00C31A96" w:rsidRPr="00CB6923">
        <w:t>0.06 cm</w:t>
      </w:r>
      <w:r w:rsidR="00C31A96" w:rsidRPr="00CB6923">
        <w:rPr>
          <w:vertAlign w:val="superscript"/>
        </w:rPr>
        <w:t>3</w:t>
      </w:r>
      <w:r w:rsidR="00B30D12" w:rsidRPr="00CB6923">
        <w:rPr>
          <w:rFonts w:cs="Times"/>
        </w:rPr>
        <w:t xml:space="preserve"> </w:t>
      </w:r>
      <w:r w:rsidR="00C31A96" w:rsidRPr="00CB6923">
        <w:t>s</w:t>
      </w:r>
      <w:r w:rsidR="00B62F9E" w:rsidRPr="00CB6923">
        <w:rPr>
          <w:rFonts w:cs="Times"/>
          <w:vertAlign w:val="superscript"/>
        </w:rPr>
        <w:t>−</w:t>
      </w:r>
      <w:r w:rsidR="00B62F9E" w:rsidRPr="00CB6923">
        <w:rPr>
          <w:vertAlign w:val="superscript"/>
        </w:rPr>
        <w:t>1</w:t>
      </w:r>
      <w:r w:rsidR="00C31A96" w:rsidRPr="00CB6923">
        <w:t>, see experimental).</w:t>
      </w:r>
    </w:p>
    <w:p w14:paraId="3F3C6480" w14:textId="070B57AC" w:rsidR="0095570C" w:rsidRPr="00CB6923" w:rsidRDefault="0095570C" w:rsidP="00416C39">
      <w:pPr>
        <w:pStyle w:val="TAMainText"/>
        <w:spacing w:after="240"/>
        <w:ind w:firstLine="720"/>
        <w:jc w:val="left"/>
        <w:rPr>
          <w:rFonts w:ascii="Times New Roman" w:hAnsi="Times New Roman"/>
          <w:szCs w:val="24"/>
        </w:rPr>
      </w:pPr>
      <w:r w:rsidRPr="00CB6923">
        <w:t>When Celgard is used, a sharp increase in radical concentration is detected in the pure solvent side</w:t>
      </w:r>
      <w:r w:rsidR="00F94B37" w:rsidRPr="00CB6923">
        <w:t>, due to a fast crossover of radical species through the porous Celgard membrane.</w:t>
      </w:r>
      <w:r w:rsidR="00941AF3" w:rsidRPr="00CB6923">
        <w:t xml:space="preserve"> </w:t>
      </w:r>
      <w:r w:rsidR="00F94B37" w:rsidRPr="00CB6923">
        <w:t>This is</w:t>
      </w:r>
      <w:r w:rsidRPr="00CB6923">
        <w:t xml:space="preserve"> followed by </w:t>
      </w:r>
      <w:r w:rsidR="00F94B37" w:rsidRPr="00CB6923">
        <w:t xml:space="preserve">a more </w:t>
      </w:r>
      <w:r w:rsidRPr="00CB6923">
        <w:t>gradual increase in concentration (figure 5b, blue and orange trace)</w:t>
      </w:r>
      <w:r w:rsidR="00F94B37" w:rsidRPr="00CB6923">
        <w:t>,</w:t>
      </w:r>
      <w:r w:rsidR="00941AF3" w:rsidRPr="00CB6923">
        <w:t xml:space="preserve"> </w:t>
      </w:r>
      <w:r w:rsidRPr="00CB6923">
        <w:t>caused by a dilution effect, where initially, TEMPO species that cross over the membrane are detected in the EPR and NMR in high concentrations before being diluted when the solution is then pumped into the solvent reservoir</w:t>
      </w:r>
      <w:r w:rsidR="000B4206" w:rsidRPr="00CB6923">
        <w:t xml:space="preserve"> (figure 5a schematic)</w:t>
      </w:r>
      <w:r w:rsidRPr="00CB6923">
        <w:t>.</w:t>
      </w:r>
      <w:r w:rsidR="00941AF3" w:rsidRPr="00CB6923">
        <w:t xml:space="preserve"> </w:t>
      </w:r>
      <w:r w:rsidRPr="00CB6923">
        <w:t xml:space="preserve">When a Li-Nafion membrane is used, </w:t>
      </w:r>
      <w:r w:rsidR="00D917F4" w:rsidRPr="00CB6923">
        <w:t xml:space="preserve">crossover concentrations were much lower than when Celgard is used (figure 5b, yellow and purple trace). </w:t>
      </w:r>
      <w:r w:rsidRPr="00CB6923">
        <w:t xml:space="preserve">The longer delay </w:t>
      </w:r>
      <w:r w:rsidR="000B5987" w:rsidRPr="00CB6923">
        <w:t>before</w:t>
      </w:r>
      <w:r w:rsidRPr="00CB6923">
        <w:t xml:space="preserve"> the detection of TEMPO via EPR and NMR </w:t>
      </w:r>
      <w:r w:rsidR="001468F4" w:rsidRPr="00CB6923">
        <w:t xml:space="preserve">(time = 0-7 h) </w:t>
      </w:r>
      <w:r w:rsidR="005741F3" w:rsidRPr="00CB6923">
        <w:t xml:space="preserve">when using Li-Nafion </w:t>
      </w:r>
      <w:r w:rsidR="001468F4" w:rsidRPr="00CB6923">
        <w:t xml:space="preserve">may </w:t>
      </w:r>
      <w:r w:rsidRPr="00CB6923">
        <w:t xml:space="preserve">be related to slower solvent uptake </w:t>
      </w:r>
      <w:r w:rsidR="00DB3E5B" w:rsidRPr="00CB6923">
        <w:t>within the Li-Nafion</w:t>
      </w:r>
      <w:r w:rsidRPr="00CB6923">
        <w:t xml:space="preserve"> membrane</w:t>
      </w:r>
      <w:r w:rsidR="000820B5" w:rsidRPr="00CB6923">
        <w:t xml:space="preserve"> compared to Celgard</w:t>
      </w:r>
      <w:r w:rsidR="00C722C7" w:rsidRPr="00CB6923">
        <w:t>, despite having soaked the Li-Nafion in solvent prior to assembly</w:t>
      </w:r>
      <w:r w:rsidRPr="00CB6923">
        <w:t xml:space="preserve">. The </w:t>
      </w:r>
      <w:r w:rsidR="003F4347" w:rsidRPr="00CB6923">
        <w:t xml:space="preserve">membrane </w:t>
      </w:r>
      <w:r w:rsidRPr="00CB6923">
        <w:t>wettability and degree of swelling in various non-aqueous solvents strongly affect the effective diffusivity of solution species</w:t>
      </w:r>
      <w:r w:rsidR="007146D1" w:rsidRPr="00CB6923">
        <w:t>,</w:t>
      </w:r>
      <w:r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mendeley":{"formattedCitation":"&lt;sup&gt;23&lt;/sup&gt;","plainTextFormattedCitation":"23","previouslyFormattedCitation":"&lt;sup&gt;23&lt;/sup&gt;"},"properties":{"noteIndex":0},"schema":"https://github.com/citation-style-language/schema/raw/master/csl-citation.json"}</w:instrText>
      </w:r>
      <w:r w:rsidRPr="00CB6923">
        <w:rPr>
          <w:rFonts w:ascii="Times New Roman" w:hAnsi="Times New Roman"/>
          <w:szCs w:val="24"/>
        </w:rPr>
        <w:fldChar w:fldCharType="separate"/>
      </w:r>
      <w:r w:rsidR="00592AF7" w:rsidRPr="00CB6923">
        <w:rPr>
          <w:rFonts w:ascii="Times New Roman" w:hAnsi="Times New Roman"/>
          <w:noProof/>
          <w:szCs w:val="24"/>
          <w:vertAlign w:val="superscript"/>
        </w:rPr>
        <w:t>23</w:t>
      </w:r>
      <w:r w:rsidRPr="00CB6923">
        <w:rPr>
          <w:rFonts w:ascii="Times New Roman" w:hAnsi="Times New Roman"/>
          <w:szCs w:val="24"/>
        </w:rPr>
        <w:fldChar w:fldCharType="end"/>
      </w:r>
      <w:r w:rsidR="007146D1" w:rsidRPr="00CB6923">
        <w:rPr>
          <w:rFonts w:ascii="Times New Roman" w:hAnsi="Times New Roman"/>
          <w:szCs w:val="24"/>
        </w:rPr>
        <w:t xml:space="preserve"> and therefore crossover rates.</w:t>
      </w:r>
      <w:r w:rsidRPr="00CB6923">
        <w:rPr>
          <w:rFonts w:ascii="Times New Roman" w:hAnsi="Times New Roman"/>
          <w:szCs w:val="24"/>
        </w:rPr>
        <w:t xml:space="preserve"> </w:t>
      </w:r>
      <w:r w:rsidR="00306452" w:rsidRPr="00CB6923">
        <w:rPr>
          <w:rFonts w:ascii="Times New Roman" w:hAnsi="Times New Roman"/>
          <w:szCs w:val="24"/>
        </w:rPr>
        <w:t xml:space="preserve">These </w:t>
      </w:r>
      <w:r w:rsidR="00306452" w:rsidRPr="00CB6923">
        <w:rPr>
          <w:rFonts w:ascii="Times New Roman" w:hAnsi="Times New Roman"/>
          <w:szCs w:val="24"/>
        </w:rPr>
        <w:lastRenderedPageBreak/>
        <w:t>experimental results suggest that while Li-Nafion can better prevent crossover of radical species compared to Celgard, it is not a wholly effective membrane at stopping crossover and longer duration experiments</w:t>
      </w:r>
      <w:r w:rsidR="005A38B7" w:rsidRPr="00CB6923">
        <w:rPr>
          <w:rFonts w:ascii="Times New Roman" w:hAnsi="Times New Roman"/>
          <w:szCs w:val="24"/>
        </w:rPr>
        <w:t xml:space="preserve"> or aged membranes</w:t>
      </w:r>
      <w:r w:rsidR="00306452" w:rsidRPr="00CB6923">
        <w:rPr>
          <w:rFonts w:ascii="Times New Roman" w:hAnsi="Times New Roman"/>
          <w:szCs w:val="24"/>
        </w:rPr>
        <w:t xml:space="preserve"> may see even more species cross over.</w:t>
      </w:r>
    </w:p>
    <w:p w14:paraId="11E4DED2" w14:textId="3977C6B4" w:rsidR="001F647E" w:rsidRPr="00CB6923" w:rsidRDefault="00C63852" w:rsidP="00416C39">
      <w:pPr>
        <w:pStyle w:val="TAMainText"/>
        <w:spacing w:after="240"/>
        <w:ind w:firstLine="720"/>
        <w:jc w:val="left"/>
        <w:rPr>
          <w:rFonts w:ascii="Times New Roman" w:hAnsi="Times New Roman"/>
          <w:szCs w:val="24"/>
        </w:rPr>
      </w:pPr>
      <w:r w:rsidRPr="00CB6923">
        <w:rPr>
          <w:rFonts w:ascii="Times New Roman" w:hAnsi="Times New Roman"/>
          <w:szCs w:val="24"/>
        </w:rPr>
        <w:t>Simple 1D diffusion across a membrane was then simulated in order to compare to the experimental results (figure S</w:t>
      </w:r>
      <w:r w:rsidR="006C3CF7" w:rsidRPr="00CB6923">
        <w:rPr>
          <w:rFonts w:ascii="Times New Roman" w:hAnsi="Times New Roman"/>
          <w:szCs w:val="24"/>
        </w:rPr>
        <w:t>16</w:t>
      </w:r>
      <w:r w:rsidRPr="00CB6923">
        <w:rPr>
          <w:rFonts w:ascii="Times New Roman" w:hAnsi="Times New Roman"/>
          <w:szCs w:val="24"/>
        </w:rPr>
        <w:t>). The initial conditions for the model mimic that of the experiment</w:t>
      </w:r>
      <w:r w:rsidR="006E359D" w:rsidRPr="00CB6923">
        <w:rPr>
          <w:rFonts w:ascii="Times New Roman" w:hAnsi="Times New Roman"/>
          <w:szCs w:val="24"/>
        </w:rPr>
        <w:t>:</w:t>
      </w:r>
      <w:r w:rsidRPr="00CB6923">
        <w:rPr>
          <w:rFonts w:ascii="Times New Roman" w:hAnsi="Times New Roman"/>
          <w:szCs w:val="24"/>
        </w:rPr>
        <w:t xml:space="preserve"> on one side of the membrane, there is an initial concentration of TEMPO species, while on the other side of the membrane, there is initially only pure solvent. Varying membrane porosity and thicknesses had clear effects on the rates of crossover and therefore the concentrations of crossover species over time as well (figure S</w:t>
      </w:r>
      <w:r w:rsidR="00930296" w:rsidRPr="00CB6923">
        <w:rPr>
          <w:rFonts w:ascii="Times New Roman" w:hAnsi="Times New Roman"/>
          <w:szCs w:val="24"/>
        </w:rPr>
        <w:t>16</w:t>
      </w:r>
      <w:r w:rsidRPr="00CB6923">
        <w:rPr>
          <w:rFonts w:ascii="Times New Roman" w:hAnsi="Times New Roman"/>
          <w:szCs w:val="24"/>
        </w:rPr>
        <w:t>). Effective diffusivities can be affected by porosity and tortuosity via a geometric relation, where increased porosity increases the effective diffusivity.</w:t>
      </w:r>
      <w:r w:rsidR="00E8220B"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{"citationItems":[{"id":"ITEM-1","itemData":{"DOI":"10.1016/j.coche.2016.02.006","ISSN":"22113398","abstract":"The widely used Bruggeman equations correlate tortuosity factors of porous media with their porosity. Finding diverse application from optics to bubble formation, it received considerable attention in fuel cell and battery research, recently. The ability to estimate tortuous mass transport resistance based on porosity alone is attractive, because direct access to the tortuosity factors is notoriously difficult. The correlation, however, has limitations, which are not widely appreciated owing to the limited accessibility of the original manuscript. We retrace Bruggeman's derivation, together with its initial assumptions, and comment on validity and limitations apparent from the original work to offer some guidance on its use.","author":[{"dropping-particle":"","family":"Tjaden","given":"Bernhard","non-dropping-particle":"","parse-names":false,"suffix":""},{"dropping-particle":"","family":"Cooper","given":"Samuel J.","non-dropping-particle":"","parse-names":false,"suffix":""},{"dropping-particle":"","family":"Brett","given":"Daniel Jl","non-dropping-particle":"","parse-names":false,"suffix":""},{"dropping-particle":"","family":"Kramer","given":"Denis","non-dropping-particle":"","parse-names":false,"suffix":""},{"dropping-particle":"","family":"Shearing","given":"Paul R.","non-dropping-particle":"","parse-names":false,"suffix":""}],"container-title":"Current Opinion in Chemical Engineering","id":"ITEM-1","issued":{"date-parts":[["2016"]]},"page":"44-51","publisher":"Elsevier Ltd","title":"On the origin and application of the Bruggeman correlation for analysing transport phenomena in electrochemical systems","type":"article-journal","volume":"12"},"uris":["http://www.mendeley.com/documents/?uuid=3563a09c-1721-476e-bf58-9cf81d933f28"]}],"mendeley":{"formattedCitation":"&lt;sup&gt;38&lt;/sup&gt;","plainTextFormattedCitation":"38","previouslyFormattedCitation":"&lt;sup&gt;38&lt;/sup&gt;"},"properties":{"noteIndex":0},"schema":"https://github.com/citation-style-language/schema/raw/master/csl-citation.json"}</w:instrText>
      </w:r>
      <w:r w:rsidR="00E8220B" w:rsidRPr="00CB6923">
        <w:rPr>
          <w:rFonts w:ascii="Times New Roman" w:hAnsi="Times New Roman"/>
          <w:szCs w:val="24"/>
        </w:rPr>
        <w:fldChar w:fldCharType="separate"/>
      </w:r>
      <w:r w:rsidR="009C4068" w:rsidRPr="00CB6923">
        <w:rPr>
          <w:rFonts w:ascii="Times New Roman" w:hAnsi="Times New Roman"/>
          <w:noProof/>
          <w:szCs w:val="24"/>
          <w:vertAlign w:val="superscript"/>
        </w:rPr>
        <w:t>38</w:t>
      </w:r>
      <w:r w:rsidR="00E8220B" w:rsidRPr="00CB6923">
        <w:rPr>
          <w:rFonts w:ascii="Times New Roman" w:hAnsi="Times New Roman"/>
          <w:szCs w:val="24"/>
        </w:rPr>
        <w:fldChar w:fldCharType="end"/>
      </w:r>
      <w:r w:rsidR="00E8220B" w:rsidRPr="00CB6923">
        <w:rPr>
          <w:rFonts w:ascii="Times New Roman" w:hAnsi="Times New Roman"/>
          <w:szCs w:val="24"/>
        </w:rPr>
        <w:t xml:space="preserve"> </w:t>
      </w:r>
      <w:r w:rsidR="00F75301" w:rsidRPr="00CB6923">
        <w:rPr>
          <w:rFonts w:ascii="Times New Roman" w:hAnsi="Times New Roman"/>
          <w:szCs w:val="24"/>
        </w:rPr>
        <w:t xml:space="preserve">The modeling results </w:t>
      </w:r>
      <w:r w:rsidR="00F94B37" w:rsidRPr="00CB6923">
        <w:rPr>
          <w:rFonts w:ascii="Times New Roman" w:hAnsi="Times New Roman"/>
          <w:szCs w:val="24"/>
        </w:rPr>
        <w:t xml:space="preserve">are </w:t>
      </w:r>
      <w:r w:rsidR="00F75301" w:rsidRPr="00CB6923">
        <w:rPr>
          <w:rFonts w:ascii="Times New Roman" w:hAnsi="Times New Roman"/>
          <w:szCs w:val="24"/>
        </w:rPr>
        <w:t>consistent with the experimental results where the effective diffusivity of TEMPO is likely lower in Li-Nafion compared to Celgard due to the smaller and ion-selective nature of the pores in Li-Nafion.</w:t>
      </w:r>
      <w:r w:rsidR="00F75301"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mendeley":{"formattedCitation":"&lt;sup&gt;23&lt;/sup&gt;","plainTextFormattedCitation":"23","previouslyFormattedCitation":"&lt;sup&gt;23&lt;/sup&gt;"},"properties":{"noteIndex":0},"schema":"https://github.com/citation-style-language/schema/raw/master/csl-citation.json"}</w:instrText>
      </w:r>
      <w:r w:rsidR="00F75301" w:rsidRPr="00CB6923">
        <w:rPr>
          <w:rFonts w:ascii="Times New Roman" w:hAnsi="Times New Roman"/>
          <w:szCs w:val="24"/>
        </w:rPr>
        <w:fldChar w:fldCharType="separate"/>
      </w:r>
      <w:r w:rsidR="00592AF7" w:rsidRPr="00CB6923">
        <w:rPr>
          <w:rFonts w:ascii="Times New Roman" w:hAnsi="Times New Roman"/>
          <w:noProof/>
          <w:szCs w:val="24"/>
          <w:vertAlign w:val="superscript"/>
        </w:rPr>
        <w:t>23</w:t>
      </w:r>
      <w:r w:rsidR="00F75301" w:rsidRPr="00CB6923">
        <w:rPr>
          <w:rFonts w:ascii="Times New Roman" w:hAnsi="Times New Roman"/>
          <w:szCs w:val="24"/>
        </w:rPr>
        <w:fldChar w:fldCharType="end"/>
      </w:r>
      <w:r w:rsidR="00623A0D" w:rsidRPr="00CB6923">
        <w:t xml:space="preserve"> </w:t>
      </w:r>
      <w:r w:rsidR="00623A0D" w:rsidRPr="00CB6923">
        <w:rPr>
          <w:rFonts w:ascii="Times New Roman" w:hAnsi="Times New Roman"/>
          <w:szCs w:val="24"/>
        </w:rPr>
        <w:t>Thicker membranes also led to slower crossover rates and slower increase in crossover concentrations, which again corroborates experimental results as the Li-Nafion has a thickness of 51 μm and Celgard membrane is 25 μm thick.</w:t>
      </w:r>
    </w:p>
    <w:p w14:paraId="4E261D1B" w14:textId="094BF8C5" w:rsidR="003F579C" w:rsidRPr="00CB6923" w:rsidRDefault="003F579C" w:rsidP="003F579C">
      <w:pPr>
        <w:pStyle w:val="TAMainText"/>
        <w:spacing w:after="240"/>
        <w:ind w:firstLine="0"/>
        <w:jc w:val="left"/>
        <w:rPr>
          <w:rFonts w:ascii="Times New Roman" w:hAnsi="Times New Roman"/>
          <w:i/>
          <w:iCs/>
          <w:szCs w:val="24"/>
        </w:rPr>
      </w:pPr>
      <w:r w:rsidRPr="00CB6923">
        <w:rPr>
          <w:rFonts w:ascii="Times New Roman" w:hAnsi="Times New Roman"/>
          <w:i/>
          <w:iCs/>
          <w:szCs w:val="24"/>
        </w:rPr>
        <w:lastRenderedPageBreak/>
        <w:t>Effect of Li-Nafion on TEMPO</w:t>
      </w:r>
      <w:r w:rsidRPr="00CB6923">
        <w:rPr>
          <w:rFonts w:ascii="Times New Roman" w:hAnsi="Times New Roman"/>
          <w:i/>
          <w:iCs/>
          <w:szCs w:val="24"/>
          <w:vertAlign w:val="superscript"/>
        </w:rPr>
        <w:t>+</w:t>
      </w:r>
      <w:r w:rsidRPr="00CB6923">
        <w:rPr>
          <w:rFonts w:ascii="Times New Roman" w:hAnsi="Times New Roman"/>
          <w:i/>
          <w:iCs/>
          <w:szCs w:val="24"/>
        </w:rPr>
        <w:t xml:space="preserve"> diffusion in LABs using operando pressure measurements</w:t>
      </w:r>
      <w:r w:rsidR="007D4A51" w:rsidRPr="00CB6923">
        <w:rPr>
          <w:rFonts w:ascii="Times New Roman" w:hAnsi="Times New Roman"/>
          <w:i/>
          <w:iCs/>
          <w:noProof/>
          <w:szCs w:val="24"/>
        </w:rPr>
        <w:drawing>
          <wp:inline distT="0" distB="0" distL="0" distR="0" wp14:anchorId="34BEB266" wp14:editId="5AEB2088">
            <wp:extent cx="5937250" cy="533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334000"/>
                    </a:xfrm>
                    <a:prstGeom prst="rect">
                      <a:avLst/>
                    </a:prstGeom>
                    <a:noFill/>
                    <a:ln>
                      <a:noFill/>
                    </a:ln>
                  </pic:spPr>
                </pic:pic>
              </a:graphicData>
            </a:graphic>
          </wp:inline>
        </w:drawing>
      </w:r>
    </w:p>
    <w:p w14:paraId="783F82F6" w14:textId="0E9A71B1" w:rsidR="003F579C" w:rsidRPr="00CB6923" w:rsidRDefault="003F579C" w:rsidP="003F579C">
      <w:pPr>
        <w:pStyle w:val="VAFigureCaption"/>
      </w:pPr>
      <w:r w:rsidRPr="00CB6923">
        <w:rPr>
          <w:b/>
          <w:bCs/>
        </w:rPr>
        <w:t>Figure 6</w:t>
      </w:r>
      <w:r w:rsidRPr="00CB6923">
        <w:t>. a, e, c) Schematic of LAB Swagelok cells connected to pressure transducers (expanded view) and b, d, f) corresponding voltage profiles during galvanostatic discharge/charge with operando pressure measurements. In a, b) the LAB cell comprising of stainless-steel current collectors, Li metal anode, GF separator with 0.25</w:t>
      </w:r>
      <w:r w:rsidR="00F27D41" w:rsidRPr="00CB6923">
        <w:t xml:space="preserve"> </w:t>
      </w:r>
      <w:r w:rsidRPr="00CB6923">
        <w:t>M LiTFSI in diglyme electrolyte, and carbon electrode undergoes discharge to form Li</w:t>
      </w:r>
      <w:r w:rsidRPr="00CB6923">
        <w:rPr>
          <w:vertAlign w:val="subscript"/>
        </w:rPr>
        <w:t>2</w:t>
      </w:r>
      <w:r w:rsidRPr="00CB6923">
        <w:t>O</w:t>
      </w:r>
      <w:r w:rsidRPr="00CB6923">
        <w:rPr>
          <w:vertAlign w:val="subscript"/>
        </w:rPr>
        <w:t>2</w:t>
      </w:r>
      <w:r w:rsidR="000B7729" w:rsidRPr="00CB6923">
        <w:t xml:space="preserve"> </w:t>
      </w:r>
      <w:r w:rsidRPr="00CB6923">
        <w:t>at the carbon cathode and consume O</w:t>
      </w:r>
      <w:r w:rsidRPr="00CB6923">
        <w:rPr>
          <w:vertAlign w:val="subscript"/>
        </w:rPr>
        <w:t>2</w:t>
      </w:r>
      <w:r w:rsidRPr="00CB6923">
        <w:t xml:space="preserve"> gas. In c, d) the cell is then reassembled where the carbon electrode containing Li</w:t>
      </w:r>
      <w:r w:rsidRPr="00CB6923">
        <w:rPr>
          <w:vertAlign w:val="subscript"/>
        </w:rPr>
        <w:t>2</w:t>
      </w:r>
      <w:r w:rsidRPr="00CB6923">
        <w:t>O</w:t>
      </w:r>
      <w:r w:rsidRPr="00CB6923">
        <w:rPr>
          <w:vertAlign w:val="subscript"/>
        </w:rPr>
        <w:t>2</w:t>
      </w:r>
      <w:r w:rsidRPr="00CB6923">
        <w:t xml:space="preserve"> discharge products is </w:t>
      </w:r>
      <w:r w:rsidRPr="00CB6923">
        <w:lastRenderedPageBreak/>
        <w:t>electrically isolated from the current collectors. An electrolyte with 25</w:t>
      </w:r>
      <w:r w:rsidR="00F27D41" w:rsidRPr="00CB6923">
        <w:t xml:space="preserve"> </w:t>
      </w:r>
      <w:r w:rsidRPr="00CB6923">
        <w:t>mM TEMPO added is used so that upon charging, TEMPO is electrochemically oxidized to TEMPO</w:t>
      </w:r>
      <w:r w:rsidRPr="00CB6923">
        <w:rPr>
          <w:vertAlign w:val="superscript"/>
        </w:rPr>
        <w:t>+</w:t>
      </w:r>
      <w:r w:rsidRPr="00CB6923">
        <w:t xml:space="preserve"> at the carbon cathode. The TEMPO</w:t>
      </w:r>
      <w:r w:rsidRPr="00CB6923">
        <w:rPr>
          <w:vertAlign w:val="superscript"/>
        </w:rPr>
        <w:t>+</w:t>
      </w:r>
      <w:r w:rsidRPr="00CB6923">
        <w:t xml:space="preserve"> then diffuses to and chemically oxidises the Li</w:t>
      </w:r>
      <w:r w:rsidRPr="00CB6923">
        <w:rPr>
          <w:vertAlign w:val="subscript"/>
        </w:rPr>
        <w:t>2</w:t>
      </w:r>
      <w:r w:rsidRPr="00CB6923">
        <w:t>O</w:t>
      </w:r>
      <w:r w:rsidRPr="00CB6923">
        <w:rPr>
          <w:vertAlign w:val="subscript"/>
        </w:rPr>
        <w:t>2</w:t>
      </w:r>
      <w:r w:rsidRPr="00CB6923">
        <w:t>, which evolves O</w:t>
      </w:r>
      <w:r w:rsidRPr="00CB6923">
        <w:rPr>
          <w:vertAlign w:val="subscript"/>
        </w:rPr>
        <w:t>2</w:t>
      </w:r>
      <w:r w:rsidRPr="00CB6923">
        <w:t xml:space="preserve"> gas. Similarly, in e, f) the electrically isolated Li</w:t>
      </w:r>
      <w:r w:rsidRPr="00CB6923">
        <w:rPr>
          <w:vertAlign w:val="subscript"/>
        </w:rPr>
        <w:t>2</w:t>
      </w:r>
      <w:r w:rsidRPr="00CB6923">
        <w:t>O</w:t>
      </w:r>
      <w:r w:rsidRPr="00CB6923">
        <w:rPr>
          <w:vertAlign w:val="subscript"/>
        </w:rPr>
        <w:t>2</w:t>
      </w:r>
      <w:r w:rsidRPr="00CB6923">
        <w:t xml:space="preserve"> and TEMPO/TEMPO</w:t>
      </w:r>
      <w:r w:rsidRPr="00CB6923">
        <w:rPr>
          <w:vertAlign w:val="superscript"/>
        </w:rPr>
        <w:t>+</w:t>
      </w:r>
      <w:r w:rsidRPr="00CB6923">
        <w:t xml:space="preserve"> are used, however a Li-Nafion membrane is added between the TEMPO</w:t>
      </w:r>
      <w:r w:rsidRPr="00CB6923">
        <w:rPr>
          <w:vertAlign w:val="superscript"/>
        </w:rPr>
        <w:t>+</w:t>
      </w:r>
      <w:r w:rsidRPr="00CB6923">
        <w:t xml:space="preserve"> species and the Li</w:t>
      </w:r>
      <w:r w:rsidRPr="00CB6923">
        <w:rPr>
          <w:vertAlign w:val="subscript"/>
        </w:rPr>
        <w:t>2</w:t>
      </w:r>
      <w:r w:rsidRPr="00CB6923">
        <w:t>O</w:t>
      </w:r>
      <w:r w:rsidRPr="00CB6923">
        <w:rPr>
          <w:vertAlign w:val="subscript"/>
        </w:rPr>
        <w:t>2</w:t>
      </w:r>
      <w:r w:rsidRPr="00CB6923">
        <w:t xml:space="preserve"> order to evaluate the extent of TEMPO</w:t>
      </w:r>
      <w:r w:rsidRPr="00CB6923">
        <w:rPr>
          <w:vertAlign w:val="superscript"/>
        </w:rPr>
        <w:t>+</w:t>
      </w:r>
      <w:r w:rsidRPr="00CB6923">
        <w:t xml:space="preserve"> diffusion through the Li-Nafion.</w:t>
      </w:r>
    </w:p>
    <w:p w14:paraId="15CA7A66" w14:textId="285956E1" w:rsidR="003F579C" w:rsidRPr="00CB6923" w:rsidRDefault="00F94B37" w:rsidP="00416C39">
      <w:pPr>
        <w:pStyle w:val="TAMainText"/>
        <w:spacing w:after="240"/>
        <w:ind w:firstLine="720"/>
        <w:jc w:val="left"/>
        <w:rPr>
          <w:rFonts w:ascii="Times New Roman" w:hAnsi="Times New Roman"/>
          <w:szCs w:val="24"/>
        </w:rPr>
      </w:pPr>
      <w:r w:rsidRPr="00CB6923">
        <w:rPr>
          <w:rFonts w:ascii="Times New Roman" w:hAnsi="Times New Roman"/>
          <w:szCs w:val="24"/>
        </w:rPr>
        <w:t>O</w:t>
      </w:r>
      <w:r w:rsidR="00C6002D" w:rsidRPr="00CB6923">
        <w:rPr>
          <w:rFonts w:ascii="Times New Roman" w:hAnsi="Times New Roman"/>
          <w:szCs w:val="24"/>
        </w:rPr>
        <w:t>perando pressure experiments with Li-O</w:t>
      </w:r>
      <w:r w:rsidR="00C6002D" w:rsidRPr="00CB6923">
        <w:rPr>
          <w:rFonts w:ascii="Times New Roman" w:hAnsi="Times New Roman"/>
          <w:szCs w:val="24"/>
          <w:vertAlign w:val="subscript"/>
        </w:rPr>
        <w:t>2</w:t>
      </w:r>
      <w:r w:rsidR="00C6002D" w:rsidRPr="00CB6923">
        <w:rPr>
          <w:rFonts w:ascii="Times New Roman" w:hAnsi="Times New Roman"/>
          <w:szCs w:val="24"/>
        </w:rPr>
        <w:t xml:space="preserve"> batteries</w:t>
      </w:r>
      <w:r w:rsidRPr="00CB6923">
        <w:rPr>
          <w:rFonts w:ascii="Times New Roman" w:hAnsi="Times New Roman"/>
          <w:szCs w:val="24"/>
        </w:rPr>
        <w:t xml:space="preserve"> were then designed</w:t>
      </w:r>
      <w:r w:rsidR="00C6002D" w:rsidRPr="00CB6923">
        <w:rPr>
          <w:rFonts w:ascii="Times New Roman" w:hAnsi="Times New Roman"/>
          <w:szCs w:val="24"/>
        </w:rPr>
        <w:t xml:space="preserve"> to characterize TEMPO</w:t>
      </w:r>
      <w:r w:rsidR="00C6002D" w:rsidRPr="00CB6923">
        <w:rPr>
          <w:rFonts w:ascii="Times New Roman" w:hAnsi="Times New Roman"/>
          <w:szCs w:val="24"/>
          <w:vertAlign w:val="superscript"/>
        </w:rPr>
        <w:t>+</w:t>
      </w:r>
      <w:r w:rsidR="00C6002D" w:rsidRPr="00CB6923">
        <w:rPr>
          <w:rFonts w:ascii="Times New Roman" w:hAnsi="Times New Roman"/>
          <w:szCs w:val="24"/>
        </w:rPr>
        <w:t xml:space="preserve"> transport across Li</w:t>
      </w:r>
      <w:r w:rsidR="008040D4" w:rsidRPr="00CB6923">
        <w:rPr>
          <w:rFonts w:ascii="Times New Roman" w:hAnsi="Times New Roman"/>
          <w:szCs w:val="24"/>
        </w:rPr>
        <w:t>-</w:t>
      </w:r>
      <w:r w:rsidR="00C6002D" w:rsidRPr="00CB6923">
        <w:rPr>
          <w:rFonts w:ascii="Times New Roman" w:hAnsi="Times New Roman"/>
          <w:szCs w:val="24"/>
        </w:rPr>
        <w:t xml:space="preserve">Nafion membranes further, and to determine whether these membranes can prevent </w:t>
      </w:r>
      <w:r w:rsidRPr="00CB6923">
        <w:rPr>
          <w:rFonts w:ascii="Times New Roman" w:hAnsi="Times New Roman"/>
          <w:szCs w:val="24"/>
        </w:rPr>
        <w:t xml:space="preserve">diffusion of the oxidized TEMPO radical, </w:t>
      </w:r>
      <w:r w:rsidR="00C6002D" w:rsidRPr="00CB6923">
        <w:rPr>
          <w:rFonts w:ascii="Times New Roman" w:hAnsi="Times New Roman"/>
          <w:szCs w:val="24"/>
        </w:rPr>
        <w:t>TEMPO</w:t>
      </w:r>
      <w:r w:rsidR="00C6002D" w:rsidRPr="00CB6923">
        <w:rPr>
          <w:rFonts w:ascii="Times New Roman" w:hAnsi="Times New Roman"/>
          <w:szCs w:val="24"/>
          <w:vertAlign w:val="superscript"/>
        </w:rPr>
        <w:t>+</w:t>
      </w:r>
      <w:r w:rsidR="006E359D" w:rsidRPr="00CB6923">
        <w:rPr>
          <w:rFonts w:ascii="Times New Roman" w:hAnsi="Times New Roman"/>
          <w:szCs w:val="24"/>
        </w:rPr>
        <w:t>. Since</w:t>
      </w:r>
      <w:r w:rsidR="002822AD" w:rsidRPr="00CB6923">
        <w:rPr>
          <w:rFonts w:ascii="Times New Roman" w:hAnsi="Times New Roman"/>
          <w:szCs w:val="24"/>
        </w:rPr>
        <w:t xml:space="preserve"> </w:t>
      </w:r>
      <w:r w:rsidR="00C6002D" w:rsidRPr="00CB6923">
        <w:rPr>
          <w:rFonts w:ascii="Times New Roman" w:hAnsi="Times New Roman"/>
          <w:szCs w:val="24"/>
        </w:rPr>
        <w:t>TEMPO</w:t>
      </w:r>
      <w:r w:rsidR="00C6002D" w:rsidRPr="00CB6923">
        <w:rPr>
          <w:rFonts w:ascii="Times New Roman" w:hAnsi="Times New Roman"/>
          <w:szCs w:val="24"/>
          <w:vertAlign w:val="superscript"/>
        </w:rPr>
        <w:t>+</w:t>
      </w:r>
      <w:r w:rsidR="00C6002D" w:rsidRPr="00CB6923">
        <w:rPr>
          <w:rFonts w:ascii="Times New Roman" w:hAnsi="Times New Roman"/>
          <w:szCs w:val="24"/>
        </w:rPr>
        <w:t xml:space="preserve"> is difficult to detect directly via online NMR and EPR measurements with the flow cell shown in figure 5a, an electrochemical method was used</w:t>
      </w:r>
      <w:r w:rsidR="00A80C8C" w:rsidRPr="00CB6923">
        <w:rPr>
          <w:rFonts w:ascii="Times New Roman" w:hAnsi="Times New Roman"/>
          <w:szCs w:val="24"/>
        </w:rPr>
        <w:t xml:space="preserve"> where </w:t>
      </w:r>
      <w:r w:rsidR="00C6002D" w:rsidRPr="00CB6923">
        <w:rPr>
          <w:rFonts w:ascii="Times New Roman" w:hAnsi="Times New Roman"/>
          <w:szCs w:val="24"/>
        </w:rPr>
        <w:t>Swagelok cells were set</w:t>
      </w:r>
      <w:r w:rsidR="0056607B" w:rsidRPr="00CB6923">
        <w:rPr>
          <w:rFonts w:ascii="Times New Roman" w:hAnsi="Times New Roman"/>
          <w:szCs w:val="24"/>
        </w:rPr>
        <w:t xml:space="preserve"> </w:t>
      </w:r>
      <w:r w:rsidR="00C6002D" w:rsidRPr="00CB6923">
        <w:rPr>
          <w:rFonts w:ascii="Times New Roman" w:hAnsi="Times New Roman"/>
          <w:szCs w:val="24"/>
        </w:rPr>
        <w:t>up such that the chemical oxidation of Li</w:t>
      </w:r>
      <w:r w:rsidR="00C6002D" w:rsidRPr="00CB6923">
        <w:rPr>
          <w:rFonts w:ascii="Times New Roman" w:hAnsi="Times New Roman"/>
          <w:szCs w:val="24"/>
          <w:vertAlign w:val="subscript"/>
        </w:rPr>
        <w:t>2</w:t>
      </w:r>
      <w:r w:rsidR="00C6002D" w:rsidRPr="00CB6923">
        <w:rPr>
          <w:rFonts w:ascii="Times New Roman" w:hAnsi="Times New Roman"/>
          <w:szCs w:val="24"/>
        </w:rPr>
        <w:t>O</w:t>
      </w:r>
      <w:r w:rsidR="00C6002D" w:rsidRPr="00CB6923">
        <w:rPr>
          <w:rFonts w:ascii="Times New Roman" w:hAnsi="Times New Roman"/>
          <w:szCs w:val="24"/>
          <w:vertAlign w:val="subscript"/>
        </w:rPr>
        <w:t>2</w:t>
      </w:r>
      <w:r w:rsidR="00C6002D" w:rsidRPr="00CB6923">
        <w:rPr>
          <w:rFonts w:ascii="Times New Roman" w:hAnsi="Times New Roman"/>
          <w:szCs w:val="24"/>
        </w:rPr>
        <w:t xml:space="preserve"> into O</w:t>
      </w:r>
      <w:r w:rsidR="00C6002D" w:rsidRPr="00CB6923">
        <w:rPr>
          <w:rFonts w:ascii="Times New Roman" w:hAnsi="Times New Roman"/>
          <w:szCs w:val="24"/>
          <w:vertAlign w:val="subscript"/>
        </w:rPr>
        <w:t>2</w:t>
      </w:r>
      <w:r w:rsidR="00C6002D" w:rsidRPr="00CB6923">
        <w:rPr>
          <w:rFonts w:ascii="Times New Roman" w:hAnsi="Times New Roman"/>
          <w:szCs w:val="24"/>
        </w:rPr>
        <w:t xml:space="preserve"> gas can only occur </w:t>
      </w:r>
      <w:r w:rsidR="00A80C8C" w:rsidRPr="00CB6923">
        <w:rPr>
          <w:rFonts w:ascii="Times New Roman" w:hAnsi="Times New Roman"/>
          <w:szCs w:val="24"/>
        </w:rPr>
        <w:t xml:space="preserve">via </w:t>
      </w:r>
      <w:r w:rsidR="00C6002D" w:rsidRPr="00CB6923">
        <w:rPr>
          <w:rFonts w:ascii="Times New Roman" w:hAnsi="Times New Roman"/>
          <w:szCs w:val="24"/>
        </w:rPr>
        <w:t>TEMPO</w:t>
      </w:r>
      <w:r w:rsidR="00C6002D" w:rsidRPr="00CB6923">
        <w:rPr>
          <w:rFonts w:ascii="Times New Roman" w:hAnsi="Times New Roman"/>
          <w:szCs w:val="24"/>
          <w:vertAlign w:val="superscript"/>
        </w:rPr>
        <w:t>+</w:t>
      </w:r>
      <w:r w:rsidR="00C6002D" w:rsidRPr="00CB6923">
        <w:rPr>
          <w:rFonts w:ascii="Times New Roman" w:hAnsi="Times New Roman"/>
          <w:szCs w:val="24"/>
        </w:rPr>
        <w:t xml:space="preserve"> diffusion. The O</w:t>
      </w:r>
      <w:r w:rsidR="00C6002D" w:rsidRPr="00CB6923">
        <w:rPr>
          <w:rFonts w:ascii="Times New Roman" w:hAnsi="Times New Roman"/>
          <w:szCs w:val="24"/>
          <w:vertAlign w:val="subscript"/>
        </w:rPr>
        <w:t>2</w:t>
      </w:r>
      <w:r w:rsidR="00C6002D" w:rsidRPr="00CB6923">
        <w:rPr>
          <w:rFonts w:ascii="Times New Roman" w:hAnsi="Times New Roman"/>
          <w:szCs w:val="24"/>
        </w:rPr>
        <w:t xml:space="preserve"> gas evolution is therefore indicative of TEMPO</w:t>
      </w:r>
      <w:r w:rsidR="00C6002D" w:rsidRPr="00CB6923">
        <w:rPr>
          <w:rFonts w:ascii="Times New Roman" w:hAnsi="Times New Roman"/>
          <w:szCs w:val="24"/>
          <w:vertAlign w:val="superscript"/>
        </w:rPr>
        <w:t>+</w:t>
      </w:r>
      <w:r w:rsidR="00C6002D" w:rsidRPr="00CB6923">
        <w:rPr>
          <w:rFonts w:ascii="Times New Roman" w:hAnsi="Times New Roman"/>
          <w:szCs w:val="24"/>
        </w:rPr>
        <w:t xml:space="preserve"> diffusion and can be easily monitored in operando using a pressure transducer.</w:t>
      </w:r>
    </w:p>
    <w:p w14:paraId="432D770E" w14:textId="5FA38D77" w:rsidR="00AC52AF" w:rsidRPr="00CB6923" w:rsidRDefault="00D67CE1" w:rsidP="00416C39">
      <w:pPr>
        <w:pStyle w:val="TAMainText"/>
        <w:spacing w:after="240"/>
        <w:ind w:firstLine="720"/>
        <w:jc w:val="left"/>
        <w:rPr>
          <w:rFonts w:ascii="Times New Roman" w:hAnsi="Times New Roman"/>
          <w:szCs w:val="24"/>
        </w:rPr>
      </w:pPr>
      <w:r w:rsidRPr="00CB6923">
        <w:rPr>
          <w:rFonts w:ascii="Times New Roman" w:hAnsi="Times New Roman"/>
          <w:szCs w:val="24"/>
        </w:rPr>
        <w:t>First a Li-O</w:t>
      </w:r>
      <w:r w:rsidRPr="00CB6923">
        <w:rPr>
          <w:rFonts w:ascii="Times New Roman" w:hAnsi="Times New Roman"/>
          <w:szCs w:val="24"/>
          <w:vertAlign w:val="subscript"/>
        </w:rPr>
        <w:t>2</w:t>
      </w:r>
      <w:r w:rsidRPr="00CB6923">
        <w:rPr>
          <w:rFonts w:ascii="Times New Roman" w:hAnsi="Times New Roman"/>
          <w:szCs w:val="24"/>
        </w:rPr>
        <w:t xml:space="preserve"> Swagelok cell is assembled without TEMPO redox mediator (figure 6a) and the galvanostatic discharge behavior is recorded (figure 6b). A Li metal anode and carbon paper cathode are used (figure 6a). During discharge, O</w:t>
      </w:r>
      <w:r w:rsidRPr="00CB6923">
        <w:rPr>
          <w:rFonts w:ascii="Times New Roman" w:hAnsi="Times New Roman"/>
          <w:szCs w:val="24"/>
          <w:vertAlign w:val="subscript"/>
        </w:rPr>
        <w:t>2</w:t>
      </w:r>
      <w:r w:rsidRPr="00CB6923">
        <w:rPr>
          <w:rFonts w:ascii="Times New Roman" w:hAnsi="Times New Roman"/>
          <w:szCs w:val="24"/>
        </w:rPr>
        <w:t xml:space="preserve"> is reduced at the carbon cathode, and reacts with Li</w:t>
      </w:r>
      <w:r w:rsidRPr="00CB6923">
        <w:rPr>
          <w:rFonts w:ascii="Times New Roman" w:hAnsi="Times New Roman"/>
          <w:szCs w:val="24"/>
          <w:vertAlign w:val="superscript"/>
        </w:rPr>
        <w:t>+</w:t>
      </w:r>
      <w:r w:rsidRPr="00CB6923">
        <w:rPr>
          <w:rFonts w:ascii="Times New Roman" w:hAnsi="Times New Roman"/>
          <w:szCs w:val="24"/>
        </w:rPr>
        <w:t xml:space="preserve"> to form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which precipitates and deposits on the cathode. The reduction of O</w:t>
      </w:r>
      <w:r w:rsidRPr="00CB6923">
        <w:rPr>
          <w:rFonts w:ascii="Times New Roman" w:hAnsi="Times New Roman"/>
          <w:szCs w:val="24"/>
          <w:vertAlign w:val="subscript"/>
        </w:rPr>
        <w:t>2</w:t>
      </w:r>
      <w:r w:rsidRPr="00CB6923">
        <w:rPr>
          <w:rFonts w:ascii="Times New Roman" w:hAnsi="Times New Roman"/>
          <w:szCs w:val="24"/>
        </w:rPr>
        <w:t xml:space="preserve"> gas results in a linear decrease in the pressure during discharge (figure 6b, blue), as monitored by the pressure transducer. The voltage profile (figure 6b, red) shows a clear plateau at 2.65</w:t>
      </w:r>
      <w:r w:rsidR="00875CF8" w:rsidRPr="00CB6923">
        <w:rPr>
          <w:rFonts w:ascii="Times New Roman" w:hAnsi="Times New Roman"/>
          <w:szCs w:val="24"/>
        </w:rPr>
        <w:t xml:space="preserve"> </w:t>
      </w:r>
      <w:r w:rsidRPr="00CB6923">
        <w:rPr>
          <w:rFonts w:ascii="Times New Roman" w:hAnsi="Times New Roman"/>
          <w:szCs w:val="24"/>
        </w:rPr>
        <w:t>V vs Li/Li</w:t>
      </w:r>
      <w:r w:rsidRPr="00CB6923">
        <w:rPr>
          <w:rFonts w:ascii="Times New Roman" w:hAnsi="Times New Roman"/>
          <w:szCs w:val="24"/>
          <w:vertAlign w:val="superscript"/>
        </w:rPr>
        <w:t>+</w:t>
      </w:r>
      <w:r w:rsidRPr="00CB6923">
        <w:rPr>
          <w:rFonts w:ascii="Times New Roman" w:hAnsi="Times New Roman"/>
          <w:szCs w:val="24"/>
        </w:rPr>
        <w:t>. Using the ideal gas law, the number of moles of gas consumed during discharge can be calculated, while the number of electrons passed can be calculated by integrating the current over time. The experimental data for gas consumption closely follows the 2 mole e</w:t>
      </w:r>
      <w:r w:rsidR="00F55FFB" w:rsidRPr="00CB6923">
        <w:rPr>
          <w:rFonts w:ascii="Times New Roman" w:hAnsi="Times New Roman"/>
          <w:szCs w:val="24"/>
          <w:vertAlign w:val="superscript"/>
        </w:rPr>
        <w:t>−</w:t>
      </w:r>
      <w:r w:rsidRPr="00CB6923">
        <w:rPr>
          <w:rFonts w:ascii="Times New Roman" w:hAnsi="Times New Roman"/>
          <w:szCs w:val="24"/>
        </w:rPr>
        <w:t>/mole of O</w:t>
      </w:r>
      <w:r w:rsidRPr="00CB6923">
        <w:rPr>
          <w:rFonts w:ascii="Times New Roman" w:hAnsi="Times New Roman"/>
          <w:szCs w:val="24"/>
          <w:vertAlign w:val="subscript"/>
        </w:rPr>
        <w:t>2</w:t>
      </w:r>
      <w:r w:rsidRPr="00CB6923">
        <w:rPr>
          <w:rFonts w:ascii="Times New Roman" w:hAnsi="Times New Roman"/>
          <w:szCs w:val="24"/>
        </w:rPr>
        <w:t xml:space="preserve"> (2</w:t>
      </w:r>
      <w:r w:rsidR="00875CF8" w:rsidRPr="00CB6923">
        <w:rPr>
          <w:rFonts w:ascii="Times New Roman" w:hAnsi="Times New Roman"/>
          <w:szCs w:val="24"/>
        </w:rPr>
        <w:t xml:space="preserve"> </w:t>
      </w:r>
      <w:r w:rsidRPr="00CB6923">
        <w:rPr>
          <w:rFonts w:ascii="Times New Roman" w:hAnsi="Times New Roman"/>
          <w:szCs w:val="24"/>
        </w:rPr>
        <w:t>Li</w:t>
      </w:r>
      <w:r w:rsidRPr="00CB6923">
        <w:rPr>
          <w:rFonts w:ascii="Times New Roman" w:hAnsi="Times New Roman"/>
          <w:szCs w:val="24"/>
          <w:vertAlign w:val="superscript"/>
        </w:rPr>
        <w:t>+</w:t>
      </w:r>
      <w:r w:rsidRPr="00CB6923">
        <w:rPr>
          <w:rFonts w:ascii="Times New Roman" w:hAnsi="Times New Roman"/>
          <w:szCs w:val="24"/>
        </w:rPr>
        <w:t xml:space="preserve"> </w:t>
      </w:r>
      <w:r w:rsidRPr="00CB6923">
        <w:rPr>
          <w:rFonts w:ascii="Times New Roman" w:hAnsi="Times New Roman"/>
          <w:szCs w:val="24"/>
        </w:rPr>
        <w:lastRenderedPageBreak/>
        <w:t>+ 2</w:t>
      </w:r>
      <w:r w:rsidR="00875CF8" w:rsidRPr="00CB6923">
        <w:rPr>
          <w:rFonts w:ascii="Times New Roman" w:hAnsi="Times New Roman"/>
          <w:szCs w:val="24"/>
        </w:rPr>
        <w:t xml:space="preserve"> </w:t>
      </w:r>
      <w:r w:rsidRPr="00CB6923">
        <w:rPr>
          <w:rFonts w:ascii="Times New Roman" w:hAnsi="Times New Roman"/>
          <w:szCs w:val="24"/>
        </w:rPr>
        <w:t>e</w:t>
      </w:r>
      <w:r w:rsidR="00F55FFB" w:rsidRPr="00CB6923">
        <w:rPr>
          <w:rFonts w:ascii="Times New Roman" w:hAnsi="Times New Roman"/>
          <w:szCs w:val="24"/>
          <w:vertAlign w:val="superscript"/>
        </w:rPr>
        <w:t>−</w:t>
      </w:r>
      <w:r w:rsidRPr="00CB6923">
        <w:rPr>
          <w:rFonts w:ascii="Times New Roman" w:hAnsi="Times New Roman"/>
          <w:szCs w:val="24"/>
        </w:rPr>
        <w:t xml:space="preserve"> + O</w:t>
      </w:r>
      <w:r w:rsidRPr="00CB6923">
        <w:rPr>
          <w:rFonts w:ascii="Times New Roman" w:hAnsi="Times New Roman"/>
          <w:szCs w:val="24"/>
          <w:vertAlign w:val="subscript"/>
        </w:rPr>
        <w:t>2</w:t>
      </w:r>
      <w:r w:rsidRPr="00CB6923">
        <w:rPr>
          <w:rFonts w:ascii="Times New Roman" w:hAnsi="Times New Roman"/>
          <w:szCs w:val="24"/>
        </w:rPr>
        <w:t xml:space="preserve"> </w:t>
      </w:r>
      <w:r w:rsidR="00B52EE1" w:rsidRPr="00CB6923">
        <w:rPr>
          <w:rFonts w:ascii="Times New Roman" w:hAnsi="Times New Roman"/>
          <w:szCs w:val="24"/>
        </w:rPr>
        <w:sym w:font="Wingdings" w:char="F0E0"/>
      </w:r>
      <w:r w:rsidRPr="00CB6923">
        <w:rPr>
          <w:rFonts w:ascii="Times New Roman" w:hAnsi="Times New Roman"/>
          <w:szCs w:val="24"/>
        </w:rPr>
        <w:t xml:space="preserv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indicative of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formation on discharge (see SI for detailed calculations, Table S</w:t>
      </w:r>
      <w:r w:rsidR="00AA64E0" w:rsidRPr="00CB6923">
        <w:rPr>
          <w:rFonts w:ascii="Times New Roman" w:hAnsi="Times New Roman"/>
          <w:szCs w:val="24"/>
        </w:rPr>
        <w:t>3</w:t>
      </w:r>
      <w:r w:rsidRPr="00CB6923">
        <w:rPr>
          <w:rFonts w:ascii="Times New Roman" w:hAnsi="Times New Roman"/>
          <w:szCs w:val="24"/>
        </w:rPr>
        <w:t>).</w:t>
      </w:r>
    </w:p>
    <w:p w14:paraId="368B649B" w14:textId="621D9DE7" w:rsidR="009544A7" w:rsidRPr="00CB6923" w:rsidRDefault="009544A7" w:rsidP="00416C39">
      <w:pPr>
        <w:pStyle w:val="TAMainText"/>
        <w:spacing w:after="240"/>
        <w:ind w:firstLine="720"/>
        <w:jc w:val="left"/>
        <w:rPr>
          <w:rFonts w:ascii="Times New Roman" w:hAnsi="Times New Roman"/>
          <w:szCs w:val="24"/>
        </w:rPr>
      </w:pPr>
      <w:r w:rsidRPr="00CB6923">
        <w:rPr>
          <w:rFonts w:ascii="Times New Roman" w:hAnsi="Times New Roman"/>
          <w:szCs w:val="24"/>
        </w:rPr>
        <w:t>The noise seen in the data from the pressure measurement is due to electrical interference at the pressure transducer</w:t>
      </w:r>
      <w:r w:rsidR="002822AD" w:rsidRPr="00CB6923">
        <w:rPr>
          <w:rFonts w:ascii="Times New Roman" w:hAnsi="Times New Roman"/>
          <w:szCs w:val="24"/>
        </w:rPr>
        <w:t>.</w:t>
      </w:r>
      <w:r w:rsidRPr="00CB6923">
        <w:rPr>
          <w:rFonts w:ascii="Times New Roman" w:hAnsi="Times New Roman"/>
          <w:szCs w:val="24"/>
        </w:rPr>
        <w:t xml:space="preserve"> The transducer is electrically insulated from the rest of the cell body, however a small electrical connection to the cell (e.g., due to ineffective grounding) can interfere with the electrical signal recorded. As seen in the data, the noise in the pressure measurement is only observed during electrochemical cycling of the battery and not during OCV, demonstrating that the noise is related to electrical interference.</w:t>
      </w:r>
    </w:p>
    <w:p w14:paraId="73E3ECCB" w14:textId="71D6F009" w:rsidR="006D3046" w:rsidRPr="00CB6923" w:rsidRDefault="006D3046" w:rsidP="00416C39">
      <w:pPr>
        <w:pStyle w:val="TAMainText"/>
        <w:spacing w:after="240"/>
        <w:ind w:firstLine="720"/>
        <w:jc w:val="left"/>
        <w:rPr>
          <w:rFonts w:ascii="Times New Roman" w:hAnsi="Times New Roman"/>
          <w:szCs w:val="24"/>
        </w:rPr>
      </w:pPr>
      <w:r w:rsidRPr="00CB6923">
        <w:rPr>
          <w:rFonts w:ascii="Times New Roman" w:hAnsi="Times New Roman"/>
          <w:szCs w:val="24"/>
        </w:rPr>
        <w:t>Following the first discharge, the cell was disassembled and reassembled as shown in figure 6c. In this arrangement, the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is now electrically isolated and can only be chemically oxidized via a redox mediator, such as TEMPO. During galvanostatic charge, TEMPO is oxidized to TEMPO</w:t>
      </w:r>
      <w:r w:rsidRPr="00CB6923">
        <w:rPr>
          <w:rFonts w:ascii="Times New Roman" w:hAnsi="Times New Roman"/>
          <w:szCs w:val="24"/>
          <w:vertAlign w:val="superscript"/>
        </w:rPr>
        <w:t>+</w:t>
      </w:r>
      <w:r w:rsidRPr="00CB6923">
        <w:rPr>
          <w:rFonts w:ascii="Times New Roman" w:hAnsi="Times New Roman"/>
          <w:szCs w:val="24"/>
        </w:rPr>
        <w:t xml:space="preserve"> at the carbon electrode (depicted in figure 6c). The voltage plateau (figure 6d, red) is pinned at the TEMPO/TEMPO</w:t>
      </w:r>
      <w:r w:rsidRPr="00CB6923">
        <w:rPr>
          <w:rFonts w:ascii="Times New Roman" w:hAnsi="Times New Roman"/>
          <w:szCs w:val="24"/>
          <w:vertAlign w:val="superscript"/>
        </w:rPr>
        <w:t>+</w:t>
      </w:r>
      <w:r w:rsidRPr="00CB6923">
        <w:rPr>
          <w:rFonts w:ascii="Times New Roman" w:hAnsi="Times New Roman"/>
          <w:szCs w:val="24"/>
        </w:rPr>
        <w:t xml:space="preserve"> redox potential of 3.76</w:t>
      </w:r>
      <w:r w:rsidR="00446F73" w:rsidRPr="00CB6923">
        <w:rPr>
          <w:rFonts w:ascii="Times New Roman" w:hAnsi="Times New Roman"/>
          <w:szCs w:val="24"/>
        </w:rPr>
        <w:t xml:space="preserve"> </w:t>
      </w:r>
      <w:r w:rsidRPr="00CB6923">
        <w:rPr>
          <w:rFonts w:ascii="Times New Roman" w:hAnsi="Times New Roman"/>
          <w:szCs w:val="24"/>
        </w:rPr>
        <w:t>V vs Li/Li</w:t>
      </w:r>
      <w:r w:rsidRPr="00CB6923">
        <w:rPr>
          <w:rFonts w:ascii="Times New Roman" w:hAnsi="Times New Roman"/>
          <w:szCs w:val="24"/>
          <w:vertAlign w:val="superscript"/>
        </w:rPr>
        <w:t>+</w:t>
      </w:r>
      <w:r w:rsidRPr="00CB6923">
        <w:rPr>
          <w:rFonts w:ascii="Times New Roman" w:hAnsi="Times New Roman"/>
          <w:szCs w:val="24"/>
        </w:rPr>
        <w:t>. The TEMPO</w:t>
      </w:r>
      <w:r w:rsidRPr="00CB6923">
        <w:rPr>
          <w:rFonts w:ascii="Times New Roman" w:hAnsi="Times New Roman"/>
          <w:szCs w:val="24"/>
          <w:vertAlign w:val="superscript"/>
        </w:rPr>
        <w:t>+</w:t>
      </w:r>
      <w:r w:rsidRPr="00CB6923">
        <w:rPr>
          <w:rFonts w:ascii="Times New Roman" w:hAnsi="Times New Roman"/>
          <w:szCs w:val="24"/>
        </w:rPr>
        <w:t xml:space="preserve"> then diffuses to the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and chemically oxidizes the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to form O</w:t>
      </w:r>
      <w:r w:rsidRPr="00CB6923">
        <w:rPr>
          <w:rFonts w:ascii="Times New Roman" w:hAnsi="Times New Roman"/>
          <w:szCs w:val="24"/>
          <w:vertAlign w:val="subscript"/>
        </w:rPr>
        <w:t>2</w:t>
      </w:r>
      <w:r w:rsidRPr="00CB6923">
        <w:rPr>
          <w:rFonts w:ascii="Times New Roman" w:hAnsi="Times New Roman"/>
          <w:szCs w:val="24"/>
        </w:rPr>
        <w:t>, which can be observed via the change in pressure (figure 6d, blue). The onset of gas evolution is slightly delayed compared to the application of constant current due to the delay in diffusion of TEMPO</w:t>
      </w:r>
      <w:r w:rsidRPr="00CB6923">
        <w:rPr>
          <w:rFonts w:ascii="Times New Roman" w:hAnsi="Times New Roman"/>
          <w:szCs w:val="24"/>
          <w:vertAlign w:val="superscript"/>
        </w:rPr>
        <w:t>+</w:t>
      </w:r>
      <w:r w:rsidRPr="00CB6923">
        <w:rPr>
          <w:rFonts w:ascii="Times New Roman" w:hAnsi="Times New Roman"/>
          <w:szCs w:val="24"/>
        </w:rPr>
        <w:t xml:space="preserve"> from the cathode to the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as well as the diffusion of O</w:t>
      </w:r>
      <w:r w:rsidRPr="00CB6923">
        <w:rPr>
          <w:rFonts w:ascii="Times New Roman" w:hAnsi="Times New Roman"/>
          <w:szCs w:val="24"/>
          <w:vertAlign w:val="subscript"/>
        </w:rPr>
        <w:t>2</w:t>
      </w:r>
      <w:r w:rsidRPr="00CB6923">
        <w:rPr>
          <w:rFonts w:ascii="Times New Roman" w:hAnsi="Times New Roman"/>
          <w:szCs w:val="24"/>
        </w:rPr>
        <w:t xml:space="preserve"> gas from further inside the cell. The charge reaction, as measured via the oxygen evolution, deviates from the ideal 2 mole e</w:t>
      </w:r>
      <w:r w:rsidR="00446F73" w:rsidRPr="00CB6923">
        <w:rPr>
          <w:rFonts w:ascii="Times New Roman" w:hAnsi="Times New Roman"/>
          <w:szCs w:val="24"/>
          <w:vertAlign w:val="superscript"/>
        </w:rPr>
        <w:t>−</w:t>
      </w:r>
      <w:r w:rsidRPr="00CB6923">
        <w:rPr>
          <w:rFonts w:ascii="Times New Roman" w:hAnsi="Times New Roman"/>
          <w:szCs w:val="24"/>
        </w:rPr>
        <w:t>/mole O</w:t>
      </w:r>
      <w:r w:rsidRPr="00CB6923">
        <w:rPr>
          <w:rFonts w:ascii="Times New Roman" w:hAnsi="Times New Roman"/>
          <w:szCs w:val="24"/>
          <w:vertAlign w:val="subscript"/>
        </w:rPr>
        <w:t>2</w:t>
      </w:r>
      <w:r w:rsidRPr="00CB6923">
        <w:rPr>
          <w:rFonts w:ascii="Times New Roman" w:hAnsi="Times New Roman"/>
          <w:szCs w:val="24"/>
        </w:rPr>
        <w:t xml:space="preserve"> (see SI, Table S11) due to parasitic reactions. </w:t>
      </w:r>
      <w:r w:rsidR="009436F8" w:rsidRPr="00CB6923">
        <w:rPr>
          <w:rFonts w:ascii="Times New Roman" w:hAnsi="Times New Roman"/>
          <w:szCs w:val="24"/>
        </w:rPr>
        <w:t>However,</w:t>
      </w:r>
      <w:r w:rsidR="004140CF" w:rsidRPr="00CB6923">
        <w:rPr>
          <w:rFonts w:ascii="Times New Roman" w:hAnsi="Times New Roman"/>
          <w:szCs w:val="24"/>
        </w:rPr>
        <w:t xml:space="preserve"> some</w:t>
      </w:r>
      <w:r w:rsidR="009436F8" w:rsidRPr="00CB6923">
        <w:rPr>
          <w:rFonts w:ascii="Times New Roman" w:hAnsi="Times New Roman"/>
          <w:szCs w:val="24"/>
        </w:rPr>
        <w:t xml:space="preserve"> parasitic reactions and the subsequent deviation of mole </w:t>
      </w:r>
      <w:r w:rsidR="00471990" w:rsidRPr="00CB6923">
        <w:rPr>
          <w:rFonts w:ascii="Times New Roman" w:hAnsi="Times New Roman"/>
        </w:rPr>
        <w:t>e</w:t>
      </w:r>
      <w:r w:rsidR="00471990" w:rsidRPr="00CB6923">
        <w:rPr>
          <w:rFonts w:ascii="Times New Roman" w:hAnsi="Times New Roman"/>
          <w:vertAlign w:val="superscript"/>
        </w:rPr>
        <w:t>−</w:t>
      </w:r>
      <w:r w:rsidR="009436F8" w:rsidRPr="00CB6923">
        <w:rPr>
          <w:rFonts w:ascii="Times New Roman" w:hAnsi="Times New Roman"/>
          <w:szCs w:val="24"/>
        </w:rPr>
        <w:t>/mole gas evolved is observed even in cells where the Li</w:t>
      </w:r>
      <w:r w:rsidR="009436F8" w:rsidRPr="00CB6923">
        <w:rPr>
          <w:rFonts w:ascii="Times New Roman" w:hAnsi="Times New Roman"/>
          <w:szCs w:val="24"/>
          <w:vertAlign w:val="subscript"/>
        </w:rPr>
        <w:t>2</w:t>
      </w:r>
      <w:r w:rsidR="009436F8" w:rsidRPr="00CB6923">
        <w:rPr>
          <w:rFonts w:ascii="Times New Roman" w:hAnsi="Times New Roman"/>
          <w:szCs w:val="24"/>
        </w:rPr>
        <w:t>O</w:t>
      </w:r>
      <w:r w:rsidR="009436F8" w:rsidRPr="00CB6923">
        <w:rPr>
          <w:rFonts w:ascii="Times New Roman" w:hAnsi="Times New Roman"/>
          <w:szCs w:val="24"/>
          <w:vertAlign w:val="subscript"/>
        </w:rPr>
        <w:t>2</w:t>
      </w:r>
      <w:r w:rsidR="009436F8" w:rsidRPr="00CB6923">
        <w:rPr>
          <w:rFonts w:ascii="Times New Roman" w:hAnsi="Times New Roman"/>
          <w:szCs w:val="24"/>
        </w:rPr>
        <w:t xml:space="preserve"> in electrical contact with the current collector (figure S1</w:t>
      </w:r>
      <w:r w:rsidR="00075531" w:rsidRPr="00CB6923">
        <w:rPr>
          <w:rFonts w:ascii="Times New Roman" w:hAnsi="Times New Roman"/>
          <w:szCs w:val="24"/>
        </w:rPr>
        <w:t>7</w:t>
      </w:r>
      <w:r w:rsidR="009436F8" w:rsidRPr="00CB6923">
        <w:rPr>
          <w:rFonts w:ascii="Times New Roman" w:hAnsi="Times New Roman"/>
          <w:szCs w:val="24"/>
        </w:rPr>
        <w:t>, Table S</w:t>
      </w:r>
      <w:r w:rsidR="00433490" w:rsidRPr="00CB6923">
        <w:rPr>
          <w:rFonts w:ascii="Times New Roman" w:hAnsi="Times New Roman"/>
          <w:szCs w:val="24"/>
        </w:rPr>
        <w:t>3</w:t>
      </w:r>
      <w:r w:rsidR="009436F8" w:rsidRPr="00CB6923">
        <w:rPr>
          <w:rFonts w:ascii="Times New Roman" w:hAnsi="Times New Roman"/>
          <w:szCs w:val="24"/>
        </w:rPr>
        <w:t xml:space="preserve">). </w:t>
      </w:r>
    </w:p>
    <w:p w14:paraId="0A816793" w14:textId="1D357BBF" w:rsidR="00A47D36" w:rsidRPr="00CB6923" w:rsidRDefault="0068353C" w:rsidP="00A47D36">
      <w:pPr>
        <w:pStyle w:val="TAMainText"/>
        <w:spacing w:after="240"/>
        <w:ind w:firstLine="720"/>
        <w:jc w:val="left"/>
        <w:rPr>
          <w:rFonts w:ascii="Times New Roman" w:hAnsi="Times New Roman"/>
          <w:szCs w:val="24"/>
        </w:rPr>
      </w:pPr>
      <w:r w:rsidRPr="00CB6923">
        <w:rPr>
          <w:rFonts w:ascii="Times New Roman" w:hAnsi="Times New Roman"/>
          <w:szCs w:val="24"/>
        </w:rPr>
        <w:lastRenderedPageBreak/>
        <w:t>In contrast, when a Li-Nafion membrane is placed between the electrically isolated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and the TEMPO/TEMPO</w:t>
      </w:r>
      <w:r w:rsidRPr="00CB6923">
        <w:rPr>
          <w:rFonts w:ascii="Times New Roman" w:hAnsi="Times New Roman"/>
          <w:szCs w:val="24"/>
          <w:vertAlign w:val="superscript"/>
        </w:rPr>
        <w:t>+</w:t>
      </w:r>
      <w:r w:rsidRPr="00CB6923">
        <w:rPr>
          <w:rFonts w:ascii="Times New Roman" w:hAnsi="Times New Roman"/>
          <w:szCs w:val="24"/>
        </w:rPr>
        <w:t xml:space="preserve"> (figure 6e), the amount of gas that is evolved relative to current passed decreases significantly (figure 6f). A ratio of more than 7 mol e</w:t>
      </w:r>
      <w:r w:rsidR="00446F73" w:rsidRPr="00CB6923">
        <w:rPr>
          <w:rFonts w:ascii="Times New Roman" w:hAnsi="Times New Roman"/>
          <w:szCs w:val="24"/>
          <w:vertAlign w:val="superscript"/>
        </w:rPr>
        <w:t>−</w:t>
      </w:r>
      <w:r w:rsidRPr="00CB6923">
        <w:rPr>
          <w:rFonts w:ascii="Times New Roman" w:hAnsi="Times New Roman"/>
          <w:szCs w:val="24"/>
        </w:rPr>
        <w:t>/mole O</w:t>
      </w:r>
      <w:r w:rsidRPr="00CB6923">
        <w:rPr>
          <w:rFonts w:ascii="Times New Roman" w:hAnsi="Times New Roman"/>
          <w:szCs w:val="24"/>
          <w:vertAlign w:val="subscript"/>
        </w:rPr>
        <w:t>2</w:t>
      </w:r>
      <w:r w:rsidRPr="00CB6923">
        <w:rPr>
          <w:rFonts w:ascii="Times New Roman" w:hAnsi="Times New Roman"/>
          <w:szCs w:val="24"/>
        </w:rPr>
        <w:t xml:space="preserve"> evolved was observed (Table S11). This suggests that TEMPO</w:t>
      </w:r>
      <w:r w:rsidRPr="00CB6923">
        <w:rPr>
          <w:rFonts w:ascii="Times New Roman" w:hAnsi="Times New Roman"/>
          <w:szCs w:val="24"/>
          <w:vertAlign w:val="superscript"/>
        </w:rPr>
        <w:t>+</w:t>
      </w:r>
      <w:r w:rsidRPr="00CB6923">
        <w:rPr>
          <w:rFonts w:ascii="Times New Roman" w:hAnsi="Times New Roman"/>
          <w:szCs w:val="24"/>
        </w:rPr>
        <w:t xml:space="preserve"> does not diffuse as easily across the Li-Nafion membrane and only a small amount of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was oxidized to O</w:t>
      </w:r>
      <w:r w:rsidRPr="00CB6923">
        <w:rPr>
          <w:rFonts w:ascii="Times New Roman" w:hAnsi="Times New Roman"/>
          <w:szCs w:val="24"/>
          <w:vertAlign w:val="subscript"/>
        </w:rPr>
        <w:t>2</w:t>
      </w:r>
      <w:r w:rsidRPr="00CB6923">
        <w:rPr>
          <w:rFonts w:ascii="Times New Roman" w:hAnsi="Times New Roman"/>
          <w:szCs w:val="24"/>
        </w:rPr>
        <w:t>. As a side note, due to overpotentials caused by the Li-Nafion ionic resistivity during galvanostatic oxidation,</w:t>
      </w:r>
      <w:r w:rsidR="00A47D36"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mendeley":{"formattedCitation":"&lt;sup&gt;23&lt;/sup&gt;","plainTextFormattedCitation":"23","previouslyFormattedCitation":"&lt;sup&gt;23&lt;/sup&gt;"},"properties":{"noteIndex":0},"schema":"https://github.com/citation-style-language/schema/raw/master/csl-citation.json"}</w:instrText>
      </w:r>
      <w:r w:rsidR="00A47D36" w:rsidRPr="00CB6923">
        <w:rPr>
          <w:rFonts w:ascii="Times New Roman" w:hAnsi="Times New Roman"/>
          <w:szCs w:val="24"/>
        </w:rPr>
        <w:fldChar w:fldCharType="separate"/>
      </w:r>
      <w:r w:rsidR="00592AF7" w:rsidRPr="00CB6923">
        <w:rPr>
          <w:rFonts w:ascii="Times New Roman" w:hAnsi="Times New Roman"/>
          <w:noProof/>
          <w:szCs w:val="24"/>
          <w:vertAlign w:val="superscript"/>
        </w:rPr>
        <w:t>23</w:t>
      </w:r>
      <w:r w:rsidR="00A47D36" w:rsidRPr="00CB6923">
        <w:rPr>
          <w:rFonts w:ascii="Times New Roman" w:hAnsi="Times New Roman"/>
          <w:szCs w:val="24"/>
        </w:rPr>
        <w:fldChar w:fldCharType="end"/>
      </w:r>
      <w:r w:rsidR="00A47D36" w:rsidRPr="00CB6923">
        <w:rPr>
          <w:rFonts w:ascii="Times New Roman" w:hAnsi="Times New Roman"/>
          <w:szCs w:val="24"/>
        </w:rPr>
        <w:t xml:space="preserve"> the 3.8 V vs Li/Li+ cutoff voltage was quickly reached. This limited the total capacity passed.</w:t>
      </w:r>
    </w:p>
    <w:p w14:paraId="568C2252" w14:textId="32767B4C" w:rsidR="0068353C" w:rsidRPr="00CB6923" w:rsidRDefault="00A47D36" w:rsidP="00A47D36">
      <w:pPr>
        <w:pStyle w:val="TAMainText"/>
        <w:spacing w:after="240"/>
        <w:ind w:firstLine="720"/>
        <w:jc w:val="left"/>
        <w:rPr>
          <w:rFonts w:ascii="Times New Roman" w:hAnsi="Times New Roman"/>
          <w:szCs w:val="24"/>
        </w:rPr>
      </w:pPr>
      <w:r w:rsidRPr="00CB6923">
        <w:rPr>
          <w:rFonts w:ascii="Times New Roman" w:hAnsi="Times New Roman"/>
          <w:szCs w:val="24"/>
        </w:rPr>
        <w:t>Combined, the flow crossover experiment (figure 5) and the operando pressure cell on charge (figure 6e, f) indicate that, if implemented in</w:t>
      </w:r>
      <w:r w:rsidR="00BA28F7" w:rsidRPr="00CB6923">
        <w:rPr>
          <w:rFonts w:ascii="Times New Roman" w:hAnsi="Times New Roman"/>
          <w:szCs w:val="24"/>
        </w:rPr>
        <w:t xml:space="preserve"> </w:t>
      </w:r>
      <w:r w:rsidRPr="00CB6923">
        <w:rPr>
          <w:rFonts w:ascii="Times New Roman" w:hAnsi="Times New Roman"/>
          <w:szCs w:val="24"/>
        </w:rPr>
        <w:t>a TEMPO-mediated LAB, the Li-Nafion can mitigate both TEMPO and TEMPO</w:t>
      </w:r>
      <w:r w:rsidRPr="00CB6923">
        <w:rPr>
          <w:rFonts w:ascii="Times New Roman" w:hAnsi="Times New Roman"/>
          <w:szCs w:val="24"/>
          <w:vertAlign w:val="superscript"/>
        </w:rPr>
        <w:t>+</w:t>
      </w:r>
      <w:r w:rsidRPr="00CB6923">
        <w:rPr>
          <w:rFonts w:ascii="Times New Roman" w:hAnsi="Times New Roman"/>
          <w:szCs w:val="24"/>
        </w:rPr>
        <w:t xml:space="preserve"> crossover: a reduction by a factor of ~15x and ~7x is achieved for TEMPO and TEMPO</w:t>
      </w:r>
      <w:r w:rsidRPr="00CB6923">
        <w:rPr>
          <w:rFonts w:ascii="Times New Roman" w:hAnsi="Times New Roman"/>
          <w:szCs w:val="24"/>
          <w:vertAlign w:val="superscript"/>
        </w:rPr>
        <w:t>+</w:t>
      </w:r>
      <w:r w:rsidRPr="00CB6923">
        <w:rPr>
          <w:rFonts w:ascii="Times New Roman" w:hAnsi="Times New Roman"/>
          <w:szCs w:val="24"/>
        </w:rPr>
        <w:t xml:space="preserve"> respectively when Li-Nafion is used (see SI for calculations).</w:t>
      </w:r>
    </w:p>
    <w:p w14:paraId="70528C53" w14:textId="5F6BA681" w:rsidR="00BB48FF" w:rsidRPr="00CB6923" w:rsidRDefault="00D0084C" w:rsidP="004A24A5">
      <w:pPr>
        <w:pStyle w:val="TAMainText"/>
        <w:spacing w:after="240"/>
        <w:ind w:firstLine="0"/>
        <w:jc w:val="left"/>
        <w:rPr>
          <w:rFonts w:ascii="Times New Roman" w:hAnsi="Times New Roman"/>
          <w:szCs w:val="24"/>
        </w:rPr>
      </w:pPr>
      <w:r w:rsidRPr="00CB6923">
        <w:rPr>
          <w:rFonts w:ascii="Times New Roman" w:hAnsi="Times New Roman"/>
          <w:szCs w:val="24"/>
        </w:rPr>
        <w:t>DISCUSSION</w:t>
      </w:r>
    </w:p>
    <w:p w14:paraId="710148A4" w14:textId="49839717" w:rsidR="00F5230D" w:rsidRPr="00CB6923" w:rsidRDefault="00E95331" w:rsidP="00416C39">
      <w:pPr>
        <w:pStyle w:val="TAMainText"/>
        <w:spacing w:after="240"/>
        <w:ind w:firstLine="720"/>
        <w:jc w:val="left"/>
        <w:rPr>
          <w:rFonts w:ascii="Times New Roman" w:hAnsi="Times New Roman"/>
          <w:szCs w:val="24"/>
        </w:rPr>
      </w:pPr>
      <w:r w:rsidRPr="00CB6923">
        <w:t>Although TEMPO</w:t>
      </w:r>
      <w:r w:rsidRPr="00CB6923">
        <w:rPr>
          <w:vertAlign w:val="superscript"/>
        </w:rPr>
        <w:t>+</w:t>
      </w:r>
      <w:r w:rsidRPr="00CB6923">
        <w:t xml:space="preserve"> is a diamagnetic ion, it was not </w:t>
      </w:r>
      <w:r w:rsidR="00BE4191" w:rsidRPr="00CB6923">
        <w:t>easily</w:t>
      </w:r>
      <w:r w:rsidRPr="00CB6923">
        <w:t xml:space="preserve"> detected in the </w:t>
      </w:r>
      <w:r w:rsidRPr="00CB6923">
        <w:rPr>
          <w:vertAlign w:val="superscript"/>
        </w:rPr>
        <w:t>1</w:t>
      </w:r>
      <w:r w:rsidRPr="00CB6923">
        <w:t>H NMR spectra in these experiments</w:t>
      </w:r>
      <w:r w:rsidR="00BE4191" w:rsidRPr="00CB6923">
        <w:t xml:space="preserve"> (figure S</w:t>
      </w:r>
      <w:r w:rsidR="005F5F62" w:rsidRPr="00CB6923">
        <w:t>4</w:t>
      </w:r>
      <w:r w:rsidR="00BE4191" w:rsidRPr="00CB6923">
        <w:t>)</w:t>
      </w:r>
      <w:r w:rsidRPr="00CB6923">
        <w:t>. Fast intermolecular electron transfer between diamagnetic TEMPO</w:t>
      </w:r>
      <w:r w:rsidRPr="00CB6923">
        <w:rPr>
          <w:vertAlign w:val="superscript"/>
        </w:rPr>
        <w:t>+</w:t>
      </w:r>
      <w:r w:rsidRPr="00CB6923">
        <w:t xml:space="preserve"> and paramagnetic TEMPO has been studied previously characterized to explain the challenges in NMR detection:</w:t>
      </w:r>
      <w:r w:rsidRPr="00CB6923">
        <w:rPr>
          <w:rFonts w:ascii="Times New Roman" w:hAnsi="Times New Roman"/>
          <w:szCs w:val="24"/>
        </w:rPr>
        <w:fldChar w:fldCharType="begin" w:fldLock="1"/>
      </w:r>
      <w:r w:rsidR="00737675" w:rsidRPr="00CB6923">
        <w:rPr>
          <w:rFonts w:ascii="Times New Roman" w:hAnsi="Times New Roman"/>
          <w:szCs w:val="24"/>
        </w:rPr>
        <w:instrText xml:space="preserve">ADDIN CSL_CITATION {"citationItems":[{"id":"ITEM-1","itemData":{"DOI":"10.1021/acs.joc.7b00846","ISSN":"15206904","PMID":"28831799","abstract":"Three new homologous TEMPO oxoammonium salts and three homologous nitroxide radicals have been prepared and characterized. The oxidation properties of the salts have been explored. The direct 13C NMR and EPR spectra of the nitroxide free radicals and the oxoammonium salts, along with TEMPO and its oxoammonium salt, have been successfully measured with little peak broadening of the NMR signals. In the spectra of all ten compounds (nitroxides and corresponding oxoammonium salts), the carbons in the 2,2,6,6-tetramethylpiperidine core do not appear, implying paramagnetic properties. This unpredicted overall paramagnetism in the oxoammonium salt solutions is explained by a redox equilibrium as shown between oxoammonium salts and trace amounts of corresponding nitroxide. This equilibrium is confirmed by electron interchange reactions between nitroxides with an N-acetyl substituent and oxoammonium salts with longer acyl side chains.","author":[{"dropping-particle":"","family":"Bobbitt","given":"James M.","non-dropping-particle":"","parse-names":false,"suffix":""},{"dropping-particle":"","family":"Eddy","given":"Nicholas A.","non-dropping-particle":"","parse-names":false,"suffix":""},{"dropping-particle":"","family":"Cady","given":"Clyde X.","non-dropping-particle":"","parse-names":false,"suffix":""},{"dropping-particle":"","family":"Jin","given":"Jing","non-dropping-particle":"","parse-names":false,"suffix":""},{"dropping-particle":"","family":"Gascon","given":"Jose A.","non-dropping-particle":"","parse-names":false,"suffix":""},{"dropping-particle":"","family":"Gelpí-Dominguez","given":"Svetlana","non-dropping-particle":"","parse-names":false,"suffix":""},{"dropping-particle":"","family":"Zakrzewski","given":"Jerzy","non-dropping-particle":"","parse-names":false,"suffix":""},{"dropping-particle":"","family":"Morton","given":"Martha D.","non-dropping-particle":"","parse-names":false,"suffix":""}],"container-title":"Journal of Organic Chemistry","id":"ITEM-1","issue":"18","issued":{"date-parts":[["2017"]]},"page":"9279-9290","title":"Preparation of Some Homologous TEMPO Nitroxides and Oxoammonium Salts; Notes on the NMR Spectroscopy of Nitroxide Free Radicals; Observed Radical Nature of Oxoammonium Salt Solutions Containing Trace Amounts of Corresponding Nitroxides in an Equilibrium R","type":"article-journal","volume":"82"},"uris":["http://www.mendeley.com/documents/?uuid=9bab9bf1-eb2a-462b-ad76-396f8c799bfd"]},{"id":"ITEM-2","itemData":{"DOI":"10.1007/s00723-016-0854-9","ISSN":"09379347","abstract":"EPR spectra of perdeuterated 2,2,6,6-tetramethyl-4-oxopiperidine-1-oxyl (PDT) are studied as functions of molar concentration, c, and temperature, T, in water and 70 wt % glycerol in water. The increase of the intrinsic line width averaged over the three hyperfine lines, </w:instrText>
      </w:r>
      <w:r w:rsidR="00737675" w:rsidRPr="00CB6923">
        <w:rPr>
          <w:rFonts w:ascii="Cambria Math" w:hAnsi="Cambria Math" w:cs="Cambria Math"/>
          <w:szCs w:val="24"/>
        </w:rPr>
        <w:instrText>〈</w:instrText>
      </w:r>
      <w:r w:rsidR="00737675" w:rsidRPr="00CB6923">
        <w:rPr>
          <w:rFonts w:ascii="Times New Roman" w:hAnsi="Times New Roman"/>
          <w:szCs w:val="24"/>
        </w:rPr>
        <w:instrText>Btot</w:instrText>
      </w:r>
      <w:r w:rsidR="00737675" w:rsidRPr="00CB6923">
        <w:rPr>
          <w:rFonts w:ascii="Cambria Math" w:hAnsi="Cambria Math" w:cs="Cambria Math"/>
          <w:szCs w:val="24"/>
        </w:rPr>
        <w:instrText>〉</w:instrText>
      </w:r>
      <w:r w:rsidR="00737675" w:rsidRPr="00CB6923">
        <w:rPr>
          <w:rFonts w:ascii="Times New Roman" w:hAnsi="Times New Roman"/>
          <w:szCs w:val="24"/>
        </w:rPr>
        <w:instrText>, varies linearly with c with zero intercept in both solvents at all temperatures; therefore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Btot</w:instrText>
      </w:r>
      <w:r w:rsidR="00737675" w:rsidRPr="00CB6923">
        <w:rPr>
          <w:rFonts w:ascii="Cambria Math" w:hAnsi="Cambria Math" w:cs="Cambria Math"/>
          <w:szCs w:val="24"/>
        </w:rPr>
        <w:instrText>〉</w:instrText>
      </w:r>
      <w:r w:rsidR="00737675" w:rsidRPr="00CB6923">
        <w:rPr>
          <w:rFonts w:ascii="Times New Roman" w:hAnsi="Times New Roman"/>
          <w:szCs w:val="24"/>
        </w:rPr>
        <w:instrText xml:space="preserve">/dc is independent of c. The spin exchange induced dispersion, from which the spin exchange frequency, ωe, may be computed, increases linearly with </w:instrText>
      </w:r>
      <w:r w:rsidR="00737675" w:rsidRPr="00CB6923">
        <w:rPr>
          <w:rFonts w:ascii="Cambria Math" w:hAnsi="Cambria Math" w:cs="Cambria Math"/>
          <w:szCs w:val="24"/>
        </w:rPr>
        <w:instrText>〈</w:instrText>
      </w:r>
      <w:r w:rsidR="00737675" w:rsidRPr="00CB6923">
        <w:rPr>
          <w:rFonts w:ascii="Times New Roman" w:hAnsi="Times New Roman"/>
          <w:szCs w:val="24"/>
        </w:rPr>
        <w:instrText>Btot</w:instrText>
      </w:r>
      <w:r w:rsidR="00737675" w:rsidRPr="00CB6923">
        <w:rPr>
          <w:rFonts w:ascii="Cambria Math" w:hAnsi="Cambria Math" w:cs="Cambria Math"/>
          <w:szCs w:val="24"/>
        </w:rPr>
        <w:instrText>〉</w:instrText>
      </w:r>
      <w:r w:rsidR="00737675" w:rsidRPr="00CB6923">
        <w:rPr>
          <w:rFonts w:ascii="Times New Roman" w:hAnsi="Times New Roman"/>
          <w:szCs w:val="24"/>
        </w:rPr>
        <w:instrText xml:space="preserve">, passing through the origin in water and in 70% glycerol at high temperatures; however, at low temperatures, where dipolar interactions broaden the spectra, linearity does not prevail until </w:instrText>
      </w:r>
      <w:r w:rsidR="00737675" w:rsidRPr="00CB6923">
        <w:rPr>
          <w:rFonts w:ascii="Cambria Math" w:hAnsi="Cambria Math" w:cs="Cambria Math"/>
          <w:szCs w:val="24"/>
        </w:rPr>
        <w:instrText>〈</w:instrText>
      </w:r>
      <w:r w:rsidR="00737675" w:rsidRPr="00CB6923">
        <w:rPr>
          <w:rFonts w:ascii="Times New Roman" w:hAnsi="Times New Roman"/>
          <w:szCs w:val="24"/>
        </w:rPr>
        <w:instrText>Btot</w:instrText>
      </w:r>
      <w:r w:rsidR="00737675" w:rsidRPr="00CB6923">
        <w:rPr>
          <w:rFonts w:ascii="Cambria Math" w:hAnsi="Cambria Math" w:cs="Cambria Math"/>
          <w:szCs w:val="24"/>
        </w:rPr>
        <w:instrText>〉</w:instrText>
      </w:r>
      <w:r w:rsidR="00737675" w:rsidRPr="00CB6923">
        <w:rPr>
          <w:rFonts w:ascii="Times New Roman" w:hAnsi="Times New Roman"/>
          <w:szCs w:val="24"/>
        </w:rPr>
        <w:instrText xml:space="preserve"> &gt; 1 G due to a contribution of dipolar interactions to the dispersion. The broadening constant due to spin exchange,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Be</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is found from the slope of the linear region, permitting a computation of the dipolar constant,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Bdip</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Btot</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Be</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Thus, the separation of concentration broadening into spin exchange and dipolar contributions is effected without having to appeal to some supposed temperature dependence of the two interactions. The fractional broadening by spin exchange, Ω(T), is near unity at high temperatures in both solvents, decreasing to zero in 70% glycerol at 273 K. Ω(T) is a continuous function of the inverse rotational correlation time of PDT but is discontinuous as a function of T/η where η is the shear viscosity. Ω(T) ) 0.5, where spin exchange and dipolar interactions contribute equally to the line width occurs at T/η ) 20 ( 1 K/cP in 70% glycerol. Hydrodynamic predictions of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Be</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via the Stokes-Einstein (SE) equation are remarkably accurate in 70% glycerol comparable with the results in a series of alkanes. In water,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Be</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is linear with T/η with zero intercept as required by the SE; however, with slope a factor of 0.73 smaller.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Bdip</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is reasonably predicted by the SE only at very small values of η/T very quickly following an approximately logarithmic dependence rather that the linear prediction. Values of d</w:instrText>
      </w:r>
      <w:r w:rsidR="00737675" w:rsidRPr="00CB6923">
        <w:rPr>
          <w:rFonts w:ascii="Cambria Math" w:hAnsi="Cambria Math" w:cs="Cambria Math"/>
          <w:szCs w:val="24"/>
        </w:rPr>
        <w:instrText>〈</w:instrText>
      </w:r>
      <w:r w:rsidR="00737675" w:rsidRPr="00CB6923">
        <w:rPr>
          <w:rFonts w:ascii="Times New Roman" w:hAnsi="Times New Roman"/>
          <w:szCs w:val="24"/>
        </w:rPr>
        <w:instrText>Bdip</w:instrText>
      </w:r>
      <w:r w:rsidR="00737675" w:rsidRPr="00CB6923">
        <w:rPr>
          <w:rFonts w:ascii="Cambria Math" w:hAnsi="Cambria Math" w:cs="Cambria Math"/>
          <w:szCs w:val="24"/>
        </w:rPr>
        <w:instrText>〉</w:instrText>
      </w:r>
      <w:r w:rsidR="00737675" w:rsidRPr="00CB6923">
        <w:rPr>
          <w:rFonts w:ascii="Times New Roman" w:hAnsi="Times New Roman"/>
          <w:szCs w:val="24"/>
        </w:rPr>
        <w:instrText>/dc approach a plateau above η/T ) 0.20 cP/K that is about one-half the solid state limit. Line shifts due to spin exchange are not yet useful to deduce values of Ω(T) due to a lack of knowledge of the time between re-encounters; however, they may be used to verify the values determined from line broadening and spin exchange induced dispersion. Some effects at low temperatures in 7…","author":[{"dropping-particle":"","family":"Bales","given":"Barney L.","non-dropping-particle":"","parse-names":false,"suffix":""},{"dropping-particle":"","family":"Michelle","given":"Meyer","non-dropping-particle":"","parse-names":false,"suffix":""},{"dropping-particle":"","family":"Smith","given":"Steve","non-dropping-particle":"","parse-names":false,"suffix":""},{"dropping-particle":"","family":"Peric","given":"Miroslav","non-dropping-particle":"","parse-names":false,"suffix":""}],"container-title":"Journal of Physical Chemistry A","id":"ITEM-2","issued":{"date-parts":[["2009"]]},"page":"4930-4940","title":"EPR Line Shifts and Line Shape Changes Due to Spin Exchange Between Nitroxide Free Radicals in Liquids: 6. Separating Line Broadening due to Spin Exchange and Dipolar Interactions","type":"article-journal","volume":"113"},"uris":["http://www.mendeley.com/documents/?uuid=7ca5117a-2d34-4cd0-b7e3-cdef319fcb15"]},{"id":"ITEM-3","itemData":{"DOI":"10.1038/s41586-020-2081-7","ISSN":"14764687","PMID":"32123353","abstract":"Large-scale energy storage is becoming increasingly critical to balancing renewable energy production and consumption1. Organic redox flow batteries, made from inexpensive and sustainable redox-active materials, are promising storage technologies that are cheaper and less environmentally hazardous than vanadium-based batteries, but they have shorter lifetimes and lower energy density2,3. Thus, fundamental insight at the molecular level is required to improve performance4,5. Here we report two in situ nuclear magnetic resonance (NMR) methods of studying redox flow batteries, which are applied to two redox-active electrolytes: 2,6-dihydroxyanthraquinone (DHA</w:instrText>
      </w:r>
      <w:r w:rsidR="00737675" w:rsidRPr="00CB6923">
        <w:rPr>
          <w:rFonts w:ascii="Times New Roman" w:hAnsi="Times New Roman" w:hint="eastAsia"/>
          <w:szCs w:val="24"/>
        </w:rPr>
        <w:instrText>Q) and 4,4</w:instrText>
      </w:r>
      <w:r w:rsidR="00737675" w:rsidRPr="00CB6923">
        <w:rPr>
          <w:rFonts w:ascii="Times New Roman" w:hAnsi="Times New Roman" w:hint="eastAsia"/>
          <w:szCs w:val="24"/>
        </w:rPr>
        <w:instrText>′</w:instrText>
      </w:r>
      <w:r w:rsidR="00737675" w:rsidRPr="00CB6923">
        <w:rPr>
          <w:rFonts w:ascii="Times New Roman" w:hAnsi="Times New Roman" w:hint="eastAsia"/>
          <w:szCs w:val="24"/>
        </w:rPr>
        <w:instrText>-((9,10-anthraquinone-2,6-diyl)dioxy) dibutyrate (DBEAQ). In the first method, we monitor the changes in the 1H NMR shift of the liquid electrolyte as it flows out of the electrochemical cell. In the second method, we observe the changes that o</w:instrText>
      </w:r>
      <w:r w:rsidR="00737675" w:rsidRPr="00CB6923">
        <w:rPr>
          <w:rFonts w:ascii="Times New Roman" w:hAnsi="Times New Roman"/>
          <w:szCs w:val="24"/>
        </w:rPr>
        <w:instrText>ccur simultaneously in the positive and negative electrodes in the full electrochemical cell. Using the bulk magnetization changes (observed via the 1H NMR shift of the water resonance) and the line broadening of the 1H shifts of the quinone resonances as a function of the state of charge, we measure the potential differences of the two single-electron couples, identify and quantify the rate of electron transfer between the reduced and oxidized species, and determine the extent of electron delocalization of the unpaired spins over the radical anions. These NMR techniques enable electrolyte decomposition and battery self-discharge to be explored in real time, and show that DHAQ is decomposed electrochemically via a reaction that can be minimized by limiting the voltage used on charging. We foresee applications of these NMR methods in understanding a wide range of redox processes in flow and other electrochemical systems.","author":[{"dropping-particle":"","family":"Zhao","given":"Evan Wenbo","non-dropping-particle":"","parse-names":false,"suffix":""},{"dropping-particle":"","family":"Liu","given":"Tao","non-dropping-particle":"","parse-names":false,"suffix":""},{"dropping-particle":"","family":"Jónsson","given":"Erlendur","non-dropping-particle":"","parse-names":false,"suffix":""},{"dropping-particle":"","family":"Lee","given":"Jeongjae","non-dropping-particle":"","parse-names":false,"suffix":""},{"dropping-particle":"","family":"Temprano","given":"Israel","non-dropping-particle":"","parse-names":false,"suffix":""},{"dropping-particle":"","family":"Jethwa","given":"Rajesh B.","non-dropping-particle":"","parse-names":false,"suffix":""},{"dropping-particle":"","family":"Wang","given":"Anqi","non-dropping-particle":"","parse-names":false,"suffix":""},{"dropping-particle":"","family":"Smith","given":"Holly","non-dropping-particle":"","parse-names":false,"suffix":""},{"dropping-particle":"","family":"Carretero-González","given":"Javier","non-dropping-particle":"","parse-names":false,"suffix":""},{"dropping-particle":"","family":"Song","given":"Qilei","non-dropping-particle":"","parse-names":false,"suffix":""},{"dropping-particle":"","family":"Grey","given":"Clare P.","non-dropping-particle":"","parse-names":false,"suffix":""}],"container-title":"Nature","id":"ITEM-3","issue":"7798","issued":{"date-parts":[["2020"]]},"page":"224-228","publisher":"Springer US","title":"In situ NMR metrology reveals reaction mechanisms in redox flow batteries","type":"article-journal","volume":"579"},"uris":["http://www.mendeley.com/documents/?uuid=fcddc4d2-0784-4884-a171-34f87471575f"]}],"mendeley":{"formattedCitation":"&lt;sup&gt;31,32,43&lt;/sup&gt;","plainTextFormattedCitation":"31,32,43","previouslyFormattedCitation":"&lt;sup&gt;31,32,43&lt;/sup&gt;"},"properties":{"noteIndex":0},"schema":"https://github.com/citation-style-language/schema/raw/master/csl-citation.json"}</w:instrText>
      </w:r>
      <w:r w:rsidRPr="00CB6923">
        <w:rPr>
          <w:rFonts w:ascii="Times New Roman" w:hAnsi="Times New Roman"/>
          <w:szCs w:val="24"/>
        </w:rPr>
        <w:fldChar w:fldCharType="separate"/>
      </w:r>
      <w:r w:rsidR="00737675" w:rsidRPr="00CB6923">
        <w:rPr>
          <w:rFonts w:ascii="Times New Roman" w:hAnsi="Times New Roman"/>
          <w:noProof/>
          <w:szCs w:val="24"/>
          <w:vertAlign w:val="superscript"/>
        </w:rPr>
        <w:t>31,32,43</w:t>
      </w:r>
      <w:r w:rsidRPr="00CB6923">
        <w:rPr>
          <w:rFonts w:ascii="Times New Roman" w:hAnsi="Times New Roman"/>
          <w:szCs w:val="24"/>
        </w:rPr>
        <w:fldChar w:fldCharType="end"/>
      </w:r>
      <w:r w:rsidR="00905399" w:rsidRPr="00CB6923">
        <w:t xml:space="preserve"> </w:t>
      </w:r>
      <w:r w:rsidR="00905399" w:rsidRPr="00CB6923">
        <w:rPr>
          <w:rFonts w:ascii="Times New Roman" w:hAnsi="Times New Roman"/>
          <w:szCs w:val="24"/>
        </w:rPr>
        <w:t xml:space="preserve">exchange between TEMPO and its oxidized form, on a timescale approaching the hyperfine interactions in TEMPO, results in severe line-broadening of the </w:t>
      </w:r>
      <w:r w:rsidR="00905399" w:rsidRPr="00CB6923">
        <w:rPr>
          <w:rFonts w:ascii="Times New Roman" w:hAnsi="Times New Roman"/>
          <w:szCs w:val="24"/>
          <w:vertAlign w:val="superscript"/>
        </w:rPr>
        <w:t>1</w:t>
      </w:r>
      <w:r w:rsidR="00905399" w:rsidRPr="00CB6923">
        <w:rPr>
          <w:rFonts w:ascii="Times New Roman" w:hAnsi="Times New Roman"/>
          <w:szCs w:val="24"/>
        </w:rPr>
        <w:t>H signals of TEMPO</w:t>
      </w:r>
      <w:r w:rsidR="00905399" w:rsidRPr="00CB6923">
        <w:rPr>
          <w:rFonts w:ascii="Times New Roman" w:hAnsi="Times New Roman"/>
          <w:szCs w:val="24"/>
          <w:vertAlign w:val="superscript"/>
        </w:rPr>
        <w:t>+</w:t>
      </w:r>
      <w:r w:rsidR="00905399" w:rsidRPr="00CB6923">
        <w:rPr>
          <w:rFonts w:ascii="Times New Roman" w:hAnsi="Times New Roman"/>
          <w:szCs w:val="24"/>
        </w:rPr>
        <w:t xml:space="preserve"> making direct NMR detection difficult if even small concentrations of TEMPO are present in the solution.</w:t>
      </w:r>
      <w:r w:rsidR="00905399"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{"citationItems":[{"id":"ITEM-1","itemData":{"DOI":"10.1021/acs.joc.7b00846","ISSN":"15206904","PMID":"28831799","abstract":"Three new homologous TEMPO oxoammonium salts and three homologous nitroxide radicals have been prepared and characterized. The oxidation properties of the salts have been explored. The direct 13C NMR and EPR spectra of the nitroxide free radicals and the oxoammonium salts, along with TEMPO and its oxoammonium salt, have been successfully measured with little peak broadening of the NMR signals. In the spectra of all ten compounds (nitroxides and corresponding oxoammonium salts), the carbons in the 2,2,6,6-tetramethylpiperidine core do not appear, implying paramagnetic properties. This unpredicted overall paramagnetism in the oxoammonium salt solutions is explained by a redox equilibrium as shown between oxoammonium salts and trace amounts of corresponding nitroxide. This equilibrium is confirmed by electron interchange reactions between nitroxides with an N-acetyl substituent and oxoammonium salts with longer acyl side chains.","author":[{"dropping-particle":"","family":"Bobbitt","given":"James M.","non-dropping-particle":"","parse-names":false,"suffix":""},{"dropping-particle":"","family":"Eddy","given":"Nicholas A.","non-dropping-particle":"","parse-names":false,"suffix":""},{"dropping-particle":"","family":"Cady","given":"Clyde X.","non-dropping-particle":"","parse-names":false,"suffix":""},{"dropping-particle":"","family":"Jin","given":"Jing","non-dropping-particle":"","parse-names":false,"suffix":""},{"dropping-particle":"","family":"Gascon","given":"Jose A.","non-dropping-particle":"","parse-names":false,"suffix":""},{"dropping-particle":"","family":"Gelpí-Dominguez","given":"Svetlana","non-dropping-particle":"","parse-names":false,"suffix":""},{"dropping-particle":"","family":"Zakrzewski","given":"Jerzy","non-dropping-particle":"","parse-names":false,"suffix":""},{"dropping-particle":"","family":"Morton","given":"Martha D.","non-dropping-particle":"","parse-names":false,"suffix":""}],"container-title":"Journal of Organic Chemistry","id":"ITEM-1","issue":"18","issued":{"date-parts":[["2017"]]},"page":"9279-9290","title":"Preparation of Some Homologous TEMPO Nitroxides and Oxoammonium Salts; Notes on the NMR Spectroscopy of Nitroxide Free Radicals; Observed Radical Nature of Oxoammonium Salt Solutions Containing Trace Amounts of Corresponding Nitroxides in an Equilibrium R","type":"article-journal","volume":"82"},"uris":["http://www.mendeley.com/documents/?uuid=9bab9bf1-eb2a-462b-ad76-396f8c799bfd"]}],"mendeley":{"formattedCitation":"&lt;sup&gt;43&lt;/sup&gt;","plainTextFormattedCitation":"43","previouslyFormattedCitation":"&lt;sup&gt;43&lt;/sup&gt;"},"properties":{"noteIndex":0},"schema":"https://github.com/citation-style-language/schema/raw/master/csl-citation.json"}</w:instrText>
      </w:r>
      <w:r w:rsidR="00905399" w:rsidRPr="00CB6923">
        <w:rPr>
          <w:rFonts w:ascii="Times New Roman" w:hAnsi="Times New Roman"/>
          <w:szCs w:val="24"/>
        </w:rPr>
        <w:fldChar w:fldCharType="separate"/>
      </w:r>
      <w:r w:rsidR="00737675" w:rsidRPr="00CB6923">
        <w:rPr>
          <w:rFonts w:ascii="Times New Roman" w:hAnsi="Times New Roman"/>
          <w:noProof/>
          <w:szCs w:val="24"/>
          <w:vertAlign w:val="superscript"/>
        </w:rPr>
        <w:t>43</w:t>
      </w:r>
      <w:r w:rsidR="00905399" w:rsidRPr="00CB6923">
        <w:rPr>
          <w:rFonts w:ascii="Times New Roman" w:hAnsi="Times New Roman"/>
          <w:szCs w:val="24"/>
        </w:rPr>
        <w:fldChar w:fldCharType="end"/>
      </w:r>
      <w:r w:rsidR="004E246B" w:rsidRPr="00CB6923">
        <w:rPr>
          <w:rFonts w:ascii="Times New Roman" w:hAnsi="Times New Roman"/>
          <w:szCs w:val="24"/>
        </w:rPr>
        <w:t xml:space="preserve"> The paramagnetic properties, however enables detection of radical species in solution based on the BMS shift in </w:t>
      </w:r>
      <w:r w:rsidR="004E246B" w:rsidRPr="00CB6923">
        <w:rPr>
          <w:rFonts w:ascii="Times New Roman" w:hAnsi="Times New Roman"/>
          <w:szCs w:val="24"/>
          <w:vertAlign w:val="superscript"/>
        </w:rPr>
        <w:t>1</w:t>
      </w:r>
      <w:r w:rsidR="004E246B" w:rsidRPr="00CB6923">
        <w:rPr>
          <w:rFonts w:ascii="Times New Roman" w:hAnsi="Times New Roman"/>
          <w:szCs w:val="24"/>
        </w:rPr>
        <w:t>H NMR spectra of the solvent, diglyme, as well as direct quantification through EPR.</w:t>
      </w:r>
      <w:r w:rsidR="00941AF3" w:rsidRPr="00CB6923">
        <w:rPr>
          <w:rFonts w:ascii="Times New Roman" w:hAnsi="Times New Roman"/>
          <w:szCs w:val="24"/>
        </w:rPr>
        <w:t xml:space="preserve"> </w:t>
      </w:r>
    </w:p>
    <w:p w14:paraId="5BC27876" w14:textId="65DDC9BB" w:rsidR="0095570C" w:rsidRPr="00CB6923" w:rsidRDefault="004E246B" w:rsidP="00416C39">
      <w:pPr>
        <w:pStyle w:val="TAMainText"/>
        <w:spacing w:after="240"/>
        <w:ind w:firstLine="720"/>
        <w:jc w:val="left"/>
        <w:rPr>
          <w:rFonts w:ascii="Times New Roman" w:hAnsi="Times New Roman"/>
          <w:szCs w:val="24"/>
        </w:rPr>
      </w:pPr>
      <w:r w:rsidRPr="00CB6923">
        <w:rPr>
          <w:rFonts w:ascii="Times New Roman" w:hAnsi="Times New Roman"/>
          <w:szCs w:val="24"/>
        </w:rPr>
        <w:lastRenderedPageBreak/>
        <w:t xml:space="preserve"> </w:t>
      </w:r>
      <w:r w:rsidR="00F5230D" w:rsidRPr="00CB6923">
        <w:rPr>
          <w:rFonts w:ascii="Times New Roman" w:hAnsi="Times New Roman"/>
          <w:szCs w:val="24"/>
        </w:rPr>
        <w:t xml:space="preserve">The changes in radical concentration measured by EPR and NMR during constant voltage oxidation and reduction of TEMPO is suggestive of significant crossover reactions. </w:t>
      </w:r>
      <w:bookmarkStart w:id="6" w:name="_Hlk86928539"/>
      <w:r w:rsidR="00F5230D" w:rsidRPr="00CB6923">
        <w:rPr>
          <w:rFonts w:ascii="Times New Roman" w:hAnsi="Times New Roman"/>
          <w:szCs w:val="24"/>
        </w:rPr>
        <w:t>The radical</w:t>
      </w:r>
      <w:r w:rsidR="00BE4191" w:rsidRPr="00CB6923">
        <w:rPr>
          <w:rFonts w:ascii="Times New Roman" w:hAnsi="Times New Roman"/>
          <w:szCs w:val="24"/>
        </w:rPr>
        <w:t>s oxidized are recovered during reduction (table S</w:t>
      </w:r>
      <w:r w:rsidR="006627C1" w:rsidRPr="00CB6923">
        <w:rPr>
          <w:rFonts w:ascii="Times New Roman" w:hAnsi="Times New Roman"/>
          <w:szCs w:val="24"/>
        </w:rPr>
        <w:t>1</w:t>
      </w:r>
      <w:r w:rsidR="00BE4191" w:rsidRPr="00CB6923">
        <w:rPr>
          <w:rFonts w:ascii="Times New Roman" w:hAnsi="Times New Roman"/>
          <w:szCs w:val="24"/>
        </w:rPr>
        <w:t>)</w:t>
      </w:r>
      <w:r w:rsidR="00F5230D" w:rsidRPr="00CB6923">
        <w:rPr>
          <w:rFonts w:ascii="Times New Roman" w:hAnsi="Times New Roman"/>
          <w:szCs w:val="24"/>
        </w:rPr>
        <w:t xml:space="preserve">, indicating the reversibility of the TEMPO redox reaction and that the parasitic electric current </w:t>
      </w:r>
      <w:r w:rsidR="00BE4191" w:rsidRPr="00CB6923">
        <w:rPr>
          <w:rFonts w:ascii="Times New Roman" w:hAnsi="Times New Roman"/>
          <w:szCs w:val="24"/>
        </w:rPr>
        <w:t>cannot</w:t>
      </w:r>
      <w:r w:rsidR="00F5230D" w:rsidRPr="00CB6923">
        <w:rPr>
          <w:rFonts w:ascii="Times New Roman" w:hAnsi="Times New Roman"/>
          <w:szCs w:val="24"/>
        </w:rPr>
        <w:t xml:space="preserve"> </w:t>
      </w:r>
      <w:r w:rsidR="00BE4191" w:rsidRPr="00CB6923">
        <w:rPr>
          <w:rFonts w:ascii="Times New Roman" w:hAnsi="Times New Roman"/>
          <w:szCs w:val="24"/>
        </w:rPr>
        <w:t xml:space="preserve">be </w:t>
      </w:r>
      <w:r w:rsidR="0073262F" w:rsidRPr="00CB6923">
        <w:rPr>
          <w:rFonts w:ascii="Times New Roman" w:hAnsi="Times New Roman"/>
          <w:szCs w:val="24"/>
        </w:rPr>
        <w:t>solely</w:t>
      </w:r>
      <w:r w:rsidR="00F5230D" w:rsidRPr="00CB6923">
        <w:rPr>
          <w:rFonts w:ascii="Times New Roman" w:hAnsi="Times New Roman"/>
          <w:szCs w:val="24"/>
        </w:rPr>
        <w:t xml:space="preserve"> related to TEMPO degradation reactions. </w:t>
      </w:r>
      <w:bookmarkStart w:id="7" w:name="_Hlk86845424"/>
      <w:r w:rsidR="00F5230D" w:rsidRPr="00CB6923">
        <w:rPr>
          <w:rFonts w:ascii="Times New Roman" w:hAnsi="Times New Roman"/>
          <w:szCs w:val="24"/>
        </w:rPr>
        <w:t>Although a solution phase chemical self-reduction or degradation may occur and has been briefly mentioned in literature,</w:t>
      </w:r>
      <w:r w:rsidR="001F3D1E"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{"citationItems":[{"id":"ITEM-1","itemData":{"DOI":"10.1149/2.0901810jes","ISSN":"0013-4651","abstract":"© The Author(s) 2018. Published by ECS.  For resolving the low-energy efficiency issue of Li-O 2 batteries, many kinds of redox mediators (RMs) have been adapted. However, studies looking into the problems of RMs in these systems are insufficient. We compare herein effects and problems of RMs in Li-O 2 batteries by applying unique methodology, based on two types of cells, comparison between argon and oxygen atmospheres and combining electrochemistry in conjunction with spectroscopy. Using systematic electrochemical measurements, representative RMs in Li-O 2 battery prototypes were thoroughly explored with respect to oxygen presence, voltage ranges and scan rates. By this comparative, multi-parameters study we reached valuable insights. We identified possible routes for RMs degradation in Li-O 2 batteries related to the cathode side, using bi-compartments cells with solid electrolyte that blocks the crossover between the cathode and the Li metal sides. Based on comparative electrochemical and spectroscopic analyses, we confirmed that degradation of the RMs activity was caused by intrinsic decomposition of the RMs in the electrolyte solution at the cathode part, even before further reactions with reduced oxygen species. This work provides a realistic view of the role of important RMs in Li-oxygen cells and suggests guidelines for effective screening and selecting suitable RMs, mandatory components in Li-O 2 batteries.","author":[{"dropping-particle":"","family":"Kwak","given":"Won-Jin","non-dropping-particle":"","parse-names":false,"suffix":""},{"dropping-particle":"","family":"Kim","given":"Hun","non-dropping-particle":"","parse-names":false,"suffix":""},{"dropping-particle":"","family":"Jung","given":"Hun-Gi","non-dropping-particle":"","parse-names":false,"suffix":""},{"dropping-particle":"","family":"Aurbach","given":"Doron","non-dropping-particle":"","parse-names":false,"suffix":""},{"dropping-particle":"","family":"Sun","given":"Yang-Kook","non-dropping-particle":"","parse-names":false,"suffix":""}],"container-title":"Journal of The Electrochemical Society","id":"ITEM-1","issue":"10","issued":{"date-parts":[["2018"]]},"page":"A2274-A2293","title":" Review—A Comparative Evaluation of Redox Mediators for Li-O 2 Batteries: A Critical Review ","type":"article-journal","volume":"165"},"uris":["http://www.mendeley.com/documents/?uuid=abaca511-b2e1-43b5-986f-6a5febaf5674"]},{"id":"ITEM-2","itemData":{"DOI":"10.1002/adma.201403746","ISSN":"15214095","abstract":"(Figure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Materials","id":"ITEM-2","issue":"45","issued":{"date-parts":[["2014"]]},"page":"7649-7653","title":"TEMPO-based catholyte for high-energy density nonaqueous redox flow batteries","type":"article-journal","volume":"26"},"uris":["http://www.mendeley.com/documents/?uuid=17e82180-a534-4d54-a24d-2c09af0923cd"]}],"mendeley":{"formattedCitation":"&lt;sup&gt;9,20&lt;/sup&gt;","plainTextFormattedCitation":"9,20","previouslyFormattedCitation":"&lt;sup&gt;9,20&lt;/sup&gt;"},"properties":{"noteIndex":0},"schema":"https://github.com/citation-style-language/schema/raw/master/csl-citation.json"}</w:instrText>
      </w:r>
      <w:r w:rsidR="001F3D1E" w:rsidRPr="00CB6923">
        <w:rPr>
          <w:rFonts w:ascii="Times New Roman" w:hAnsi="Times New Roman"/>
          <w:szCs w:val="24"/>
        </w:rPr>
        <w:fldChar w:fldCharType="separate"/>
      </w:r>
      <w:r w:rsidR="00592AF7" w:rsidRPr="00CB6923">
        <w:rPr>
          <w:rFonts w:ascii="Times New Roman" w:hAnsi="Times New Roman"/>
          <w:noProof/>
          <w:szCs w:val="24"/>
          <w:vertAlign w:val="superscript"/>
        </w:rPr>
        <w:t>9,20</w:t>
      </w:r>
      <w:r w:rsidR="001F3D1E" w:rsidRPr="00CB6923">
        <w:rPr>
          <w:rFonts w:ascii="Times New Roman" w:hAnsi="Times New Roman"/>
          <w:szCs w:val="24"/>
        </w:rPr>
        <w:fldChar w:fldCharType="end"/>
      </w:r>
      <w:r w:rsidR="009103F7" w:rsidRPr="00CB6923">
        <w:rPr>
          <w:rFonts w:ascii="Times New Roman" w:hAnsi="Times New Roman"/>
          <w:szCs w:val="24"/>
        </w:rPr>
        <w:t xml:space="preserve"> </w:t>
      </w:r>
      <w:r w:rsidR="00B20D8A" w:rsidRPr="00CB6923">
        <w:rPr>
          <w:rFonts w:ascii="Times New Roman" w:hAnsi="Times New Roman"/>
          <w:szCs w:val="24"/>
        </w:rPr>
        <w:t>this was not observed in our experiments</w:t>
      </w:r>
      <w:r w:rsidR="00430B2F" w:rsidRPr="00CB6923">
        <w:rPr>
          <w:rFonts w:ascii="Times New Roman" w:hAnsi="Times New Roman"/>
          <w:szCs w:val="24"/>
        </w:rPr>
        <w:t xml:space="preserve"> and solution-phase decomposition products were not </w:t>
      </w:r>
      <w:r w:rsidR="00BA5E72" w:rsidRPr="00CB6923">
        <w:rPr>
          <w:rFonts w:ascii="Times New Roman" w:hAnsi="Times New Roman"/>
          <w:szCs w:val="24"/>
        </w:rPr>
        <w:t>seen</w:t>
      </w:r>
      <w:r w:rsidR="00430B2F" w:rsidRPr="00CB6923">
        <w:rPr>
          <w:rFonts w:ascii="Times New Roman" w:hAnsi="Times New Roman"/>
          <w:szCs w:val="24"/>
        </w:rPr>
        <w:t xml:space="preserve"> in the </w:t>
      </w:r>
      <w:r w:rsidR="00430B2F" w:rsidRPr="00CB6923">
        <w:rPr>
          <w:rFonts w:ascii="Times New Roman" w:hAnsi="Times New Roman"/>
          <w:szCs w:val="24"/>
          <w:vertAlign w:val="superscript"/>
        </w:rPr>
        <w:t>1</w:t>
      </w:r>
      <w:r w:rsidR="00430B2F" w:rsidRPr="00CB6923">
        <w:rPr>
          <w:rFonts w:ascii="Times New Roman" w:hAnsi="Times New Roman"/>
          <w:szCs w:val="24"/>
        </w:rPr>
        <w:t>H NMR spectra (figure S</w:t>
      </w:r>
      <w:r w:rsidR="006627C1" w:rsidRPr="00CB6923">
        <w:rPr>
          <w:rFonts w:ascii="Times New Roman" w:hAnsi="Times New Roman"/>
          <w:szCs w:val="24"/>
        </w:rPr>
        <w:t>4</w:t>
      </w:r>
      <w:r w:rsidR="00430B2F" w:rsidRPr="00CB6923">
        <w:rPr>
          <w:rFonts w:ascii="Times New Roman" w:hAnsi="Times New Roman"/>
          <w:szCs w:val="24"/>
        </w:rPr>
        <w:t>)</w:t>
      </w:r>
      <w:r w:rsidR="00B20D8A" w:rsidRPr="00CB6923">
        <w:rPr>
          <w:rFonts w:ascii="Times New Roman" w:hAnsi="Times New Roman"/>
          <w:szCs w:val="24"/>
        </w:rPr>
        <w:t>.</w:t>
      </w:r>
      <w:r w:rsidR="00171F50" w:rsidRPr="00CB6923">
        <w:rPr>
          <w:rFonts w:ascii="Times New Roman" w:hAnsi="Times New Roman"/>
          <w:szCs w:val="24"/>
        </w:rPr>
        <w:t xml:space="preserve"> Impurities which may result in parasitic side reactions consuming electrons are also not observed in the </w:t>
      </w:r>
      <w:r w:rsidR="00DF6575" w:rsidRPr="00CB6923">
        <w:rPr>
          <w:rFonts w:ascii="Times New Roman" w:hAnsi="Times New Roman"/>
          <w:szCs w:val="24"/>
        </w:rPr>
        <w:t>pristine electrolyte</w:t>
      </w:r>
      <w:r w:rsidR="00DE5A0F" w:rsidRPr="00CB6923">
        <w:rPr>
          <w:rFonts w:ascii="Times New Roman" w:hAnsi="Times New Roman"/>
          <w:szCs w:val="24"/>
        </w:rPr>
        <w:t>,</w:t>
      </w:r>
      <w:r w:rsidR="00474CD2" w:rsidRPr="00CB6923">
        <w:rPr>
          <w:rFonts w:ascii="Times New Roman" w:hAnsi="Times New Roman"/>
          <w:szCs w:val="24"/>
        </w:rPr>
        <w:t xml:space="preserve"> nor are their</w:t>
      </w:r>
      <w:r w:rsidR="00DF6575" w:rsidRPr="00CB6923">
        <w:rPr>
          <w:rFonts w:ascii="Times New Roman" w:hAnsi="Times New Roman"/>
          <w:szCs w:val="24"/>
        </w:rPr>
        <w:t xml:space="preserve"> decomposition products observed </w:t>
      </w:r>
      <w:r w:rsidR="00171F50" w:rsidRPr="00CB6923">
        <w:rPr>
          <w:rFonts w:ascii="Times New Roman" w:hAnsi="Times New Roman"/>
          <w:szCs w:val="24"/>
        </w:rPr>
        <w:t>(figure S</w:t>
      </w:r>
      <w:r w:rsidR="006627C1" w:rsidRPr="00CB6923">
        <w:rPr>
          <w:rFonts w:ascii="Times New Roman" w:hAnsi="Times New Roman"/>
          <w:szCs w:val="24"/>
        </w:rPr>
        <w:t>4</w:t>
      </w:r>
      <w:r w:rsidR="00171F50" w:rsidRPr="00CB6923">
        <w:rPr>
          <w:rFonts w:ascii="Times New Roman" w:hAnsi="Times New Roman"/>
          <w:szCs w:val="24"/>
        </w:rPr>
        <w:t>)</w:t>
      </w:r>
      <w:r w:rsidR="00DF6575" w:rsidRPr="00CB6923">
        <w:rPr>
          <w:rFonts w:ascii="Times New Roman" w:hAnsi="Times New Roman"/>
          <w:szCs w:val="24"/>
        </w:rPr>
        <w:t>.</w:t>
      </w:r>
      <w:bookmarkEnd w:id="7"/>
      <w:r w:rsidR="00BE4191" w:rsidRPr="00CB6923">
        <w:rPr>
          <w:rFonts w:ascii="Times New Roman" w:hAnsi="Times New Roman"/>
          <w:szCs w:val="24"/>
        </w:rPr>
        <w:t xml:space="preserve"> </w:t>
      </w:r>
      <w:r w:rsidR="00A21108" w:rsidRPr="00CB6923">
        <w:rPr>
          <w:rFonts w:ascii="Times New Roman" w:hAnsi="Times New Roman"/>
          <w:szCs w:val="24"/>
        </w:rPr>
        <w:t>Thus</w:t>
      </w:r>
      <w:r w:rsidR="00CB6923" w:rsidRPr="00CB6923">
        <w:rPr>
          <w:rFonts w:ascii="Times New Roman" w:hAnsi="Times New Roman"/>
          <w:szCs w:val="24"/>
        </w:rPr>
        <w:t>,</w:t>
      </w:r>
      <w:r w:rsidR="00A21108" w:rsidRPr="00CB6923">
        <w:rPr>
          <w:rFonts w:ascii="Times New Roman" w:hAnsi="Times New Roman"/>
          <w:szCs w:val="24"/>
        </w:rPr>
        <w:t xml:space="preserve"> it is not reasonable to ascribe any </w:t>
      </w:r>
      <w:r w:rsidR="007E42F1" w:rsidRPr="00CB6923">
        <w:rPr>
          <w:rFonts w:ascii="Times New Roman" w:hAnsi="Times New Roman"/>
          <w:szCs w:val="24"/>
        </w:rPr>
        <w:t xml:space="preserve">of these </w:t>
      </w:r>
      <w:r w:rsidR="00A21108" w:rsidRPr="00CB6923">
        <w:rPr>
          <w:rFonts w:ascii="Times New Roman" w:hAnsi="Times New Roman"/>
          <w:szCs w:val="24"/>
        </w:rPr>
        <w:t xml:space="preserve">potential </w:t>
      </w:r>
      <w:r w:rsidR="0071062A" w:rsidRPr="00CB6923">
        <w:rPr>
          <w:rFonts w:ascii="Times New Roman" w:hAnsi="Times New Roman"/>
          <w:szCs w:val="24"/>
        </w:rPr>
        <w:t xml:space="preserve">parasitic pathways </w:t>
      </w:r>
      <w:r w:rsidR="00A21108" w:rsidRPr="00CB6923">
        <w:rPr>
          <w:rFonts w:ascii="Times New Roman" w:hAnsi="Times New Roman"/>
          <w:szCs w:val="24"/>
        </w:rPr>
        <w:t>to all</w:t>
      </w:r>
      <w:r w:rsidR="00823F8A" w:rsidRPr="00CB6923">
        <w:rPr>
          <w:rFonts w:ascii="Times New Roman" w:hAnsi="Times New Roman"/>
          <w:szCs w:val="24"/>
        </w:rPr>
        <w:t xml:space="preserve"> the</w:t>
      </w:r>
      <w:r w:rsidR="0071062A" w:rsidRPr="00CB6923">
        <w:rPr>
          <w:rFonts w:ascii="Times New Roman" w:hAnsi="Times New Roman"/>
          <w:szCs w:val="24"/>
        </w:rPr>
        <w:t xml:space="preserve"> parasitic current observed, where for every mole of electron passed, in net, only half a mole of radicals is oxidized (figure 2e)</w:t>
      </w:r>
      <w:r w:rsidR="00F05FAD" w:rsidRPr="00CB6923">
        <w:rPr>
          <w:rFonts w:ascii="Times New Roman" w:hAnsi="Times New Roman"/>
          <w:szCs w:val="24"/>
        </w:rPr>
        <w:t>.</w:t>
      </w:r>
      <w:r w:rsidR="00C7116C" w:rsidRPr="00CB6923">
        <w:rPr>
          <w:rFonts w:ascii="Times New Roman" w:hAnsi="Times New Roman"/>
          <w:szCs w:val="24"/>
        </w:rPr>
        <w:t xml:space="preserve"> </w:t>
      </w:r>
      <w:r w:rsidR="00F05FAD" w:rsidRPr="00CB6923">
        <w:rPr>
          <w:rFonts w:ascii="Times New Roman" w:hAnsi="Times New Roman"/>
          <w:szCs w:val="24"/>
        </w:rPr>
        <w:t>I</w:t>
      </w:r>
      <w:r w:rsidR="0071062A" w:rsidRPr="00CB6923">
        <w:rPr>
          <w:rFonts w:ascii="Times New Roman" w:hAnsi="Times New Roman"/>
          <w:szCs w:val="24"/>
        </w:rPr>
        <w:t>t is</w:t>
      </w:r>
      <w:r w:rsidR="00CB6923" w:rsidRPr="00CB6923">
        <w:rPr>
          <w:rFonts w:ascii="Times New Roman" w:hAnsi="Times New Roman"/>
          <w:szCs w:val="24"/>
        </w:rPr>
        <w:t>, however,</w:t>
      </w:r>
      <w:r w:rsidR="0071062A" w:rsidRPr="00CB6923">
        <w:rPr>
          <w:rFonts w:ascii="Times New Roman" w:hAnsi="Times New Roman"/>
          <w:szCs w:val="24"/>
        </w:rPr>
        <w:t xml:space="preserve"> reasonable to conclude </w:t>
      </w:r>
      <w:r w:rsidR="00823F8A" w:rsidRPr="00CB6923">
        <w:rPr>
          <w:rFonts w:ascii="Times New Roman" w:hAnsi="Times New Roman"/>
          <w:szCs w:val="24"/>
        </w:rPr>
        <w:t xml:space="preserve">a fast </w:t>
      </w:r>
      <w:r w:rsidR="00BE4191" w:rsidRPr="00CB6923">
        <w:rPr>
          <w:rFonts w:ascii="Times New Roman" w:hAnsi="Times New Roman"/>
          <w:szCs w:val="24"/>
        </w:rPr>
        <w:t>redox shuttling of TEMPO</w:t>
      </w:r>
      <w:r w:rsidR="00BE4191" w:rsidRPr="00CB6923">
        <w:rPr>
          <w:rFonts w:ascii="Times New Roman" w:hAnsi="Times New Roman"/>
          <w:szCs w:val="24"/>
          <w:vertAlign w:val="superscript"/>
        </w:rPr>
        <w:t>+</w:t>
      </w:r>
      <w:bookmarkEnd w:id="6"/>
      <w:r w:rsidR="00BE4191" w:rsidRPr="00CB6923">
        <w:rPr>
          <w:rFonts w:ascii="Times New Roman" w:hAnsi="Times New Roman"/>
          <w:szCs w:val="24"/>
        </w:rPr>
        <w:t>.</w:t>
      </w:r>
    </w:p>
    <w:p w14:paraId="53CBFC5A" w14:textId="70787635" w:rsidR="00B20D8A" w:rsidRPr="00CB6923" w:rsidRDefault="0047534E" w:rsidP="00416C39">
      <w:pPr>
        <w:pStyle w:val="TAMainText"/>
        <w:spacing w:after="240"/>
        <w:ind w:firstLine="720"/>
        <w:jc w:val="left"/>
        <w:rPr>
          <w:rFonts w:ascii="Times New Roman" w:hAnsi="Times New Roman"/>
          <w:szCs w:val="24"/>
        </w:rPr>
      </w:pPr>
      <w:r w:rsidRPr="00CB6923">
        <w:t xml:space="preserve">From the modeling results, mass transport plays a large role in determining the extent of crossover, concentration gradients across the cell, and current profiles during potentiostatic cycling. </w:t>
      </w:r>
      <w:bookmarkStart w:id="8" w:name="_Hlk86929360"/>
      <w:r w:rsidR="0058228F" w:rsidRPr="00CB6923">
        <w:t xml:space="preserve">Previous </w:t>
      </w:r>
      <w:r w:rsidR="00D7352A" w:rsidRPr="00CB6923">
        <w:t>models</w:t>
      </w:r>
      <w:r w:rsidR="0058228F" w:rsidRPr="00CB6923">
        <w:t xml:space="preserve"> studying mass transport effects in LABs </w:t>
      </w:r>
      <w:r w:rsidR="004E00C9" w:rsidRPr="00CB6923">
        <w:t>focus on</w:t>
      </w:r>
      <w:r w:rsidR="0058228F" w:rsidRPr="00CB6923">
        <w:t xml:space="preserve"> the impact of O</w:t>
      </w:r>
      <w:r w:rsidR="0058228F" w:rsidRPr="00CB6923">
        <w:rPr>
          <w:vertAlign w:val="subscript"/>
        </w:rPr>
        <w:t>2</w:t>
      </w:r>
      <w:r w:rsidR="0058228F" w:rsidRPr="00CB6923">
        <w:t xml:space="preserve"> mass transport on </w:t>
      </w:r>
      <w:r w:rsidR="00AB4B7F" w:rsidRPr="00CB6923">
        <w:t>concentration gradients within the cells</w:t>
      </w:r>
      <w:r w:rsidR="00305DCF" w:rsidRPr="00CB6923">
        <w:t>, with and without a flowing design</w:t>
      </w:r>
      <w:r w:rsidR="0058228F" w:rsidRPr="00CB6923">
        <w:t>.</w:t>
      </w:r>
      <w:r w:rsidR="0058228F" w:rsidRPr="00CB6923">
        <w:fldChar w:fldCharType="begin" w:fldLock="1"/>
      </w:r>
      <w:r w:rsidR="00737675" w:rsidRPr="00CB6923">
        <w:instrText>ADDIN CSL_CITATION {"citationItems":[{"id":"ITEM-1","itemData":{"DOI":"10.1016/j.electacta.2015.06.071","ISSN":"00134686","abstract":"A two-dimensional model is developed for an aprotic lithium oxygen (Li-O&lt;inf&gt;2&lt;/inf&gt;) flow battery, in which the organic electrolyte is recirculated through the cathode to enhance oxygen supply. The conventional Li-O&lt;inf&gt;2&lt;/inf&gt; battery model is extended to incorporate convection effects. In contrast to the classic flow battery models, the pore structure change caused by the insoluble discharge product of Li-O&lt;inf&gt;2&lt;/inf&gt; batteries is considered. A parametric study is performed to study the influence of model parameters on cathode specific capacity. Results show that contrary to conventional Li-O&lt;inf&gt;2&lt;/inf&gt; cells, electrolyte with a lower conductivity would increase the specific capacity of the Li-O&lt;inf&gt;2&lt;/inf&gt; flow cell. The results also reveal those parameters that are influential to battery capacity. Based on the analysis, two methods, dual layer cathode and alternating electrolyte flow, are proposed to enhance battery capacity. The dual layer cathode has 105% higher capacity than a single layer cathode at the current density of 1.5 mA cm&lt;sup&gt;-2&lt;/sup&gt;. Alternating electrolyte flow can increase the cathode capacity by 3.7% at the current density of 0.2 mA cm&lt;sup&gt;-2&lt;/sup&gt;.","author":[{"dropping-particle":"","family":"Huang","given":"Jing","non-dropping-particle":"","parse-names":false,"suffix":""},{"dropping-particle":"","family":"Faghri","given":"Amir","non-dropping-particle":"","parse-names":false,"suffix":""}],"container-title":"Electrochimica Acta","id":"ITEM-1","issued":{"date-parts":[["2015"]]},"page":"908-918","publisher":"Elsevier Ltd","title":"Capacity Enhancement of a Lithium Oxygen Flow Battery","type":"article-journal","volume":"174"},"uris":["http://www.mendeley.com/documents/?uuid=ee9f353d-613b-46a6-beca-ecfbe6d3823a"]},{"id":"ITEM-2","itemData":{"DOI":"10.1016/j.energy.2014.12.062","ISSN":"03605442","abstract":"In this study, a new organic lithium oxygen (Li-O2) battery structure is proposed to enhance battery capacity. The electrolyte is forced to recirculate through the cathode and then saturated with oxygen in a tank external to the battery. The forced convection enhances oxygen transport and alleviates the problem of electrode blockage during discharge. A two dimensional, transient, non-isothermal simulation model is developed to study the heat and mass transfer within the battery and validate the proposed design. Results show that this novel active cathode design improves the battery capacity at all discharge current densities. The capacity of the Li-O2 battery is increased by 15.5 times (from 12.2mAhg-1 to 201mAhg-1) at the discharge current of 2.0mAcm-2 when a conventional passive electrode is replaced by the newly designed active electrode. Furthermore, a cathode with non-uniform porosity is suggested and simulation results show that it can reach a higher discharge capacity without decreasing its power density. Detailed mass transport processes in the battery are also studied.","author":[{"dropping-particle":"","family":"Li","given":"Xianglin","non-dropping-particle":"","parse-names":false,"suffix":""},{"dropping-particle":"","family":"Huang","given":"Jing","non-dropping-particle":"","parse-names":false,"suffix":""},{"dropping-particle":"","family":"Faghri","given":"Amir","non-dropping-particle":"","parse-names":false,"suffix":""}],"container-title":"Energy","id":"ITEM-2","issued":{"date-parts":[["2015"]]},"page":"489-500","publisher":"Elsevier","title":"Modeling study of a Li-O2 battery with an active cathode","type":"article-journal","volume":"81"},"uris":["http://www.mendeley.com/documents/?uuid=755e9f3f-6470-49e0-9934-1e7947cf4b71"]},{"id":"ITEM-3","itemData":{"DOI":"10.1149/1.1606454","ISSN":"00134651","abstract":"The oxygen transport properties of several organic electrolytes were characterized through measurements of oxygen solubility and electrolyte viscosity. Oxygen diffusion coefficients were calculated from electrolyte viscosities using the Stokes-Einstein relation. Oxygen solubility, electrolyte viscosity, and oxygen partial pressure were all directly correlated to discharge capacity and rate capability. Substantial improvement in cell performance was achieved through electrolyte optimization and increased oxygen partial pressure. The concentration of oxygen in the electrode under discharge was calculated using a semi-infinite medium model with simultaneous diffusion and reaction. The model was used to explain the dependence of cell performance on oxygen transport in organic electrolyte. © 2003 The Electrochemical Society. All rights reserved.","author":[{"dropping-particle":"","family":"Read","given":"J.","non-dropping-particle":"","parse-names":false,"suffix":""},{"dropping-particle":"","family":"Mutolo","given":"K.","non-dropping-particle":"","parse-names":false,"suffix":""},{"dropping-particle":"","family":"Ervin","given":"M.","non-dropping-particle":"","parse-names":false,"suffix":""},{"dropping-particle":"","family":"Behl","given":"W.","non-dropping-particle":"","parse-names":false,"suffix":""},{"dropping-particle":"","family":"Wolfenstine","given":"J.","non-dropping-particle":"","parse-names":false,"suffix":""},{"dropping-particle":"","family":"Driedger","given":"A.","non-dropping-particle":"","parse-names":false,"suffix":""},{"dropping-particle":"","family":"Foster","given":"D.","non-dropping-particle":"","parse-names":false,"suffix":""}],"container-title":"Journal of The Electrochemical Society","id":"ITEM-3","issue":"10","issued":{"date-parts":[["2003"]]},"page":"A1351","title":"Oxygen Transport Properties of Organic Electrolytes and Performance of Lithium/Oxygen Battery","type":"article-journal","volume":"150"},"uris":["http://www.mendeley.com/documents/?uuid=85c90d49-b1c4-4bbf-a4a6-90bdebc71d4a"]}],"mendeley":{"formattedCitation":"&lt;sup&gt;12,15,16&lt;/sup&gt;","plainTextFormattedCitation":"12,15,16","previouslyFormattedCitation":"&lt;sup&gt;12,15,16&lt;/sup&gt;"},"properties":{"noteIndex":0},"schema":"https://github.com/citation-style-language/schema/raw/master/csl-citation.json"}</w:instrText>
      </w:r>
      <w:r w:rsidR="0058228F" w:rsidRPr="00CB6923">
        <w:fldChar w:fldCharType="separate"/>
      </w:r>
      <w:r w:rsidR="00C2077F" w:rsidRPr="00CB6923">
        <w:rPr>
          <w:noProof/>
          <w:vertAlign w:val="superscript"/>
        </w:rPr>
        <w:t>12,15,16</w:t>
      </w:r>
      <w:r w:rsidR="0058228F" w:rsidRPr="00CB6923">
        <w:fldChar w:fldCharType="end"/>
      </w:r>
      <w:r w:rsidR="0058228F" w:rsidRPr="00CB6923">
        <w:t xml:space="preserve"> </w:t>
      </w:r>
      <w:bookmarkEnd w:id="8"/>
      <w:r w:rsidR="001814E5" w:rsidRPr="00CB6923">
        <w:t>Our models expand on previous work, now studying transport phenomena in soluble RMs and examining the effect of mass transport on not only the cathode reactions, but also at the anode, i.e., redox shuttling</w:t>
      </w:r>
      <w:r w:rsidR="0058228F" w:rsidRPr="00CB6923">
        <w:t xml:space="preserve">. </w:t>
      </w:r>
      <w:r w:rsidRPr="00CB6923">
        <w:t xml:space="preserve">Typically, diffusion is much slower than electron transfer rates, however this is not the case for the Li-air flow battery or RFBs. Convective flux from flowing the electrolyte occurs in addition to diffusive flux. When comparing the 1D model to experimental conditions, the effective diffusion rates can then be considered as total flux rates, which includes both diffusive flux and convective flux arising from the flow field. Choosing </w:t>
      </w:r>
      <w:r w:rsidRPr="00CB6923">
        <w:lastRenderedPageBreak/>
        <w:t>diffusion coefficients that are on the same order of magnitude as the reaction rate constant, much larger than the literature values,</w:t>
      </w:r>
      <w:r w:rsidR="002F4A06"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{"citationItems":[{"id":"ITEM-1","itemData":{"DOI":"10.1016/j.elecom.2012.10.009","ISSN":"13882481","abstract":"A novel design of the non-aqueous lithium air cell is presented with a demonstration of a new reaction concept, involving a soluble redox shuttle to catalyse oxygen reduction. In principle, this can relieve the requirement for fast diffusion of molecular oxygen from the air interface to the positive electrode. To demonstrate this concept, ethyl viologen ditriflate was dissolved in BMPTFSI, reduced at a carbon electrode and regenerated by aspiration with oxygen. Useful shuttle behaviour, confirmed by several reduction-oxidation cycles, was observed in the case where the electrolyte contained at least 0.3 M lithium salt. The beneficial effect of the salt was attributed to its critical role in converting superoxide, which would otherwise destroy the shuttle, into the more desirable product of oxygen reduction, lithium peroxide. © 2012 Elsevier B.V. All rights reserved.","author":[{"dropping-particle":"","family":"Lacey","given":"Matthew J.","non-dropping-particle":"","parse-names":false,"suffix":""},{"dropping-particle":"","family":"Frith","given":"James T.","non-dropping-particle":"","parse-names":false,"suffix":""},{"dropping-particle":"","family":"Owen","given":"John R.","non-dropping-particle":"","parse-names":false,"suffix":""}],"container-title":"Electrochemistry Communications","id":"ITEM-1","issue":"1","issued":{"date-parts":[["2013"]]},"page":"74-76","publisher":"Elsevier B.V.","title":"A redox shuttle to facilitate oxygen reduction in the lithium air battery","type":"article-journal","volume":"26"},"uris":["http://www.mendeley.com/documents/?uuid=87ccfb4f-6c9b-4e0b-a4ca-25c6cc97bd6e"]},{"id":"ITEM-2","itemData":{"DOI":"10.1038/s41467-018-03204-0","ISSN":"20411723","abstract":"Lithium–oxygen cells, in which lithium peroxide forms in solution rather than on the electrode surface, can sustain relatively high cycling rates but require redox mediators to charge. The mediators are oxidised at the electrode surface and then oxidise lithium peroxide stored in the cathode. The kinetics of lithium peroxide oxidation has received almost no attention and yet is crucial for the operation of the lithium–oxygen cell. It is essential that the molecules oxidise lithium peroxide sufficiently rapidly to sustain fast charging. Here, we investigate the kinetics of lithium peroxide oxidation by several different classes of redox mediators. We show that the reaction is not a simple outer-sphere electron transfer and that the steric structure of the mediator molecule plays an important role. The fastest mediator studied could sustain a charging current of up to 1.9 A cm–2, based on a model for a porous electrode described here.","author":[{"dropping-particle":"","family":"Chen","given":"Yuhui","non-dropping-particle":"","parse-names":false,"suffix":""},{"dropping-particle":"","family":"Gao","given":"Xiangwen","non-dropping-particle":"","parse-names":false,"suffix":""},{"dropping-particle":"","family":"Johnson","given":"Lee R.","non-dropping-particle":"","parse-names":false,"suffix":""},{"dropping-particle":"","family":"Bruce","given":"Peter G.","non-dropping-particle":"","parse-names":false,"suffix":""}],"container-title":"Nature Communications","id":"ITEM-2","issue":"1","issued":{"date-parts":[["2018"]]},"publisher":"Springer US","title":"Kinetics of lithium peroxide oxidation by redox mediators and consequences for the lithium-oxygen cell","type":"article-journal","volume":"9"},"uris":["http://www.mendeley.com/documents/?uuid=ec350401-7ded-4470-94c7-23f02035e7f3"]}],"mendeley":{"formattedCitation":"&lt;sup&gt;40,44&lt;/sup&gt;","plainTextFormattedCitation":"40,44","previouslyFormattedCitation":"&lt;sup&gt;40,44&lt;/sup&gt;"},"properties":{"noteIndex":0},"schema":"https://github.com/citation-style-language/schema/raw/master/csl-citation.json"}</w:instrText>
      </w:r>
      <w:r w:rsidR="002F4A06" w:rsidRPr="00CB6923">
        <w:rPr>
          <w:rFonts w:ascii="Times New Roman" w:hAnsi="Times New Roman"/>
          <w:szCs w:val="24"/>
        </w:rPr>
        <w:fldChar w:fldCharType="separate"/>
      </w:r>
      <w:r w:rsidR="00737675" w:rsidRPr="00CB6923">
        <w:rPr>
          <w:rFonts w:ascii="Times New Roman" w:hAnsi="Times New Roman"/>
          <w:noProof/>
          <w:szCs w:val="24"/>
          <w:vertAlign w:val="superscript"/>
        </w:rPr>
        <w:t>40,44</w:t>
      </w:r>
      <w:r w:rsidR="002F4A06" w:rsidRPr="00CB6923">
        <w:rPr>
          <w:rFonts w:ascii="Times New Roman" w:hAnsi="Times New Roman"/>
          <w:szCs w:val="24"/>
        </w:rPr>
        <w:fldChar w:fldCharType="end"/>
      </w:r>
      <w:r w:rsidR="002F4A06" w:rsidRPr="00CB6923">
        <w:rPr>
          <w:rFonts w:ascii="Times New Roman" w:hAnsi="Times New Roman"/>
          <w:szCs w:val="24"/>
        </w:rPr>
        <w:t xml:space="preserve"> </w:t>
      </w:r>
      <w:r w:rsidR="00BD701F" w:rsidRPr="00CB6923">
        <w:rPr>
          <w:rFonts w:ascii="Times New Roman" w:hAnsi="Times New Roman"/>
          <w:szCs w:val="24"/>
        </w:rPr>
        <w:t>results in average mass flux values of ~7 ×10</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7</w:t>
      </w:r>
      <w:r w:rsidR="00BD701F" w:rsidRPr="00CB6923">
        <w:rPr>
          <w:rFonts w:ascii="Times New Roman" w:hAnsi="Times New Roman"/>
          <w:szCs w:val="24"/>
        </w:rPr>
        <w:t xml:space="preserve"> mol s</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1</w:t>
      </w:r>
      <w:r w:rsidR="00BD701F" w:rsidRPr="00CB6923">
        <w:rPr>
          <w:rFonts w:ascii="Times New Roman" w:hAnsi="Times New Roman"/>
          <w:szCs w:val="24"/>
        </w:rPr>
        <w:t xml:space="preserve"> cm</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2</w:t>
      </w:r>
      <w:r w:rsidR="00BD701F" w:rsidRPr="00CB6923">
        <w:rPr>
          <w:rFonts w:ascii="Times New Roman" w:hAnsi="Times New Roman"/>
          <w:szCs w:val="24"/>
        </w:rPr>
        <w:t>, which approaches the flux in experimental cells with flowing electrolyte, ~1 ×10</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6</w:t>
      </w:r>
      <w:r w:rsidR="00BD701F" w:rsidRPr="00CB6923">
        <w:rPr>
          <w:rFonts w:ascii="Times New Roman" w:hAnsi="Times New Roman"/>
          <w:szCs w:val="24"/>
        </w:rPr>
        <w:t xml:space="preserve"> mol s</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1</w:t>
      </w:r>
      <w:r w:rsidR="00BD701F" w:rsidRPr="00CB6923">
        <w:rPr>
          <w:rFonts w:ascii="Times New Roman" w:hAnsi="Times New Roman"/>
          <w:szCs w:val="24"/>
        </w:rPr>
        <w:t xml:space="preserve"> cm</w:t>
      </w:r>
      <w:r w:rsidR="00407D9B" w:rsidRPr="00CB6923">
        <w:rPr>
          <w:rFonts w:ascii="Times New Roman" w:hAnsi="Times New Roman"/>
          <w:szCs w:val="24"/>
          <w:vertAlign w:val="superscript"/>
        </w:rPr>
        <w:t>−</w:t>
      </w:r>
      <w:r w:rsidR="00BD701F" w:rsidRPr="00CB6923">
        <w:rPr>
          <w:rFonts w:ascii="Times New Roman" w:hAnsi="Times New Roman"/>
          <w:szCs w:val="24"/>
          <w:vertAlign w:val="superscript"/>
        </w:rPr>
        <w:t>2</w:t>
      </w:r>
      <w:r w:rsidR="00BD701F" w:rsidRPr="00CB6923">
        <w:rPr>
          <w:rFonts w:ascii="Times New Roman" w:hAnsi="Times New Roman"/>
          <w:szCs w:val="24"/>
        </w:rPr>
        <w:t>. In this way, the model can provide an appropriate comparison to experiment as both are in the fast mass transport regime, where supply of reactants at the electrode does not limit reaction rate.</w:t>
      </w:r>
      <w:r w:rsidR="00941AF3" w:rsidRPr="00CB6923">
        <w:rPr>
          <w:rFonts w:ascii="Times New Roman" w:hAnsi="Times New Roman"/>
          <w:szCs w:val="24"/>
        </w:rPr>
        <w:t xml:space="preserve"> </w:t>
      </w:r>
      <w:r w:rsidR="00BD701F" w:rsidRPr="00CB6923">
        <w:rPr>
          <w:rFonts w:ascii="Times New Roman" w:hAnsi="Times New Roman"/>
          <w:szCs w:val="24"/>
        </w:rPr>
        <w:t>We found that the simulations with fast mass transport, such as that achieved with flowing electrolytes, show considerably higher concentrations of TEMPO</w:t>
      </w:r>
      <w:r w:rsidR="00BD701F" w:rsidRPr="00CB6923">
        <w:rPr>
          <w:rFonts w:ascii="Times New Roman" w:hAnsi="Times New Roman"/>
          <w:szCs w:val="24"/>
          <w:vertAlign w:val="superscript"/>
        </w:rPr>
        <w:t>+</w:t>
      </w:r>
      <w:r w:rsidR="00BD701F" w:rsidRPr="00CB6923">
        <w:rPr>
          <w:rFonts w:ascii="Times New Roman" w:hAnsi="Times New Roman"/>
          <w:szCs w:val="24"/>
        </w:rPr>
        <w:t xml:space="preserve"> diffusing to the anode (figure 3c) and increased redox shuttle contributions to total current passed (figure 3d) compared to simulations of static cells using realistic diffusion coefficients.</w:t>
      </w:r>
      <w:r w:rsidR="005D6A60" w:rsidRPr="00CB6923">
        <w:rPr>
          <w:rFonts w:ascii="Times New Roman" w:hAnsi="Times New Roman"/>
          <w:szCs w:val="24"/>
        </w:rPr>
        <w:t xml:space="preserve"> Furthermore, a preliminary multidimensional </w:t>
      </w:r>
      <w:r w:rsidR="000931A5" w:rsidRPr="00CB6923">
        <w:rPr>
          <w:rFonts w:ascii="Times New Roman" w:hAnsi="Times New Roman"/>
          <w:szCs w:val="24"/>
        </w:rPr>
        <w:t xml:space="preserve">(2D) </w:t>
      </w:r>
      <w:r w:rsidR="005D6A60" w:rsidRPr="00CB6923">
        <w:rPr>
          <w:rFonts w:ascii="Times New Roman" w:hAnsi="Times New Roman"/>
          <w:szCs w:val="24"/>
        </w:rPr>
        <w:t>model with simplified flow field corroborates the trends observed in experiment and in the 1D simulations</w:t>
      </w:r>
      <w:r w:rsidR="00641700" w:rsidRPr="00CB6923">
        <w:rPr>
          <w:rFonts w:ascii="Times New Roman" w:hAnsi="Times New Roman"/>
          <w:szCs w:val="24"/>
        </w:rPr>
        <w:t xml:space="preserve"> (figure </w:t>
      </w:r>
      <w:r w:rsidR="001C6EC3" w:rsidRPr="00CB6923">
        <w:rPr>
          <w:rFonts w:ascii="Times New Roman" w:hAnsi="Times New Roman"/>
          <w:szCs w:val="24"/>
        </w:rPr>
        <w:t>3e, 3f</w:t>
      </w:r>
      <w:r w:rsidR="00EA565D" w:rsidRPr="00CB6923">
        <w:rPr>
          <w:rFonts w:ascii="Times New Roman" w:hAnsi="Times New Roman"/>
          <w:szCs w:val="24"/>
        </w:rPr>
        <w:t>, S10-13</w:t>
      </w:r>
      <w:r w:rsidR="00641700" w:rsidRPr="00CB6923">
        <w:rPr>
          <w:rFonts w:ascii="Times New Roman" w:hAnsi="Times New Roman"/>
          <w:szCs w:val="24"/>
        </w:rPr>
        <w:t>)</w:t>
      </w:r>
      <w:r w:rsidR="005D6A60" w:rsidRPr="00CB6923">
        <w:rPr>
          <w:rFonts w:ascii="Times New Roman" w:hAnsi="Times New Roman"/>
          <w:szCs w:val="24"/>
        </w:rPr>
        <w:t>.</w:t>
      </w:r>
    </w:p>
    <w:p w14:paraId="4F4DA754" w14:textId="71CC4157" w:rsidR="00B83714" w:rsidRPr="00CB6923" w:rsidRDefault="00B83714" w:rsidP="00416C39">
      <w:pPr>
        <w:pStyle w:val="TAMainText"/>
        <w:spacing w:after="240"/>
        <w:ind w:firstLine="720"/>
        <w:jc w:val="left"/>
        <w:rPr>
          <w:rFonts w:ascii="Times New Roman" w:hAnsi="Times New Roman"/>
          <w:szCs w:val="24"/>
        </w:rPr>
      </w:pPr>
      <w:r w:rsidRPr="00CB6923">
        <w:t>Direct detection and quantification of the crossover phenomena in RFBs and flow LABs is of importance to RFBs and flow LABs, where the extent of crossover is greatly increased at high mass transport regimes. In RFBs species crossover from one electrode/electrolyte tank to the other causes losses in round-trip efficiency and overall capacity loss over time.</w:t>
      </w:r>
      <w:r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{"citationItems":[{"id":"ITEM-1","itemData":{"DOI":"10.1016/j.est.2019.101109","ISSN":"2352152X","abstract":"Vanadium-redox-flow batteries (VRFB) are the most commercialized flow batteries. Many models are designed to improve several parameters and setups to increase the efficiency or decrease costs. The open circuit voltage (OCV) inside VRFB models is either modelled based on state of charge (SOC) or the vanadium ion concentrations. In both cases a form of the Nernst equation is used to approximate the OCV and feeding the Nernst equation with results from measurements or theory. Measurements to approximate the OCV at a SOC are state of the art. The theoretical input for the Nernst equation still lacks of precision and approaches to increase the precision, were studied in the last decade. Here an empirical approach shows possible improvements to link the measured OCV with the theoretical SOC. The improvements are performed by fitting mathematical functions to the differences between the theoretical and measured data with leas square. This is performed for anion exchange membranes (AEM) with great success. The mean error for the approach of Zlotorowicz et al. [1] is below 1% with a maximum error of 3%. The fitting functions is interpreted as effects influencing the energy conversion processes, like crossover, changes in material characteristics and further side reactions. Fitting the cation exchange membrane (CEM), using the same approach, proves to be more challenging. The mean error is 1.9 to 2.8% with a maximum error of 23%, which shows different approaches might improve CEM based VRFBs. The processes inside a stack with a CEM follow different processes than for AEMs and slight connection to other energy conversion systems with flow cells could be drawn. The temperature dependency shows further influences than defined in by the Nernst equation, for a VRFB. Depending on the approach the temperature shifts the OCV curve along the SOC range or changes all four fitting parameters. The results show possibilities and helps to choose from different approaches of modelling the correlation between ion concentration and SOC for AEM and CEM with temperature influences.","author":[{"dropping-particle":"","family":"Kleinsteinberg","given":"B.","non-dropping-particle":"","parse-names":false,"suffix":""},{"dropping-particle":"","family":"Klick","given":"S.","non-dropping-particle":"","parse-names":false,"suffix":""},{"dropping-particle":"","family":"Sauer","given":"Dirk Uwe","non-dropping-particle":"","parse-names":false,"suffix":""}],"container-title":"Journal of Energy Storage","id":"ITEM-1","issue":"February","issued":{"date-parts":[["2020"]]},"page":"101109","publisher":"Elsevier","title":"Empirical approach to determine open-circuit voltage of a vanadium-redox-flow battery for models, based on published data for anion-exchange and cation-exchange membranes and temperature dependency","type":"article-journal","volume":"28"},"uris":["http://www.mendeley.com/documents/?uuid=b79dca8f-5332-41f9-bc64-bab7bb5f9426"]}],"mendeley":{"formattedCitation":"&lt;sup&gt;19&lt;/sup&gt;","plainTextFormattedCitation":"19","previouslyFormattedCitation":"&lt;sup&gt;19&lt;/sup&gt;"},"properties":{"noteIndex":0},"schema":"https://github.com/citation-style-language/schema/raw/master/csl-citation.json"}</w:instrText>
      </w:r>
      <w:r w:rsidRPr="00CB6923">
        <w:rPr>
          <w:rFonts w:ascii="Times New Roman" w:hAnsi="Times New Roman"/>
          <w:szCs w:val="24"/>
        </w:rPr>
        <w:fldChar w:fldCharType="separate"/>
      </w:r>
      <w:r w:rsidR="00592AF7" w:rsidRPr="00CB6923">
        <w:rPr>
          <w:rFonts w:ascii="Times New Roman" w:hAnsi="Times New Roman"/>
          <w:noProof/>
          <w:szCs w:val="24"/>
          <w:vertAlign w:val="superscript"/>
        </w:rPr>
        <w:t>19</w:t>
      </w:r>
      <w:r w:rsidRPr="00CB6923">
        <w:rPr>
          <w:rFonts w:ascii="Times New Roman" w:hAnsi="Times New Roman"/>
          <w:szCs w:val="24"/>
        </w:rPr>
        <w:fldChar w:fldCharType="end"/>
      </w:r>
      <w:r w:rsidR="00A909FE" w:rsidRPr="00CB6923">
        <w:t xml:space="preserve"> </w:t>
      </w:r>
      <w:r w:rsidR="00A909FE" w:rsidRPr="00CB6923">
        <w:rPr>
          <w:rFonts w:ascii="Times New Roman" w:hAnsi="Times New Roman"/>
          <w:szCs w:val="24"/>
        </w:rPr>
        <w:t xml:space="preserve">In LABs, crossover and redox shuttling also result in capacity loss and interfacial reactions. Due to redox shuttling, </w:t>
      </w:r>
      <w:r w:rsidR="002822AD" w:rsidRPr="00CB6923">
        <w:rPr>
          <w:rFonts w:ascii="Times New Roman" w:hAnsi="Times New Roman"/>
          <w:szCs w:val="24"/>
        </w:rPr>
        <w:t xml:space="preserve">a greater </w:t>
      </w:r>
      <w:r w:rsidR="00A909FE" w:rsidRPr="00CB6923">
        <w:rPr>
          <w:rFonts w:ascii="Times New Roman" w:hAnsi="Times New Roman"/>
          <w:szCs w:val="24"/>
        </w:rPr>
        <w:t>amount of current needed to remove Li</w:t>
      </w:r>
      <w:r w:rsidR="00A909FE" w:rsidRPr="00CB6923">
        <w:rPr>
          <w:rFonts w:ascii="Times New Roman" w:hAnsi="Times New Roman"/>
          <w:szCs w:val="24"/>
          <w:vertAlign w:val="subscript"/>
        </w:rPr>
        <w:t>2</w:t>
      </w:r>
      <w:r w:rsidR="00A909FE" w:rsidRPr="00CB6923">
        <w:rPr>
          <w:rFonts w:ascii="Times New Roman" w:hAnsi="Times New Roman"/>
          <w:szCs w:val="24"/>
        </w:rPr>
        <w:t>O</w:t>
      </w:r>
      <w:r w:rsidR="00A909FE" w:rsidRPr="00CB6923">
        <w:rPr>
          <w:rFonts w:ascii="Times New Roman" w:hAnsi="Times New Roman"/>
          <w:szCs w:val="24"/>
          <w:vertAlign w:val="subscript"/>
        </w:rPr>
        <w:t>2</w:t>
      </w:r>
      <w:r w:rsidR="00A909FE" w:rsidRPr="00CB6923">
        <w:rPr>
          <w:rFonts w:ascii="Times New Roman" w:hAnsi="Times New Roman"/>
          <w:szCs w:val="24"/>
        </w:rPr>
        <w:t xml:space="preserve"> discharge product in LABs</w:t>
      </w:r>
      <w:r w:rsidR="002822AD" w:rsidRPr="00CB6923">
        <w:rPr>
          <w:rFonts w:ascii="Times New Roman" w:hAnsi="Times New Roman"/>
          <w:szCs w:val="24"/>
        </w:rPr>
        <w:t xml:space="preserve">. </w:t>
      </w:r>
      <w:r w:rsidR="00A909FE" w:rsidRPr="00CB6923">
        <w:rPr>
          <w:rFonts w:ascii="Times New Roman" w:hAnsi="Times New Roman"/>
          <w:szCs w:val="24"/>
        </w:rPr>
        <w:t>Since chemical oxidation of Li</w:t>
      </w:r>
      <w:r w:rsidR="008928E7" w:rsidRPr="00CB6923">
        <w:rPr>
          <w:rFonts w:ascii="Times New Roman" w:hAnsi="Times New Roman"/>
          <w:szCs w:val="24"/>
          <w:vertAlign w:val="subscript"/>
        </w:rPr>
        <w:softHyphen/>
        <w:t>2</w:t>
      </w:r>
      <w:r w:rsidR="00A909FE" w:rsidRPr="00CB6923">
        <w:rPr>
          <w:rFonts w:ascii="Times New Roman" w:hAnsi="Times New Roman"/>
          <w:szCs w:val="24"/>
        </w:rPr>
        <w:t>O</w:t>
      </w:r>
      <w:r w:rsidR="00A909FE" w:rsidRPr="00CB6923">
        <w:rPr>
          <w:rFonts w:ascii="Times New Roman" w:hAnsi="Times New Roman"/>
          <w:szCs w:val="24"/>
          <w:vertAlign w:val="subscript"/>
        </w:rPr>
        <w:t>2</w:t>
      </w:r>
      <w:r w:rsidR="00A909FE" w:rsidRPr="00CB6923">
        <w:rPr>
          <w:rFonts w:ascii="Times New Roman" w:hAnsi="Times New Roman"/>
          <w:szCs w:val="24"/>
        </w:rPr>
        <w:t xml:space="preserve"> via redox mediators is slower than the fast heterogeneous electron transfer of redox mediators at the electrode,</w:t>
      </w:r>
      <w:r w:rsidR="00A909FE" w:rsidRPr="00CB6923">
        <w:rPr>
          <w:rFonts w:ascii="Times New Roman" w:hAnsi="Times New Roman"/>
          <w:szCs w:val="24"/>
        </w:rPr>
        <w:fldChar w:fldCharType="begin" w:fldLock="1"/>
      </w:r>
      <w:r w:rsidR="00CB06B9" w:rsidRPr="00CB6923">
        <w:rPr>
          <w:rFonts w:ascii="Times New Roman" w:hAnsi="Times New Roman"/>
          <w:szCs w:val="24"/>
        </w:rPr>
        <w:instrText>ADDIN CSL_CITATION {"citationItems":[{"id":"ITEM-1","itemData":{"DOI":"10.1038/s41467-018-03204-0","ISSN":"20411723","abstract":"Lithium–oxygen cells, in which lithium peroxide forms in solution rather than on the electrode surface, can sustain relatively high cycling rates but require redox mediators to charge. The mediators are oxidised at the electrode surface and then oxidise lithium peroxide stored in the cathode. The kinetics of lithium peroxide oxidation has received almost no attention and yet is crucial for the operation of the lithium–oxygen cell. It is essential that the molecules oxidise lithium peroxide sufficiently rapidly to sustain fast charging. Here, we investigate the kinetics of lithium peroxide oxidation by several different classes of redox mediators. We show that the reaction is not a simple outer-sphere electron transfer and that the steric structure of the mediator molecule plays an important role. The fastest mediator studied could sustain a charging current of up to 1.9 A cm–2, based on a model for a porous electrode described here.","author":[{"dropping-particle":"","family":"Chen","given":"Yuhui","non-dropping-particle":"","parse-names":false,"suffix":""},{"dropping-particle":"","family":"Gao","given":"Xiangwen","non-dropping-particle":"","parse-names":false,"suffix":""},{"dropping-particle":"","family":"Johnson","given":"Lee R.","non-dropping-particle":"","parse-names":false,"suffix":""},{"dropping-particle":"","family":"Bruce","given":"Peter G.","non-dropping-particle":"","parse-names":false,"suffix":""}],"container-title":"Nature Communications","id":"ITEM-1","issue":"1","issued":{"date-parts":[["2018"]]},"publisher":"Springer US","title":"Kinetics of lithium peroxide oxidation by redox mediators and consequences for the lithium-oxygen cell","type":"article-journal","volume":"9"},"uris":["http://www.mendeley.com/documents/?uuid=ec350401-7ded-4470-94c7-23f02035e7f3"]}],"mendeley":{"formattedCitation":"&lt;sup&gt;40&lt;/sup&gt;","plainTextFormattedCitation":"40","previouslyFormattedCitation":"&lt;sup&gt;40&lt;/sup&gt;"},"properties":{"noteIndex":0},"schema":"https://github.com/citation-style-language/schema/raw/master/csl-citation.json"}</w:instrText>
      </w:r>
      <w:r w:rsidR="00A909FE" w:rsidRPr="00CB6923">
        <w:rPr>
          <w:rFonts w:ascii="Times New Roman" w:hAnsi="Times New Roman"/>
          <w:szCs w:val="24"/>
        </w:rPr>
        <w:fldChar w:fldCharType="separate"/>
      </w:r>
      <w:r w:rsidR="009C4068" w:rsidRPr="00CB6923">
        <w:rPr>
          <w:rFonts w:ascii="Times New Roman" w:hAnsi="Times New Roman"/>
          <w:noProof/>
          <w:szCs w:val="24"/>
          <w:vertAlign w:val="superscript"/>
        </w:rPr>
        <w:t>40</w:t>
      </w:r>
      <w:r w:rsidR="00A909FE" w:rsidRPr="00CB6923">
        <w:rPr>
          <w:rFonts w:ascii="Times New Roman" w:hAnsi="Times New Roman"/>
          <w:szCs w:val="24"/>
        </w:rPr>
        <w:fldChar w:fldCharType="end"/>
      </w:r>
      <w:r w:rsidR="0036633B" w:rsidRPr="00CB6923">
        <w:rPr>
          <w:rFonts w:ascii="Times New Roman" w:hAnsi="Times New Roman"/>
          <w:szCs w:val="24"/>
        </w:rPr>
        <w:t xml:space="preserve"> </w:t>
      </w:r>
      <w:r w:rsidR="008928E7" w:rsidRPr="00CB6923">
        <w:rPr>
          <w:rFonts w:ascii="Times New Roman" w:hAnsi="Times New Roman"/>
          <w:szCs w:val="24"/>
        </w:rPr>
        <w:t>mediators can easily diffuse into bulk electrolyte without oxidizing Li</w:t>
      </w:r>
      <w:r w:rsidR="008928E7" w:rsidRPr="00CB6923">
        <w:rPr>
          <w:rFonts w:ascii="Times New Roman" w:hAnsi="Times New Roman"/>
          <w:szCs w:val="24"/>
          <w:vertAlign w:val="subscript"/>
        </w:rPr>
        <w:t>2</w:t>
      </w:r>
      <w:r w:rsidR="008928E7" w:rsidRPr="00CB6923">
        <w:rPr>
          <w:rFonts w:ascii="Times New Roman" w:hAnsi="Times New Roman"/>
          <w:szCs w:val="24"/>
        </w:rPr>
        <w:t>O</w:t>
      </w:r>
      <w:r w:rsidR="008928E7" w:rsidRPr="00CB6923">
        <w:rPr>
          <w:rFonts w:ascii="Times New Roman" w:hAnsi="Times New Roman"/>
          <w:szCs w:val="24"/>
          <w:vertAlign w:val="subscript"/>
        </w:rPr>
        <w:t>2</w:t>
      </w:r>
      <w:r w:rsidR="008928E7" w:rsidRPr="00CB6923">
        <w:rPr>
          <w:rFonts w:ascii="Times New Roman" w:hAnsi="Times New Roman"/>
          <w:szCs w:val="24"/>
        </w:rPr>
        <w:t>, and crossover to the Li anode.</w:t>
      </w:r>
    </w:p>
    <w:p w14:paraId="38ABB0E1" w14:textId="42CF8E64" w:rsidR="00146FCD" w:rsidRPr="00CB6923" w:rsidRDefault="00146FCD" w:rsidP="00416C39">
      <w:pPr>
        <w:pStyle w:val="TAMainText"/>
        <w:spacing w:after="240"/>
        <w:ind w:firstLine="720"/>
        <w:jc w:val="left"/>
        <w:rPr>
          <w:rFonts w:ascii="Times New Roman" w:hAnsi="Times New Roman"/>
          <w:szCs w:val="24"/>
        </w:rPr>
      </w:pPr>
      <w:r w:rsidRPr="00CB6923">
        <w:t xml:space="preserve">While redox shutting is a </w:t>
      </w:r>
      <w:r w:rsidR="00A91AA9" w:rsidRPr="00CB6923">
        <w:t>well-known</w:t>
      </w:r>
      <w:r w:rsidRPr="00CB6923">
        <w:t xml:space="preserve"> issue, for example, the widely studied polysulfide shuttling in Li-Sulphur batteries,</w:t>
      </w:r>
      <w:r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{"citationItems":[{"id":"ITEM-1","itemData":{"DOI":"10.1016/j.jpowsour.2013.11.090","ISSN":"03787753","abstract":"Nafion-coated polypropylene separator (Celgard 2500) is used as cation-selective membrane for lithium sulfur batteries to suppress polysulfide diffusion enhancing the charge efficiency of the cells especially at low charge/discharge rates. The charge efficiency of the 10th cycle rises from about 70% to nearly 90% at a rate of C/20. The reduction of polysulfide penetration through the Nafion-coated Celgard 2500 is also proven by visual characterization. FTIR and SEM investigations verify a smooth and dense Nafion-coating on the porous polypropylene backbone of the separator. The influence of Nafion-loading on rate capability and discharge voltage is investigated by galvanostatic charge-discharge measurements. With the lowest Nafion-loading of 0.25 mg cm-2 we are able to achieve a rate capability comparable to uncoated Celgard 2500 up to current densities of 3 mA cm-2, whereas the functionality as polysulfide shuttle inhibitor is largely preserved. © 2013 Elsevier B.V. All rights reserved.","author":[{"dropping-particle":"","family":"Bauer","given":"I.","non-dropping-particle":"","parse-names":false,"suffix":""},{"dropping-particle":"","family":"Thieme","given":"S.","non-dropping-particle":"","parse-names":false,"suffix":""},{"dropping-particle":"","family":"Brückner","given":"J.","non-dropping-particle":"","parse-names":false,"suffix":""},{"dropping-particle":"","family":"Althues","given":"H.","non-dropping-particle":"","parse-names":false,"suffix":""},{"dropping-particle":"","family":"Kaskel","given":"S.","non-dropping-particle":"","parse-names":false,"suffix":""}],"container-title":"Journal of Power Sources","id":"ITEM-1","issued":{"date-parts":[["2014"]]},"page":"417-422","title":"Reduced polysulfide shuttle in lithium-sulfur batteries using Nafion-based separators","type":"article-journal","volume":"251"},"uris":["http://www.mendeley.com/documents/?uuid=5b93aabf-6545-45b2-9261-3c595995dccb"]}],"mendeley":{"formattedCitation":"&lt;sup&gt;45&lt;/sup&gt;","plainTextFormattedCitation":"45","previouslyFormattedCitation":"&lt;sup&gt;45&lt;/sup&gt;"},"properties":{"noteIndex":0},"schema":"https://github.com/citation-style-language/schema/raw/master/csl-citation.json"}</w:instrText>
      </w:r>
      <w:r w:rsidRPr="00CB6923">
        <w:rPr>
          <w:rFonts w:ascii="Times New Roman" w:hAnsi="Times New Roman"/>
          <w:szCs w:val="24"/>
        </w:rPr>
        <w:fldChar w:fldCharType="separate"/>
      </w:r>
      <w:r w:rsidR="00737675" w:rsidRPr="00CB6923">
        <w:rPr>
          <w:rFonts w:ascii="Times New Roman" w:hAnsi="Times New Roman"/>
          <w:noProof/>
          <w:szCs w:val="24"/>
          <w:vertAlign w:val="superscript"/>
        </w:rPr>
        <w:t>45</w:t>
      </w:r>
      <w:r w:rsidRPr="00CB6923">
        <w:rPr>
          <w:rFonts w:ascii="Times New Roman" w:hAnsi="Times New Roman"/>
          <w:szCs w:val="24"/>
        </w:rPr>
        <w:fldChar w:fldCharType="end"/>
      </w:r>
      <w:r w:rsidRPr="00CB6923">
        <w:rPr>
          <w:rFonts w:ascii="Times New Roman" w:hAnsi="Times New Roman"/>
          <w:szCs w:val="24"/>
        </w:rPr>
        <w:t xml:space="preserve"> it is not well-studied in LABs.</w:t>
      </w:r>
      <w:r w:rsidR="009D58D5" w:rsidRPr="00CB6923">
        <w:rPr>
          <w:rFonts w:ascii="Times New Roman" w:hAnsi="Times New Roman"/>
          <w:szCs w:val="24"/>
        </w:rPr>
        <w:t xml:space="preserve"> Characterization of cathode reactions during charge and discharge is prioritized in LABs, </w:t>
      </w:r>
      <w:r w:rsidR="008A67B9" w:rsidRPr="00CB6923">
        <w:rPr>
          <w:rFonts w:ascii="Times New Roman" w:hAnsi="Times New Roman"/>
          <w:szCs w:val="24"/>
        </w:rPr>
        <w:t xml:space="preserve">and </w:t>
      </w:r>
      <w:r w:rsidR="009D58D5" w:rsidRPr="00CB6923">
        <w:rPr>
          <w:rFonts w:ascii="Times New Roman" w:hAnsi="Times New Roman"/>
          <w:szCs w:val="24"/>
        </w:rPr>
        <w:t xml:space="preserve">redox shuttling and crossover </w:t>
      </w:r>
      <w:r w:rsidR="009D58D5" w:rsidRPr="00CB6923">
        <w:rPr>
          <w:rFonts w:ascii="Times New Roman" w:hAnsi="Times New Roman"/>
          <w:szCs w:val="24"/>
        </w:rPr>
        <w:lastRenderedPageBreak/>
        <w:t>reactions to the anode have not been thoroughly considered.</w:t>
      </w:r>
      <w:r w:rsidR="00A1582B" w:rsidRPr="00CB6923">
        <w:rPr>
          <w:rFonts w:ascii="Times New Roman" w:hAnsi="Times New Roman"/>
          <w:szCs w:val="24"/>
        </w:rPr>
        <w:fldChar w:fldCharType="begin" w:fldLock="1"/>
      </w:r>
      <w:r w:rsidR="00A1582B" w:rsidRPr="00CB6923">
        <w:rPr>
          <w:rFonts w:ascii="Times New Roman" w:hAnsi="Times New Roman"/>
          <w:szCs w:val="24"/>
        </w:rPr>
        <w:instrText>ADDIN CSL_CITATION {"citationItems":[{"id":"ITEM-1","itemData":{"author":[{"dropping-particle":"","family":"Aurbach","given":"D.","non-dropping-particle":"","parse-names":false,"suffix":""},{"dropping-particle":"","family":"McCloskey","given":"B.D.","non-dropping-particle":"","parse-names":false,"suffix":""},{"dropping-particle":"","family":"Nazar","given":"L.F.","non-dropping-particle":"","parse-names":false,"suffix":""},{"dropping-particle":"","family":"Bruce","given":"P.G.","non-dropping-particle":"","parse-names":false,"suffix":""}],"container-title":"Nature Energy","id":"ITEM-1","issued":{"date-parts":[["2016"]]},"page":"16128","title":"Advances in Understanding Mechanisms Underpinning Lithium-air Batteries","type":"article-journal","volume":"1"},"uris":["http://www.mendeley.com/documents/?uuid=098b2989-9064-45a0-b550-382aa03e542b"]}],"mendeley":{"formattedCitation":"&lt;sup&gt;3&lt;/sup&gt;","plainTextFormattedCitation":"3","previouslyFormattedCitation":"&lt;sup&gt;3&lt;/sup&gt;"},"properties":{"noteIndex":0},"schema":"https://github.com/citation-style-language/schema/raw/master/csl-citation.json"}</w:instrText>
      </w:r>
      <w:r w:rsidR="00A1582B" w:rsidRPr="00CB6923">
        <w:rPr>
          <w:rFonts w:ascii="Times New Roman" w:hAnsi="Times New Roman"/>
          <w:szCs w:val="24"/>
        </w:rPr>
        <w:fldChar w:fldCharType="separate"/>
      </w:r>
      <w:r w:rsidR="00A1582B" w:rsidRPr="00CB6923">
        <w:rPr>
          <w:rFonts w:ascii="Times New Roman" w:hAnsi="Times New Roman"/>
          <w:noProof/>
          <w:szCs w:val="24"/>
          <w:vertAlign w:val="superscript"/>
        </w:rPr>
        <w:t>3</w:t>
      </w:r>
      <w:r w:rsidR="00A1582B" w:rsidRPr="00CB6923">
        <w:rPr>
          <w:rFonts w:ascii="Times New Roman" w:hAnsi="Times New Roman"/>
          <w:szCs w:val="24"/>
        </w:rPr>
        <w:fldChar w:fldCharType="end"/>
      </w:r>
      <w:r w:rsidR="00A1582B" w:rsidRPr="00CB6923">
        <w:rPr>
          <w:rFonts w:ascii="Times New Roman" w:hAnsi="Times New Roman"/>
          <w:szCs w:val="24"/>
        </w:rPr>
        <w:t xml:space="preserve"> </w:t>
      </w:r>
      <w:r w:rsidR="00BE499C" w:rsidRPr="00CB6923">
        <w:rPr>
          <w:rFonts w:ascii="Times New Roman" w:hAnsi="Times New Roman"/>
          <w:szCs w:val="24"/>
        </w:rPr>
        <w:t xml:space="preserve">Having now shown, experimentally and computationally, the significant concentration of species </w:t>
      </w:r>
      <w:r w:rsidR="000931A5" w:rsidRPr="00CB6923">
        <w:rPr>
          <w:rFonts w:ascii="Times New Roman" w:hAnsi="Times New Roman"/>
          <w:szCs w:val="24"/>
        </w:rPr>
        <w:t xml:space="preserve">that have crossed over to </w:t>
      </w:r>
      <w:r w:rsidR="00BE499C" w:rsidRPr="00CB6923">
        <w:rPr>
          <w:rFonts w:ascii="Times New Roman" w:hAnsi="Times New Roman"/>
          <w:szCs w:val="24"/>
        </w:rPr>
        <w:t>the anode, particularly when fast mass transport occurs, we now consider the impact of crossover on the anode reactions.</w:t>
      </w:r>
    </w:p>
    <w:p w14:paraId="5C77DED6" w14:textId="401524F6" w:rsidR="00435AEC" w:rsidRPr="00CB6923" w:rsidRDefault="00AD7345" w:rsidP="00435AEC">
      <w:pPr>
        <w:pStyle w:val="TAMainText"/>
        <w:spacing w:after="240"/>
        <w:ind w:firstLine="720"/>
        <w:jc w:val="left"/>
        <w:rPr>
          <w:rFonts w:ascii="Times New Roman" w:hAnsi="Times New Roman"/>
          <w:strike/>
          <w:szCs w:val="24"/>
        </w:rPr>
      </w:pPr>
      <w:r w:rsidRPr="00CB6923">
        <w:t>The specific effects of TEMPO</w:t>
      </w:r>
      <w:r w:rsidRPr="00CB6923">
        <w:rPr>
          <w:vertAlign w:val="superscript"/>
        </w:rPr>
        <w:t>+</w:t>
      </w:r>
      <w:r w:rsidRPr="00CB6923">
        <w:t xml:space="preserve"> on the Li metal SEI were not characterized in this work as de-lithiated LFP was used for the in-situ studies and no SEI was likely to form. In addition, no SEI components were included in the computational models. However, it is well</w:t>
      </w:r>
      <w:r w:rsidR="007B0D69" w:rsidRPr="00CB6923">
        <w:t xml:space="preserve"> </w:t>
      </w:r>
      <w:r w:rsidRPr="00CB6923">
        <w:t>known that the stability of the SEI greatly affects the lifetime and cyclability of the Li anode.</w:t>
      </w:r>
      <w:r w:rsidR="00A45E5A"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{"citationItems":[{"id":"ITEM-1","itemData":{"DOI":"10.1149/2.1441707jes","ISSN":"19457111","abstract":"© The Author(s) 2017. Published by ECS. All rights reserved. The Solid-Electrolyte-Interphase (SEI) model for non-aqueous alkali-metal batteries constitutes a paradigm change in the understanding of lithium batteries and has thus enabled the development of safer, durable, higher-power and lower-cost lithium batteries for portable and EV applications. Prior to the publication of the SEI model (1979), researchers used the Butler-Volmer equation, in which a direct electron transfer from the electrode to lithium cations in the solution is assumed. The SEI model proved that this is a mistaken concept and that, in practice, the transfer of electrons from the electrode to the solution in a lithium battery, must be prevented, since it will result in fast self-discharge of the active materials and poor battery performance. This model provides [E. Peled, in “Lithium Batteries,” J.P. Gabano (ed), Academic Press, (1983), E. Peled, J. Electrochem. Soc., 126, 2047 (1979).] new equations for: electrode kinetics (i o and b), anode corrosion, SEI resistivity and growth rate and irreversible capacity loss of lithium-ion batteries. This model became a cornerstone in the science and technology of lithium batteries. This paper reviews the past present and the future of SEI batteries.","author":[{"dropping-particle":"","family":"Peled","given":"E.","non-dropping-particle":"","parse-names":false,"suffix":""},{"dropping-particle":"","family":"Menkin","given":"S.","non-dropping-particle":"","parse-names":false,"suffix":""}],"container-title":"Journal of the Electrochemical Society","id":"ITEM-1","issue":"7","issued":{"date-parts":[["2017"]]},"page":"A1703-A1719","title":"Review - SEI: Past, present and future","type":"article-journal","volume":"164"},"uris":["http://www.mendeley.com/documents/?uuid=673d0f6b-fdcc-4bff-850c-76ad6c3e7b1e"]}],"mendeley":{"formattedCitation":"&lt;sup&gt;46&lt;/sup&gt;","plainTextFormattedCitation":"46","previouslyFormattedCitation":"&lt;sup&gt;46&lt;/sup&gt;"},"properties":{"noteIndex":0},"schema":"https://github.com/citation-style-language/schema/raw/master/csl-citation.json"}</w:instrText>
      </w:r>
      <w:r w:rsidR="00A45E5A" w:rsidRPr="00CB6923">
        <w:rPr>
          <w:rFonts w:ascii="Times New Roman" w:hAnsi="Times New Roman"/>
          <w:szCs w:val="24"/>
        </w:rPr>
        <w:fldChar w:fldCharType="separate"/>
      </w:r>
      <w:r w:rsidR="00737675" w:rsidRPr="00CB6923">
        <w:rPr>
          <w:rFonts w:ascii="Times New Roman" w:hAnsi="Times New Roman"/>
          <w:noProof/>
          <w:szCs w:val="24"/>
          <w:vertAlign w:val="superscript"/>
        </w:rPr>
        <w:t>46</w:t>
      </w:r>
      <w:r w:rsidR="00A45E5A" w:rsidRPr="00CB6923">
        <w:rPr>
          <w:rFonts w:ascii="Times New Roman" w:hAnsi="Times New Roman"/>
          <w:szCs w:val="24"/>
        </w:rPr>
        <w:fldChar w:fldCharType="end"/>
      </w:r>
      <w:r w:rsidR="00D1099E" w:rsidRPr="00CB6923">
        <w:rPr>
          <w:rFonts w:ascii="Times New Roman" w:hAnsi="Times New Roman"/>
          <w:szCs w:val="24"/>
        </w:rPr>
        <w:t xml:space="preserve"> An ideal SEI would be electronically insulating, preventing redox shuttling of crossover species and further oxidation of Li metal. The SEI must itself also be chemically stable toward oxidation. For instance, the theoretical oxidation potential of Li</w:t>
      </w:r>
      <w:r w:rsidR="00D1099E" w:rsidRPr="00CB6923">
        <w:rPr>
          <w:rFonts w:ascii="Times New Roman" w:hAnsi="Times New Roman"/>
          <w:szCs w:val="24"/>
          <w:vertAlign w:val="subscript"/>
        </w:rPr>
        <w:t>2</w:t>
      </w:r>
      <w:r w:rsidR="00D1099E" w:rsidRPr="00CB6923">
        <w:rPr>
          <w:rFonts w:ascii="Times New Roman" w:hAnsi="Times New Roman"/>
          <w:szCs w:val="24"/>
        </w:rPr>
        <w:t>CO</w:t>
      </w:r>
      <w:r w:rsidR="00D1099E" w:rsidRPr="00CB6923">
        <w:rPr>
          <w:rFonts w:ascii="Times New Roman" w:hAnsi="Times New Roman"/>
          <w:szCs w:val="24"/>
          <w:vertAlign w:val="subscript"/>
        </w:rPr>
        <w:t>3</w:t>
      </w:r>
      <w:r w:rsidR="00D1099E" w:rsidRPr="00CB6923">
        <w:rPr>
          <w:rFonts w:ascii="Times New Roman" w:hAnsi="Times New Roman"/>
          <w:szCs w:val="24"/>
        </w:rPr>
        <w:t xml:space="preserve">, a common inorganic SEI component, is above the TEMPO redox potential and </w:t>
      </w:r>
      <w:r w:rsidR="005D39B7" w:rsidRPr="00CB6923">
        <w:rPr>
          <w:rFonts w:ascii="Times New Roman" w:hAnsi="Times New Roman"/>
          <w:szCs w:val="24"/>
        </w:rPr>
        <w:t>will not be</w:t>
      </w:r>
      <w:r w:rsidR="00D1099E" w:rsidRPr="00CB6923">
        <w:rPr>
          <w:rFonts w:ascii="Times New Roman" w:hAnsi="Times New Roman"/>
          <w:szCs w:val="24"/>
        </w:rPr>
        <w:t xml:space="preserve"> oxidized by TEMPO</w:t>
      </w:r>
      <w:r w:rsidR="000E3F1B" w:rsidRPr="00CB6923">
        <w:rPr>
          <w:rFonts w:ascii="Times New Roman" w:hAnsi="Times New Roman"/>
          <w:szCs w:val="24"/>
          <w:vertAlign w:val="superscript"/>
        </w:rPr>
        <w:t>+</w:t>
      </w:r>
      <w:r w:rsidR="00D1099E" w:rsidRPr="00CB6923">
        <w:rPr>
          <w:rFonts w:ascii="Times New Roman" w:hAnsi="Times New Roman"/>
          <w:szCs w:val="24"/>
        </w:rPr>
        <w:t xml:space="preserve"> that has crossed over to the anode.</w:t>
      </w:r>
      <w:r w:rsidR="00E26C43"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{"citationItems":[{"id":"ITEM-1","itemData":{"DOI":"10.1002/anie.201802277","ISSN":"15213773","PMID":"29543372","abstract":"Solid alkali metal carbonates are universal passivation layer components of intercalation battery materials and common side products in metal-O2 batteries, and are believed to form and decompose reversibly in metal-O2/CO2 cells. In these cathodes, Li2CO3 decomposes to CO2 when exposed to potentials above 3.8 V vs. Li/Li+. However, O2 evolution, as would be expected according to the decomposition reaction 2 Li2CO3</w:instrText>
      </w:r>
      <w:r w:rsidR="00737675" w:rsidRPr="00CB6923">
        <w:rPr>
          <w:rFonts w:ascii="Times New Roman" w:hAnsi="Times New Roman" w:hint="eastAsia"/>
          <w:szCs w:val="24"/>
        </w:rPr>
        <w:instrText>→</w:instrText>
      </w:r>
      <w:r w:rsidR="00737675" w:rsidRPr="00CB6923">
        <w:rPr>
          <w:rFonts w:ascii="Times New Roman" w:hAnsi="Times New Roman"/>
          <w:szCs w:val="24"/>
        </w:rPr>
        <w:instrText>4 Li++4 e−+2 CO2+O2, is not detected. O atoms are thus unaccounted for, which was previously ascribed to unidentified parasitic reactions. Here, we show that highly reactive singlet oxygen (1O2) forms upon oxidizing Li2CO3 in an aprotic electrolyte and therefore does not evolve as O2. These results have substantial implications for the long-term cyclability of batteries: they underpin the importance of avoiding 1O2 in metal-O2 batteries, question the possibility of a reversible metal-O2/CO2 battery based on a carbonate discharge product, and help explain the interfacial reactivity of transition-metal cathodes with residual Li2CO3.","author":[{"dropping-particle":"","family":"Mahne","given":"Nika","non-dropping-particle":"","parse-names":false,"suffix":""},{"dropping-particle":"","family":"Renfrew","given":"Sara E.","non-dropping-particle":"","parse-names":false,"suffix":""},{"dropping-particle":"","family":"McCloskey","given":"Bryan D.","non-dropping-particle":"","parse-names":false,"suffix":""},{"dropping-particle":"","family":"Freunberger","given":"Stefan A.","non-dropping-particle":"","parse-names":false,"suffix":""}],"container-title":"Angewandte Chemie - International Edition","id":"ITEM-1","issue":"19","issued":{"date-parts":[["2018"]]},"page":"5529-5533","title":"Electrochemical Oxidation of Lithium Carbonate Generates Singlet Oxygen","type":"article-journal","volume":"57"},"uris":["http://www.mendeley.com/documents/?uuid=25ab27e6-862c-4889-8883-1b13e2e111df"]},{"id":"ITEM-2","itemData":{"DOI":"10.1021/acsenergylett.0c00257","ISSN":"23808195","abstract":"For Li-air batteries, dissolved gas can cross over from the air electrode to the Li metal anode and affect the solid-electrolyte interphase (SEI) formation, a phenomenon that has not been fully characterized. In this work, the impact of atmospheric gases on the SEI properties is studied using electrochemical methods and ex situ characterization techniques, including X-ray photoelectron spectroscopy, X-ray diffraction, Fourier transform infrared spectroscopy, and scanning electron microscopy. The presence of O2 significantly improved the lithium cyclability; less lithium is consumed to form the SEI or is lost because of electrical disconnects. However, the SEI resistivity and plating overpotentials increased. Lithium cycled in an \"air-like\" mixed O2/N2 environment also demonstrated improved cycling efficiency, suggesting that dissolved O2 participates in electrolyte reduction, forming a homogeneous SEI, even at low concentrations. The impact of gas environments on Li metal plating and SEI formation represents an additional parameter in designing future Li-metal batteries.","author":[{"dropping-particle":"","family":"Wang","given":"Evelyna","non-dropping-particle":"","parse-names":false,"suffix":""},{"dropping-particle":"","family":"Dey","given":"Sunita","non-dropping-particle":"","parse-names":false,"suffix":""},{"dropping-particle":"","family":"Liu","given":"Tao","non-dropping-particle":"","parse-names":false,"suffix":""},{"dropping-particle":"","family":"Menkin","given":"Svetlana","non-dropping-particle":"","parse-names":false,"suffix":""},{"dropping-particle":"","family":"Grey","given":"Clare P.","non-dropping-particle":"","parse-names":false,"suffix":""}],"container-title":"ACS Energy Letters","id":"ITEM-2","issue":"4","issued":{"date-parts":[["2020"]]},"page":"1088-1094","title":"Effects of Atmospheric Gases on Li Metal Cyclability and Solid-Electrolyte Interphase Formation","type":"article-journal","volume":"5"},"uris":["http://www.mendeley.com/documents/?uuid=36e2aebc-bbf5-49cf-bdba-0bd1a5898148"]},{"id":"ITEM-3","itemData":{"DOI":"10.1021/ja4016765","ISSN":"00027863","abstract":"Lithium-oxygen chemistry offers the highest energy density for a rechargeable system as a \"lithium-air battery\". Most studies of lithium-air batteries have focused on demonstrating battery operations in pure oxygen conditions; such a battery should technically be described as a \"lithium-dioxygen battery\". Consequently, the next step for the lithium-\"air\" battery is to understand how the reaction chemistry is affected by the constituents of ambient air. Among the components of air, CO2 is of particular interest because of its high solubility in organic solvents and it can react actively with O2(-*), which is the key intermediate species in Li-O2 battery reactions. In this work, we investigated the reaction mechanisms in the Li-O2/CO2 cell under various electrolyte conditions using quantum mechanical simulations combined with experimental verification. Our most important finding is that the subtle balance among various reaction pathways influencing the potential energy surfaces can be modified by the electrolyte solvation effect. Thus, a low dielectric electrolyte tends to primarily form Li2O2, while a high dielectric electrolyte is effective in electrochemically activating CO2, yielding only Li2CO3. Most surprisingly, we further discovered that a high dielectric medium such as DMSO can result in the reversible reaction of Li2CO3 over multiple cycles. We believe that the current mechanistic understanding of the chemistry of CO2 in a Li-air cell and the interplay of CO2 with electrolyte solvation will provide an important guideline for developing Li-air batteries. Furthermore, the possibility for a rechargeable Li-O2/CO2 battery based on Li2CO3 may have merits in enhancing cyclability by minimizing side reactions.","author":[{"dropping-particle":"","family":"Lim","given":"Hyung Kyu","non-dropping-particle":"","parse-names":false,"suffix":""},{"dropping-particle":"","family":"Lim","given":"Hee Dae","non-dropping-particle":"","parse-names":false,"suffix":""},{"dropping-particle":"","family":"Park","given":"Kyu Young","non-dropping-particle":"","parse-names":false,"suffix":""},{"dropping-particle":"","family":"Seo","given":"Dong Hwa","non-dropping-particle":"","parse-names":false,"suffix":""},{"dropping-particle":"","family":"Gwon","given":"Hyeokjo","non-dropping-particle":"","parse-names":false,"suffix":""},{"dropping-particle":"","family":"Hong","given":"Jihyun","non-dropping-particle":"","parse-names":false,"suffix":""},{"dropping-particle":"","family":"Goddard","given":"William A.","non-dropping-particle":"","parse-names":false,"suffix":""},{"dropping-particle":"","family":"Kim","given":"Hyungjun","non-dropping-particle":"","parse-names":false,"suffix":""},{"dropping-particle":"","family":"Kang","given":"Kisuk","non-dropping-particle":"","parse-names":false,"suffix":""}],"container-title":"Journal of the American Chemical Society","id":"ITEM-3","issue":"26","issued":{"date-parts":[["2013"]]},"page":"9733-9742","title":"Toward a lithium-\"Air\" battery: The effect of CO2 on the chemistry of a lithium-oxygen cell","type":"article-journal","volume":"135"},"uris":["http://www.mendeley.com/documents/?uuid=55e90821-6f52-4060-adf4-d767356640d1"]},{"id":"ITEM-4","itemData":{"DOI":"10.1038/nature25984","ISBN":"0010-9452 0010-9452 (electronic)","ISSN":"14764687","abstract":"A lithium–oxygen battery, comprising a lithium carbonate-based protected anode, a molybdenum disulfide cathode and an ionic liquid/dimethyl sulfoxide electrolyte, operates in a simulated air atmosphere with a long cycle life of up to 700 cycles.","author":[{"dropping-particle":"","family":"Asadi","given":"Mohammad","non-dropping-particle":"","parse-names":false,"suffix":""},{"dropping-particle":"","family":"Sayahpour","given":"Baharak","non-dropping-particle":"","parse-names":false,"suffix":""},{"dropping-particle":"","family":"Abbasi","given":"Pedram","non-dropping-particle":"","parse-names":false,"suffix":""},{"dropping-particle":"","family":"Ngo","given":"Anh T.","non-dropping-particle":"","parse-names":false,"suffix":""},{"dropping-particle":"","family":"Karis","given":"Klas","non-dropping-particle":"","parse-names":false,"suffix":""},{"dropping-particle":"","family":"Jokisaari","given":"Jacob R.","non-dropping-particle":"","parse-names":false,"suffix":""},{"dropping-particle":"","family":"Liu","given":"Cong","non-dropping-particle":"","parse-names":false,"suffix":""},{"dropping-particle":"","family":"Narayanan","given":"Badri","non-dropping-particle":"","parse-names":false,"suffix":""},{"dropping-particle":"","family":"Gerard","given":"Marc","non-dropping-particle":"","parse-names":false,"suffix":""},{"dropping-particle":"","family":"Yasaei","given":"Poya","non-dropping-particle":"","parse-names":false,"suffix":""},{"dropping-particle":"","family":"Hu","given":"Xuan","non-dropping-particle":"","parse-names":false,"suffix":""},{"dropping-particle":"","family":"Mukherjee","given":"Arijita","non-dropping-particle":"","parse-names":false,"suffix":""},{"dropping-particle":"","family":"Lau","given":"Kah Chun","non-dropping-particle":"","parse-names":false,"suffix":""},{"dropping-particle":"","family":"Assary","given":"Rajeev S.","non-dropping-particle":"","parse-names":false,"suffix":""},{"dropping-particle":"","family":"Khalili-Araghi","given":"Fatemeh","non-dropping-particle":"","parse-names":false,"suffix":""},{"dropping-particle":"","family":"Klie","given":"Robert F.","non-dropping-particle":"","parse-names":false,"suffix":""},{"dropping-particle":"","family":"Curtiss","given":"Larry A.","non-dropping-particle":"","parse-names":false,"suffix":""},{"dropping-particle":"","family":"Salehi-Khojin","given":"Amin","non-dropping-particle":"","parse-names":false,"suffix":""}],"container-title":"Nature","id":"ITEM-4","issue":"7697","issued":{"date-parts":[["2018"]]},"page":"502-506","publisher":"Nature Publishing Group","title":"A lithium-oxygen battery with a long cycle life in an air-like atmosphere","type":"article-journal","volume":"555"},"uris":["http://www.mendeley.com/documents/?uuid=be9bebdc-0e02-4441-8d6a-34cab37914d1"]}],"mendeley":{"formattedCitation":"&lt;sup&gt;21,47–49&lt;/sup&gt;","plainTextFormattedCitation":"21,47–49","previouslyFormattedCitation":"&lt;sup&gt;21,47–49&lt;/sup&gt;"},"properties":{"noteIndex":0},"schema":"https://github.com/citation-style-language/schema/raw/master/csl-citation.json"}</w:instrText>
      </w:r>
      <w:r w:rsidR="00E26C43" w:rsidRPr="00CB6923">
        <w:rPr>
          <w:rFonts w:ascii="Times New Roman" w:hAnsi="Times New Roman"/>
          <w:szCs w:val="24"/>
        </w:rPr>
        <w:fldChar w:fldCharType="separate"/>
      </w:r>
      <w:r w:rsidR="00737675" w:rsidRPr="00CB6923">
        <w:rPr>
          <w:rFonts w:ascii="Times New Roman" w:hAnsi="Times New Roman"/>
          <w:noProof/>
          <w:szCs w:val="24"/>
          <w:vertAlign w:val="superscript"/>
        </w:rPr>
        <w:t>21,47–49</w:t>
      </w:r>
      <w:r w:rsidR="00E26C43" w:rsidRPr="00CB6923">
        <w:rPr>
          <w:rFonts w:ascii="Times New Roman" w:hAnsi="Times New Roman"/>
          <w:szCs w:val="24"/>
        </w:rPr>
        <w:fldChar w:fldCharType="end"/>
      </w:r>
      <w:r w:rsidR="00E26C43" w:rsidRPr="00CB6923">
        <w:rPr>
          <w:rFonts w:ascii="Times New Roman" w:hAnsi="Times New Roman"/>
          <w:szCs w:val="24"/>
        </w:rPr>
        <w:t xml:space="preserve"> </w:t>
      </w:r>
      <w:r w:rsidR="006D0707" w:rsidRPr="00CB6923">
        <w:rPr>
          <w:rFonts w:ascii="Times New Roman" w:hAnsi="Times New Roman"/>
          <w:szCs w:val="24"/>
        </w:rPr>
        <w:t>However, the specific composition of Li metal is dependent on the electrolyte used and the atmospheric environment it is exposed to.</w:t>
      </w:r>
      <w:r w:rsidR="006D0707"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{"citationItems":[{"id":"ITEM-1","itemData":{"DOI":"10.1021/acsenergylett.0c00257","ISSN":"23808195","abstract":"For Li-air batteries, dissolved gas can cross over from the air electrode to the Li metal anode and affect the solid-electrolyte interphase (SEI) formation, a phenomenon that has not been fully characterized. In this work, the impact of atmospheric gases on the SEI properties is studied using electrochemical methods and ex situ characterization techniques, including X-ray photoelectron spectroscopy, X-ray diffraction, Fourier transform infrared spectroscopy, and scanning electron microscopy. The presence of O2 significantly improved the lithium cyclability; less lithium is consumed to form the SEI or is lost because of electrical disconnects. However, the SEI resistivity and plating overpotentials increased. Lithium cycled in an \"air-like\" mixed O2/N2 environment also demonstrated improved cycling efficiency, suggesting that dissolved O2 participates in electrolyte reduction, forming a homogeneous SEI, even at low concentrations. The impact of gas environments on Li metal plating and SEI formation represents an additional parameter in designing future Li-metal batteries.","author":[{"dropping-particle":"","family":"Wang","given":"Evelyna","non-dropping-particle":"","parse-names":false,"suffix":""},{"dropping-particle":"","family":"Dey","given":"Sunita","non-dropping-particle":"","parse-names":false,"suffix":""},{"dropping-particle":"","family":"Liu","given":"Tao","non-dropping-particle":"","parse-names":false,"suffix":""},{"dropping-particle":"","family":"Menkin","given":"Svetlana","non-dropping-particle":"","parse-names":false,"suffix":""},{"dropping-particle":"","family":"Grey","given":"Clare P.","non-dropping-particle":"","parse-names":false,"suffix":""}],"container-title":"ACS Energy Letters","id":"ITEM-1","issue":"4","issued":{"date-parts":[["2020"]]},"page":"1088-1094","title":"Effects of Atmospheric Gases on Li Metal Cyclability and Solid-Electrolyte Interphase Formation","type":"article-journal","volume":"5"},"uris":["http://www.mendeley.com/documents/?uuid=36e2aebc-bbf5-49cf-bdba-0bd1a5898148"]}],"mendeley":{"formattedCitation":"&lt;sup&gt;21&lt;/sup&gt;","plainTextFormattedCitation":"21","previouslyFormattedCitation":"&lt;sup&gt;21&lt;/sup&gt;"},"properties":{"noteIndex":0},"schema":"https://github.com/citation-style-language/schema/raw/master/csl-citation.json"}</w:instrText>
      </w:r>
      <w:r w:rsidR="006D0707" w:rsidRPr="00CB6923">
        <w:rPr>
          <w:rFonts w:ascii="Times New Roman" w:hAnsi="Times New Roman"/>
          <w:szCs w:val="24"/>
        </w:rPr>
        <w:fldChar w:fldCharType="separate"/>
      </w:r>
      <w:r w:rsidR="00592AF7" w:rsidRPr="00CB6923">
        <w:rPr>
          <w:rFonts w:ascii="Times New Roman" w:hAnsi="Times New Roman"/>
          <w:noProof/>
          <w:szCs w:val="24"/>
          <w:vertAlign w:val="superscript"/>
        </w:rPr>
        <w:t>21</w:t>
      </w:r>
      <w:r w:rsidR="006D0707" w:rsidRPr="00CB6923">
        <w:rPr>
          <w:rFonts w:ascii="Times New Roman" w:hAnsi="Times New Roman"/>
          <w:szCs w:val="24"/>
        </w:rPr>
        <w:fldChar w:fldCharType="end"/>
      </w:r>
      <w:r w:rsidR="00585E37" w:rsidRPr="00CB6923">
        <w:rPr>
          <w:rFonts w:ascii="Times New Roman" w:hAnsi="Times New Roman"/>
          <w:szCs w:val="24"/>
        </w:rPr>
        <w:t xml:space="preserve"> Therefore SEI stability toward oxidation is strongly dependent on composition: SEI components with lower redox potentials than TEMPO such as lithium oxides or hydroxides may be chemically oxidized and removed by TEMPO</w:t>
      </w:r>
      <w:r w:rsidR="00585E37" w:rsidRPr="00CB6923">
        <w:rPr>
          <w:rFonts w:ascii="Times New Roman" w:hAnsi="Times New Roman"/>
          <w:szCs w:val="24"/>
          <w:vertAlign w:val="superscript"/>
        </w:rPr>
        <w:t>+</w:t>
      </w:r>
      <w:r w:rsidR="00585E37" w:rsidRPr="00CB6923">
        <w:rPr>
          <w:rFonts w:ascii="Times New Roman" w:hAnsi="Times New Roman"/>
          <w:szCs w:val="24"/>
        </w:rPr>
        <w:t>. Ha et al. demonstrate</w:t>
      </w:r>
      <w:r w:rsidR="005D39B7" w:rsidRPr="00CB6923">
        <w:rPr>
          <w:rFonts w:ascii="Times New Roman" w:hAnsi="Times New Roman"/>
          <w:szCs w:val="24"/>
        </w:rPr>
        <w:t>d</w:t>
      </w:r>
      <w:r w:rsidR="00585E37" w:rsidRPr="00CB6923">
        <w:rPr>
          <w:rFonts w:ascii="Times New Roman" w:hAnsi="Times New Roman"/>
          <w:szCs w:val="24"/>
        </w:rPr>
        <w:t xml:space="preserve"> this </w:t>
      </w:r>
      <w:r w:rsidR="005D39B7" w:rsidRPr="00CB6923">
        <w:rPr>
          <w:rFonts w:ascii="Times New Roman" w:hAnsi="Times New Roman"/>
          <w:szCs w:val="24"/>
        </w:rPr>
        <w:t>phenomenon by</w:t>
      </w:r>
      <w:r w:rsidR="00585E37" w:rsidRPr="00CB6923">
        <w:rPr>
          <w:rFonts w:ascii="Times New Roman" w:hAnsi="Times New Roman"/>
          <w:szCs w:val="24"/>
        </w:rPr>
        <w:t xml:space="preserve"> using a thiazine-based redox mediator.</w:t>
      </w:r>
      <w:r w:rsidR="00FC311B"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{"citationItems":[{"id":"ITEM-1","itemData":{"DOI":"10.1039/c7ta02210g","ISSN":"20507496","abstract":"The recent introduction of redox mediators as soluble catalysts in electrolytes has aimed at overcoming the spatial constraint of solid catalysts in lithium-oxygen (Li-O2) batteries. The redox mediators show promise for improving electrochemical performance, for example, by decreasing the overpotential for oxygen evolution reactions. However, their catalytic activity degrades after a certain number of cycles, leading to an increase in overpotential with increasing cycle number. The shuttle effect of redox mediators has been considered to be associated with the failure of Li-O2 batteries containing the redox mediators, but, this effect does not fully explain the capacity fading observed with Li-O2 batteries. In this study, it is demonstrated that the failure of these types of Li-O2 cells occurs because of an irreversible decomposition of the redox mediators on Li metal, which both degrades Li metal and depletes the redox mediators. We also show that this decomposition occurs even though oxygen dissolved in the electrolytes forms stable protective layers of lithium oxides on the Li surface. One model redox mediator, 10-methylphenothiazine, is examined in a case study to clarify the failure mechanism of Li-O2 batteries.","author":[{"dropping-particle":"","family":"Ha","given":"Seongmin","non-dropping-particle":"","parse-names":false,"suffix":""},{"dropping-particle":"","family":"Kim","given":"Youngjin","non-dropping-particle":"","parse-names":false,"suffix":""},{"dropping-particle":"","family":"Koo","given":"Dongho","non-dropping-particle":"","parse-names":false,"suffix":""},{"dropping-particle":"","family":"Ha","given":"Kwang Ho","non-dropping-particle":"","parse-names":false,"suffix":""},{"dropping-particle":"","family":"Park","given":"Yuwon","non-dropping-particle":"","parse-names":false,"suffix":""},{"dropping-particle":"","family":"Kim","given":"Dong Min","non-dropping-particle":"","parse-names":false,"suffix":""},{"dropping-particle":"","family":"Son","given":"Samick","non-dropping-particle":"","parse-names":false,"suffix":""},{"dropping-particle":"","family":"Yim","given":"Taeeun","non-dropping-particle":"","parse-names":false,"suffix":""},{"dropping-particle":"","family":"Lee","given":"Kyu Tae","non-dropping-particle":"","parse-names":false,"suffix":""}],"container-title":"Journal of Materials Chemistry A","id":"ITEM-1","issue":"21","issued":{"date-parts":[["2017"]]},"page":"10609-10621","publisher":"Royal Society of Chemistry","title":"Investigation into the stability of Li metal anodes in Li-O2 batteries with a redox mediator","type":"article-journal","volume":"5"},"uris":["http://www.mendeley.com/documents/?uuid=145a6c2f-cd24-4d8a-8680-7030987f6a35"]}],"mendeley":{"formattedCitation":"&lt;sup&gt;22&lt;/sup&gt;","plainTextFormattedCitation":"22","previouslyFormattedCitation":"&lt;sup&gt;22&lt;/sup&gt;"},"properties":{"noteIndex":0},"schema":"https://github.com/citation-style-language/schema/raw/master/csl-citation.json"}</w:instrText>
      </w:r>
      <w:r w:rsidR="00FC311B" w:rsidRPr="00CB6923">
        <w:rPr>
          <w:rFonts w:ascii="Times New Roman" w:hAnsi="Times New Roman"/>
          <w:szCs w:val="24"/>
        </w:rPr>
        <w:fldChar w:fldCharType="separate"/>
      </w:r>
      <w:r w:rsidR="00592AF7" w:rsidRPr="00CB6923">
        <w:rPr>
          <w:rFonts w:ascii="Times New Roman" w:hAnsi="Times New Roman"/>
          <w:noProof/>
          <w:szCs w:val="24"/>
          <w:vertAlign w:val="superscript"/>
        </w:rPr>
        <w:t>22</w:t>
      </w:r>
      <w:r w:rsidR="00FC311B" w:rsidRPr="00CB6923">
        <w:rPr>
          <w:rFonts w:ascii="Times New Roman" w:hAnsi="Times New Roman"/>
          <w:szCs w:val="24"/>
        </w:rPr>
        <w:fldChar w:fldCharType="end"/>
      </w:r>
      <w:r w:rsidR="00F51D79" w:rsidRPr="00CB6923">
        <w:rPr>
          <w:rFonts w:ascii="Times New Roman" w:hAnsi="Times New Roman"/>
          <w:szCs w:val="24"/>
        </w:rPr>
        <w:t xml:space="preserve"> The oxidation of SEI via redox shuttling of the mediator caused de-stabilization of the Li metal anode and further parasitic electron and electrolyte consumption</w:t>
      </w:r>
      <w:r w:rsidR="005D39B7" w:rsidRPr="00CB6923">
        <w:rPr>
          <w:rFonts w:ascii="Times New Roman" w:hAnsi="Times New Roman"/>
          <w:szCs w:val="24"/>
        </w:rPr>
        <w:t>,</w:t>
      </w:r>
      <w:r w:rsidR="00F51D79"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{"citationItems":[{"id":"ITEM-1","itemData":{"DOI":"10.1039/c7ta02210g","ISSN":"20507496","abstract":"The recent introduction of redox mediators as soluble catalysts in electrolytes has aimed at overcoming the spatial constraint of solid catalysts in lithium-oxygen (Li-O2) batteries. The redox mediators show promise for improving electrochemical performance, for example, by decreasing the overpotential for oxygen evolution reactions. However, their catalytic activity degrades after a certain number of cycles, leading to an increase in overpotential with increasing cycle number. The shuttle effect of redox mediators has been considered to be associated with the failure of Li-O2 batteries containing the redox mediators, but, this effect does not fully explain the capacity fading observed with Li-O2 batteries. In this study, it is demonstrated that the failure of these types of Li-O2 cells occurs because of an irreversible decomposition of the redox mediators on Li metal, which both degrades Li metal and depletes the redox mediators. We also show that this decomposition occurs even though oxygen dissolved in the electrolytes forms stable protective layers of lithium oxides on the Li surface. One model redox mediator, 10-methylphenothiazine, is examined in a case study to clarify the failure mechanism of Li-O2 batteries.","author":[{"dropping-particle":"","family":"Ha","given":"Seongmin","non-dropping-particle":"","parse-names":false,"suffix":""},{"dropping-particle":"","family":"Kim","given":"Youngjin","non-dropping-particle":"","parse-names":false,"suffix":""},{"dropping-particle":"","family":"Koo","given":"Dongho","non-dropping-particle":"","parse-names":false,"suffix":""},{"dropping-particle":"","family":"Ha","given":"Kwang Ho","non-dropping-particle":"","parse-names":false,"suffix":""},{"dropping-particle":"","family":"Park","given":"Yuwon","non-dropping-particle":"","parse-names":false,"suffix":""},{"dropping-particle":"","family":"Kim","given":"Dong Min","non-dropping-particle":"","parse-names":false,"suffix":""},{"dropping-particle":"","family":"Son","given":"Samick","non-dropping-particle":"","parse-names":false,"suffix":""},{"dropping-particle":"","family":"Yim","given":"Taeeun","non-dropping-particle":"","parse-names":false,"suffix":""},{"dropping-particle":"","family":"Lee","given":"Kyu Tae","non-dropping-particle":"","parse-names":false,"suffix":""}],"container-title":"Journal of Materials Chemistry A","id":"ITEM-1","issue":"21","issued":{"date-parts":[["2017"]]},"page":"10609-10621","publisher":"Royal Society of Chemistry","title":"Investigation into the stability of Li metal anodes in Li-O2 batteries with a redox mediator","type":"article-journal","volume":"5"},"uris":["http://www.mendeley.com/documents/?uuid=145a6c2f-cd24-4d8a-8680-7030987f6a35"]}],"mendeley":{"formattedCitation":"&lt;sup&gt;22&lt;/sup&gt;","plainTextFormattedCitation":"22","previouslyFormattedCitation":"&lt;sup&gt;22&lt;/sup&gt;"},"properties":{"noteIndex":0},"schema":"https://github.com/citation-style-language/schema/raw/master/csl-citation.json"}</w:instrText>
      </w:r>
      <w:r w:rsidR="00F51D79" w:rsidRPr="00CB6923">
        <w:rPr>
          <w:rFonts w:ascii="Times New Roman" w:hAnsi="Times New Roman"/>
          <w:szCs w:val="24"/>
        </w:rPr>
        <w:fldChar w:fldCharType="separate"/>
      </w:r>
      <w:r w:rsidR="00592AF7" w:rsidRPr="00CB6923">
        <w:rPr>
          <w:rFonts w:ascii="Times New Roman" w:hAnsi="Times New Roman"/>
          <w:noProof/>
          <w:szCs w:val="24"/>
          <w:vertAlign w:val="superscript"/>
        </w:rPr>
        <w:t>22</w:t>
      </w:r>
      <w:r w:rsidR="00F51D79" w:rsidRPr="00CB6923">
        <w:rPr>
          <w:rFonts w:ascii="Times New Roman" w:hAnsi="Times New Roman"/>
          <w:szCs w:val="24"/>
        </w:rPr>
        <w:fldChar w:fldCharType="end"/>
      </w:r>
      <w:r w:rsidR="005D39B7" w:rsidRPr="00CB6923">
        <w:rPr>
          <w:rFonts w:ascii="Times New Roman" w:hAnsi="Times New Roman"/>
          <w:szCs w:val="24"/>
        </w:rPr>
        <w:t xml:space="preserve"> motivating further work.</w:t>
      </w:r>
      <w:r w:rsidR="00435AEC" w:rsidRPr="00CB6923">
        <w:rPr>
          <w:rFonts w:ascii="Times New Roman" w:hAnsi="Times New Roman"/>
          <w:szCs w:val="24"/>
        </w:rPr>
        <w:t xml:space="preserve"> </w:t>
      </w:r>
    </w:p>
    <w:p w14:paraId="78D79F93" w14:textId="4CE2F6FF" w:rsidR="00A41312" w:rsidRPr="00CB6923" w:rsidRDefault="00435AEC" w:rsidP="00A41312">
      <w:pPr>
        <w:pStyle w:val="TAMainText"/>
        <w:spacing w:after="240"/>
        <w:ind w:firstLine="720"/>
        <w:jc w:val="left"/>
        <w:rPr>
          <w:rFonts w:ascii="Times New Roman" w:hAnsi="Times New Roman"/>
          <w:szCs w:val="24"/>
        </w:rPr>
      </w:pPr>
      <w:r w:rsidRPr="00CB6923">
        <w:rPr>
          <w:rFonts w:ascii="Times New Roman" w:hAnsi="Times New Roman"/>
          <w:szCs w:val="24"/>
        </w:rPr>
        <w:t>Despite increasing redox shuttling, enabling high mass transport through a flowing design is advantageous</w:t>
      </w:r>
      <w:r w:rsidR="005D39B7" w:rsidRPr="00CB6923">
        <w:rPr>
          <w:rFonts w:ascii="Times New Roman" w:hAnsi="Times New Roman"/>
          <w:szCs w:val="24"/>
        </w:rPr>
        <w:t>: f</w:t>
      </w:r>
      <w:r w:rsidRPr="00CB6923">
        <w:rPr>
          <w:rFonts w:ascii="Times New Roman" w:hAnsi="Times New Roman"/>
          <w:szCs w:val="24"/>
        </w:rPr>
        <w:t>lowing the electrolyte improves rate capabilities, increases uniformity of Li</w:t>
      </w:r>
      <w:r w:rsidRPr="00CB6923">
        <w:rPr>
          <w:rFonts w:ascii="Times New Roman" w:hAnsi="Times New Roman"/>
          <w:szCs w:val="24"/>
          <w:vertAlign w:val="subscript"/>
        </w:rPr>
        <w:t>2</w:t>
      </w:r>
      <w:r w:rsidRPr="00CB6923">
        <w:rPr>
          <w:rFonts w:ascii="Times New Roman" w:hAnsi="Times New Roman"/>
          <w:szCs w:val="24"/>
        </w:rPr>
        <w:t>O</w:t>
      </w:r>
      <w:r w:rsidRPr="00CB6923">
        <w:rPr>
          <w:rFonts w:ascii="Times New Roman" w:hAnsi="Times New Roman"/>
          <w:szCs w:val="24"/>
          <w:vertAlign w:val="subscript"/>
        </w:rPr>
        <w:t>2</w:t>
      </w:r>
      <w:r w:rsidRPr="00CB6923">
        <w:rPr>
          <w:rFonts w:ascii="Times New Roman" w:hAnsi="Times New Roman"/>
          <w:szCs w:val="24"/>
        </w:rPr>
        <w:t xml:space="preserve"> deposition at the cathode, and increases longevity of the LAB.</w:t>
      </w:r>
      <w:r w:rsidR="00004603"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{"citationItems":[{"id":"ITEM-1","itemData":{"DOI":"10.1016/j.energy.2014.12.062","ISSN":"03605442","abstract":"In this study, a new organic lithium oxygen (Li-O2) battery structure is proposed to enhance battery capacity. The electrolyte is forced to recirculate through the cathode and then saturated with oxygen in a tank external to the battery. The forced convection enhances oxygen transport and alleviates the problem of electrode blockage during discharge. A two dimensional, transient, non-isothermal simulation model is developed to study the heat and mass transfer within the battery and validate the proposed design. Results show that this novel active cathode design improves the battery capacity at all discharge current densities. The capacity of the Li-O2 battery is increased by 15.5 times (from 12.2mAhg-1 to 201mAhg-1) at the discharge current of 2.0mAcm-2 when a conventional passive electrode is replaced by the newly designed active electrode. Furthermore, a cathode with non-uniform porosity is suggested and simulation results show that it can reach a higher discharge capacity without decreasing its power density. Detailed mass transport processes in the battery are also studied.","author":[{"dropping-particle":"","family":"Li","given":"Xianglin","non-dropping-particle":"","parse-names":false,"suffix":""},{"dropping-particle":"","family":"Huang","given":"Jing","non-dropping-particle":"","parse-names":false,"suffix":""},{"dropping-particle":"","family":"Faghri","given":"Amir","non-dropping-particle":"","parse-names":false,"suffix":""}],"container-title":"Energy","id":"ITEM-1","issued":{"date-parts":[["2015"]]},"page":"489-500","publisher":"Elsevier","title":"Modeling study of a Li-O2 battery with an active cathode","type":"article-journal","volume":"81"},"uris":["http://www.mendeley.com/documents/?uuid=755e9f3f-6470-49e0-9934-1e7947cf4b71"]}],"mendeley":{"formattedCitation":"&lt;sup&gt;15&lt;/sup&gt;","plainTextFormattedCitation":"15","previouslyFormattedCitation":"&lt;sup&gt;15&lt;/sup&gt;"},"properties":{"noteIndex":0},"schema":"https://github.com/citation-style-language/schema/raw/master/csl-citation.json"}</w:instrText>
      </w:r>
      <w:r w:rsidR="00004603" w:rsidRPr="00CB6923">
        <w:rPr>
          <w:rFonts w:ascii="Times New Roman" w:hAnsi="Times New Roman"/>
          <w:szCs w:val="24"/>
        </w:rPr>
        <w:fldChar w:fldCharType="separate"/>
      </w:r>
      <w:r w:rsidR="00592AF7" w:rsidRPr="00CB6923">
        <w:rPr>
          <w:rFonts w:ascii="Times New Roman" w:hAnsi="Times New Roman"/>
          <w:noProof/>
          <w:szCs w:val="24"/>
          <w:vertAlign w:val="superscript"/>
        </w:rPr>
        <w:t>15</w:t>
      </w:r>
      <w:r w:rsidR="00004603" w:rsidRPr="00CB6923">
        <w:rPr>
          <w:rFonts w:ascii="Times New Roman" w:hAnsi="Times New Roman"/>
          <w:szCs w:val="24"/>
        </w:rPr>
        <w:fldChar w:fldCharType="end"/>
      </w:r>
      <w:r w:rsidR="009E526A" w:rsidRPr="00CB6923">
        <w:rPr>
          <w:rFonts w:ascii="Times New Roman" w:hAnsi="Times New Roman"/>
          <w:szCs w:val="24"/>
        </w:rPr>
        <w:t xml:space="preserve"> </w:t>
      </w:r>
      <w:r w:rsidR="00A41312" w:rsidRPr="00CB6923">
        <w:rPr>
          <w:rFonts w:ascii="Times New Roman" w:hAnsi="Times New Roman"/>
          <w:szCs w:val="24"/>
        </w:rPr>
        <w:t xml:space="preserve">In order to capitalize on the improvements granted by increasing mass transport while also mitigating crossover, engineering </w:t>
      </w:r>
      <w:r w:rsidR="00A41312" w:rsidRPr="00CB6923">
        <w:rPr>
          <w:rFonts w:ascii="Times New Roman" w:hAnsi="Times New Roman"/>
          <w:szCs w:val="24"/>
        </w:rPr>
        <w:lastRenderedPageBreak/>
        <w:t xml:space="preserve">a stable SEI or providing protective layers to inhibit crossover is necessary. Selective membranes are widely used in the aqueous RFB community and may be employed to protect the anode and limit parasitic redox shuttling. </w:t>
      </w:r>
    </w:p>
    <w:p w14:paraId="181A19E3" w14:textId="38F43644" w:rsidR="00AD7345" w:rsidRPr="00CB6923" w:rsidRDefault="00A41312" w:rsidP="00A41312">
      <w:pPr>
        <w:pStyle w:val="TAMainText"/>
        <w:spacing w:after="240"/>
        <w:ind w:firstLine="720"/>
        <w:jc w:val="left"/>
      </w:pPr>
      <w:r w:rsidRPr="00CB6923">
        <w:rPr>
          <w:rFonts w:ascii="Times New Roman" w:hAnsi="Times New Roman"/>
          <w:szCs w:val="24"/>
        </w:rPr>
        <w:t xml:space="preserve">Adapting conventional membranes used in aqueous conditions for </w:t>
      </w:r>
      <w:r w:rsidR="00CC2241" w:rsidRPr="00CB6923">
        <w:rPr>
          <w:rFonts w:ascii="Times New Roman" w:hAnsi="Times New Roman"/>
          <w:szCs w:val="24"/>
        </w:rPr>
        <w:t>non-aqueous</w:t>
      </w:r>
      <w:r w:rsidRPr="00CB6923">
        <w:rPr>
          <w:rFonts w:ascii="Times New Roman" w:hAnsi="Times New Roman"/>
          <w:szCs w:val="24"/>
        </w:rPr>
        <w:t xml:space="preserve"> batteries has proven challenging. We performed several experiments studying the effects of a Li-Nafion membrane on crossover rates of TEMPO/TEMPO</w:t>
      </w:r>
      <w:r w:rsidRPr="00CB6923">
        <w:rPr>
          <w:rFonts w:ascii="Times New Roman" w:hAnsi="Times New Roman"/>
          <w:szCs w:val="24"/>
          <w:vertAlign w:val="superscript"/>
        </w:rPr>
        <w:t>+</w:t>
      </w:r>
      <w:r w:rsidRPr="00CB6923">
        <w:rPr>
          <w:rFonts w:ascii="Times New Roman" w:hAnsi="Times New Roman"/>
          <w:szCs w:val="24"/>
        </w:rPr>
        <w:t>. Li-Nafion appears to prevent severe crossover of TEMPO radical species as compared to a Celgard membrane (figure 5) as well as limiting TEMPO</w:t>
      </w:r>
      <w:r w:rsidRPr="00CB6923">
        <w:rPr>
          <w:rFonts w:ascii="Times New Roman" w:hAnsi="Times New Roman"/>
          <w:szCs w:val="24"/>
          <w:vertAlign w:val="superscript"/>
        </w:rPr>
        <w:t>+</w:t>
      </w:r>
      <w:r w:rsidRPr="00CB6923">
        <w:rPr>
          <w:rFonts w:ascii="Times New Roman" w:hAnsi="Times New Roman"/>
          <w:szCs w:val="24"/>
        </w:rPr>
        <w:t xml:space="preserve"> diffusion shown in the operando pressure measurements with LAB cells (figure 6). In the OCV decay experiments, Li-Nafion also slowed the voltage decay at rest after charging, corresponding to less self-discharge (figure S8). Challenges remain however, to ensure good ionic conductivity and compatibility of the membrane with electrolytes used in LABs and </w:t>
      </w:r>
      <w:r w:rsidR="00CC2241" w:rsidRPr="00CB6923">
        <w:rPr>
          <w:rFonts w:ascii="Times New Roman" w:hAnsi="Times New Roman"/>
          <w:szCs w:val="24"/>
        </w:rPr>
        <w:t>non-aqueous</w:t>
      </w:r>
      <w:r w:rsidRPr="00CB6923">
        <w:rPr>
          <w:rFonts w:ascii="Times New Roman" w:hAnsi="Times New Roman"/>
          <w:szCs w:val="24"/>
        </w:rPr>
        <w:t xml:space="preserve"> RFBs. In our static cells, Li-Nafion increased the ionic resistivity and limited the total charge capacity (figure 6f). This result is consistent with literature,</w:t>
      </w:r>
      <w:r w:rsidR="00121B5E"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{"citationItems":[{"id":"ITEM-1","itemData":{"DOI":"10.1016/j.electacta.2013.11.018","ISSN":"00134686","abstract":"The rechargeable Li-air battery has a key role to play as a storage system for renewable energy and as the power system for electric vehicles. Effective cathode materials are required to improve its capacity, cycling ability and rate capability. In this work, an ionic conductive Li-Nafion® binder and Li-Nafion® membrane materials were fabricated and used to construct a novel rechargeable Li-O2/air and all-solid battery. The battery achieved a high capacity over 1000 mA h (g solids)-1 with good rate capability and capacity retention were achieved. Insight into the improved performance has been explored with the aid of TEM, XRD, galvanostatic charge discharge test and impedance analysis. © 2013 Elsevier Ltd.","author":[{"dropping-particle":"","family":"Cheng","given":"H.","non-dropping-particle":"","parse-names":false,"suffix":""},{"dropping-particle":"","family":"Scott","given":"K.","non-dropping-particle":"","parse-names":false,"suffix":""}],"container-title":"Electrochimica Acta","id":"ITEM-1","issued":{"date-parts":[["2014"]]},"page":"51-58","publisher":"Elsevier Ltd","title":"Improving performance of rechargeable Li-air batteries from using Li-Nafion® binder","type":"article-journal","volume":"116"},"uris":["http://www.mendeley.com/documents/?uuid=cb821078-0211-4482-b43f-f105ac221188"]}],"mendeley":{"formattedCitation":"&lt;sup&gt;50&lt;/sup&gt;","plainTextFormattedCitation":"50","previouslyFormattedCitation":"&lt;sup&gt;50&lt;/sup&gt;"},"properties":{"noteIndex":0},"schema":"https://github.com/citation-style-language/schema/raw/master/csl-citation.json"}</w:instrText>
      </w:r>
      <w:r w:rsidR="00121B5E" w:rsidRPr="00CB6923">
        <w:rPr>
          <w:rFonts w:ascii="Times New Roman" w:hAnsi="Times New Roman"/>
          <w:szCs w:val="24"/>
        </w:rPr>
        <w:fldChar w:fldCharType="separate"/>
      </w:r>
      <w:r w:rsidR="00737675" w:rsidRPr="00CB6923">
        <w:rPr>
          <w:rFonts w:ascii="Times New Roman" w:hAnsi="Times New Roman"/>
          <w:noProof/>
          <w:szCs w:val="24"/>
          <w:vertAlign w:val="superscript"/>
        </w:rPr>
        <w:t>50</w:t>
      </w:r>
      <w:r w:rsidR="00121B5E" w:rsidRPr="00CB6923">
        <w:rPr>
          <w:rFonts w:ascii="Times New Roman" w:hAnsi="Times New Roman"/>
          <w:szCs w:val="24"/>
        </w:rPr>
        <w:fldChar w:fldCharType="end"/>
      </w:r>
      <w:r w:rsidR="00C70545" w:rsidRPr="00CB6923">
        <w:rPr>
          <w:rFonts w:ascii="Times New Roman" w:hAnsi="Times New Roman"/>
          <w:szCs w:val="24"/>
        </w:rPr>
        <w:t xml:space="preserve"> </w:t>
      </w:r>
      <w:r w:rsidR="00A93330" w:rsidRPr="00CB6923">
        <w:rPr>
          <w:rFonts w:ascii="Times New Roman" w:hAnsi="Times New Roman"/>
          <w:szCs w:val="24"/>
        </w:rPr>
        <w:t>and is particularly problematic in LABs, where high overpotentials can lead to additional electrode and electrolyte breakdown.</w:t>
      </w:r>
      <w:r w:rsidR="00A93330" w:rsidRPr="00CB6923">
        <w:rPr>
          <w:rFonts w:ascii="Times New Roman" w:hAnsi="Times New Roman"/>
          <w:szCs w:val="24"/>
        </w:rPr>
        <w:fldChar w:fldCharType="begin" w:fldLock="1"/>
      </w:r>
      <w:r w:rsidR="00A93330" w:rsidRPr="00CB6923">
        <w:rPr>
          <w:rFonts w:ascii="Times New Roman" w:hAnsi="Times New Roman"/>
          <w:szCs w:val="24"/>
        </w:rPr>
        <w:instrText>ADDIN CSL_CITATION {"citationItems":[{"id":"ITEM-1","itemData":{"DOI":"10.1021/acs.chemrev.9b00545","ISSN":"15206890","PMID":"32090540","abstract":"Nonaqueous lithium-air batteries have garnered considerable research interest over the past decade due to their extremely high theoretical energy densities and potentially low cost. Significant advances have been achieved both in the mechanistic understanding of the cell reactions and in the development of effective strategies to help realize a practical energy storage device. By drawing attention to reports published mainly within the past 8 years, this review provides an updated mechanistic picture of the lithium peroxide based cell reactions and highlights key remaining challenges, including those due to the parasitic processes occurring at the reaction product-electrolyte, product-cathode, electrolyte-cathode, and electrolyte-anode interfaces. We introduce the fundamental principles and critically evaluate the effectiveness of the different strategies that have been proposed to mitigate the various issues of this chemistry, which include the use of solid catalysts, redox mediators, solvating additives for oxygen reaction intermediates, gas separation membranes, etc. Recently established cell chemistries based on the superoxide, hydroxide, and oxide phases are also summarized and discussed.","author":[{"dropping-particle":"","family":"Liu","given":"Tao","non-dropping-particle":"","parse-names":false,"suffix":""},{"dropping-particle":"","family":"Vivek","given":"J. Padmanabhan","non-dropping-particle":"","parse-names":false,"suffix":""},{"dropping-particle":"","family":"Zhao","given":"Evan Wenbo","non-dropping-particle":"","parse-names":false,"suffix":""},{"dropping-particle":"","family":"Lei","given":"Jiang","non-dropping-particle":"","parse-names":false,"suffix":""},{"dropping-particle":"","family":"Garcia-Araez","given":"Nuria","non-dropping-particle":"","parse-names":false,"suffix":""},{"dropping-particle":"","family":"Grey","given":"Clare P.","non-dropping-particle":"","parse-names":false,"suffix":""}],"container-title":"Chemical Reviews","id":"ITEM-1","issue":"14","issued":{"date-parts":[["2020"]]},"page":"6558-6625","title":"Current Challenges and Routes Forward for Nonaqueous Lithium-Air Batteries","type":"article-journal","volume":"120"},"uris":["http://www.mendeley.com/documents/?uuid=f6b3b854-8f24-497f-8002-7d503d60824e"]}],"mendeley":{"formattedCitation":"&lt;sup&gt;2&lt;/sup&gt;","plainTextFormattedCitation":"2","previouslyFormattedCitation":"&lt;sup&gt;2&lt;/sup&gt;"},"properties":{"noteIndex":0},"schema":"https://github.com/citation-style-language/schema/raw/master/csl-citation.json"}</w:instrText>
      </w:r>
      <w:r w:rsidR="00A93330" w:rsidRPr="00CB6923">
        <w:rPr>
          <w:rFonts w:ascii="Times New Roman" w:hAnsi="Times New Roman"/>
          <w:szCs w:val="24"/>
        </w:rPr>
        <w:fldChar w:fldCharType="separate"/>
      </w:r>
      <w:r w:rsidR="00A93330" w:rsidRPr="00CB6923">
        <w:rPr>
          <w:rFonts w:ascii="Times New Roman" w:hAnsi="Times New Roman"/>
          <w:noProof/>
          <w:szCs w:val="24"/>
          <w:vertAlign w:val="superscript"/>
        </w:rPr>
        <w:t>2</w:t>
      </w:r>
      <w:r w:rsidR="00A93330" w:rsidRPr="00CB6923">
        <w:rPr>
          <w:rFonts w:ascii="Times New Roman" w:hAnsi="Times New Roman"/>
          <w:szCs w:val="24"/>
        </w:rPr>
        <w:fldChar w:fldCharType="end"/>
      </w:r>
      <w:r w:rsidR="00A93330" w:rsidRPr="00CB6923">
        <w:rPr>
          <w:rFonts w:ascii="Times New Roman" w:hAnsi="Times New Roman"/>
          <w:szCs w:val="24"/>
        </w:rPr>
        <w:t xml:space="preserve"> </w:t>
      </w:r>
      <w:r w:rsidR="00C65746" w:rsidRPr="00CB6923">
        <w:rPr>
          <w:rFonts w:ascii="Times New Roman" w:hAnsi="Times New Roman"/>
          <w:szCs w:val="24"/>
        </w:rPr>
        <w:t xml:space="preserve">Furthermore, since Nafion is typically used in aqueous electrolytes, its long-term stability in </w:t>
      </w:r>
      <w:r w:rsidR="00CC2241" w:rsidRPr="00CB6923">
        <w:rPr>
          <w:rFonts w:ascii="Times New Roman" w:hAnsi="Times New Roman"/>
          <w:szCs w:val="24"/>
        </w:rPr>
        <w:t>non-aqueous</w:t>
      </w:r>
      <w:r w:rsidR="00C65746" w:rsidRPr="00CB6923">
        <w:rPr>
          <w:rFonts w:ascii="Times New Roman" w:hAnsi="Times New Roman"/>
          <w:szCs w:val="24"/>
        </w:rPr>
        <w:t xml:space="preserve"> electrolytes and long-term efficacy at preventing crossover also require further study.</w:t>
      </w:r>
      <w:r w:rsidR="00C65746" w:rsidRPr="00CB6923">
        <w:rPr>
          <w:rFonts w:ascii="Times New Roman" w:hAnsi="Times New Roman"/>
          <w:szCs w:val="24"/>
        </w:rPr>
        <w:fldChar w:fldCharType="begin" w:fldLock="1"/>
      </w:r>
      <w:r w:rsidR="0073767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Electrolytes","type":"article-journal","volume":"163"},"uris":["http://www.mendeley.com/documents/?uuid=c6139c5a-77c9-4bcc-83ba-2e99c58741ba"]},{"id":"ITEM-2","itemData":{"DOI":"10.1016/j.jpowsour.2013.11.090","ISSN":"03787753","abstract":"Nafion-coated polypropylene separator (Celgard 2500) is used as cation-selective membrane for lithium sulfur batteries to suppress polysulfide diffusion enhancing the charge efficiency of the cells especially at low charge/discharge rates. The charge efficiency of the 10th cycle rises from about 70% to nearly 90% at a rate of C/20. The reduction of polysulfide penetration through the Nafion-coated Celgard 2500 is also proven by visual characterization. FTIR and SEM investigations verify a smooth and dense Nafion-coating on the porous polypropylene backbone of the separator. The influence of Nafion-loading on rate capability and discharge voltage is investigated by galvanostatic charge-discharge measurements. With the lowest Nafion-loading of 0.25 mg cm-2 we are able to achieve a rate capability comparable to uncoated Celgard 2500 up to current densities of 3 mA cm-2, whereas the functionality as polysulfide shuttle inhibitor is largely preserved. © 2013 Elsevier B.V. All rights reserved.","author":[{"dropping-particle":"","family":"Bauer","given":"I.","non-dropping-particle":"","parse-names":false,"suffix":""},{"dropping-particle":"","family":"Thieme","given":"S.","non-dropping-particle":"","parse-names":false,"suffix":""},{"dropping-particle":"","family":"Brückner","given":"J.","non-dropping-particle":"","parse-names":false,"suffix":""},{"dropping-particle":"","family":"Althues","given":"H.","non-dropping-particle":"","parse-names":false,"suffix":""},{"dropping-particle":"","family":"Kaskel","given":"S.","non-dropping-particle":"","parse-names":false,"suffix":""}],"container-title":"Journal of Power Sources","id":"ITEM-2","issued":{"date-parts":[["2014"]]},"page":"417-422","title":"Reduced polysulfide shuttle in lithium-sulfur batteries using Nafion-based separators","type":"article-journal","volume":"251"},"uris":["http://www.mendeley.com/documents/?uuid=5b93aabf-6545-45b2-9261-3c595995dccb"]}],"mendeley":{"formattedCitation":"&lt;sup&gt;23,45&lt;/sup&gt;","plainTextFormattedCitation":"23,45","previouslyFormattedCitation":"&lt;sup&gt;23,45&lt;/sup&gt;"},"properties":{"noteIndex":0},"schema":"https://github.com/citation-style-language/schema/raw/master/csl-citation.json"}</w:instrText>
      </w:r>
      <w:r w:rsidR="00C65746" w:rsidRPr="00CB6923">
        <w:rPr>
          <w:rFonts w:ascii="Times New Roman" w:hAnsi="Times New Roman"/>
          <w:szCs w:val="24"/>
        </w:rPr>
        <w:fldChar w:fldCharType="separate"/>
      </w:r>
      <w:r w:rsidR="00737675" w:rsidRPr="00CB6923">
        <w:rPr>
          <w:rFonts w:ascii="Times New Roman" w:hAnsi="Times New Roman"/>
          <w:noProof/>
          <w:szCs w:val="24"/>
          <w:vertAlign w:val="superscript"/>
        </w:rPr>
        <w:t>23,45</w:t>
      </w:r>
      <w:r w:rsidR="00C65746" w:rsidRPr="00CB6923">
        <w:rPr>
          <w:rFonts w:ascii="Times New Roman" w:hAnsi="Times New Roman"/>
          <w:szCs w:val="24"/>
        </w:rPr>
        <w:fldChar w:fldCharType="end"/>
      </w:r>
      <w:r w:rsidR="00CE63B6" w:rsidRPr="00CB6923">
        <w:rPr>
          <w:rFonts w:ascii="Times New Roman" w:hAnsi="Times New Roman"/>
          <w:szCs w:val="24"/>
        </w:rPr>
        <w:t xml:space="preserve"> As seen in our crossover flow experiment, within less than a day, </w:t>
      </w:r>
      <w:r w:rsidR="00A80C8C" w:rsidRPr="00CB6923">
        <w:rPr>
          <w:rFonts w:ascii="Times New Roman" w:hAnsi="Times New Roman"/>
          <w:szCs w:val="24"/>
        </w:rPr>
        <w:t xml:space="preserve">on the order of 10mM </w:t>
      </w:r>
      <w:r w:rsidR="00CE63B6" w:rsidRPr="00CB6923">
        <w:rPr>
          <w:rFonts w:ascii="Times New Roman" w:hAnsi="Times New Roman"/>
          <w:szCs w:val="24"/>
        </w:rPr>
        <w:t xml:space="preserve">TEMPO species had diffused across the Li-Nafion membrane (figure 5b). Improvements in short term crossover we observed with Li-Nafion may </w:t>
      </w:r>
      <w:r w:rsidR="000931A5" w:rsidRPr="00CB6923">
        <w:rPr>
          <w:rFonts w:ascii="Times New Roman" w:hAnsi="Times New Roman"/>
          <w:szCs w:val="24"/>
        </w:rPr>
        <w:t xml:space="preserve">in part </w:t>
      </w:r>
      <w:r w:rsidR="00CE63B6" w:rsidRPr="00CB6923">
        <w:rPr>
          <w:rFonts w:ascii="Times New Roman" w:hAnsi="Times New Roman"/>
          <w:szCs w:val="24"/>
        </w:rPr>
        <w:t xml:space="preserve">be a result of slower </w:t>
      </w:r>
      <w:r w:rsidR="00CC2241" w:rsidRPr="00CB6923">
        <w:rPr>
          <w:rFonts w:ascii="Times New Roman" w:hAnsi="Times New Roman"/>
          <w:szCs w:val="24"/>
        </w:rPr>
        <w:t>non-aqueous</w:t>
      </w:r>
      <w:r w:rsidR="00CE63B6" w:rsidRPr="00CB6923">
        <w:rPr>
          <w:rFonts w:ascii="Times New Roman" w:hAnsi="Times New Roman"/>
          <w:szCs w:val="24"/>
        </w:rPr>
        <w:t xml:space="preserve"> solvent uptake in these, which decreases the membrane porosity and diffusivity of species through the membrane.</w:t>
      </w:r>
      <w:r w:rsidR="00CE63B6" w:rsidRPr="00CB6923">
        <w:rPr>
          <w:rFonts w:ascii="Times New Roman" w:hAnsi="Times New Roman"/>
          <w:szCs w:val="24"/>
        </w:rPr>
        <w:fldChar w:fldCharType="begin" w:fldLock="1"/>
      </w:r>
      <w:r w:rsidR="00B60A05" w:rsidRPr="00CB6923">
        <w:rPr>
          <w:rFonts w:ascii="Times New Roman" w:hAnsi="Times New Roman"/>
          <w:szCs w:val="24"/>
        </w:rPr>
        <w:instrText>ADDIN CSL_CITATION {"citationItems":[{"id":"ITEM-1","itemData":{"DOI":"10.1149/2.03211601jes","ISSN":"0013-4651","abstract":"Nonaqueous redox flow batteries are a fast-growing area of research and development motivated by the need to develop low-cost energy storage systems. The identification of a highly conductive, yet selective membrane, is of paramount importance to enabling such a technology. Herein, we report the swelling behavior, ionic conductivity, and species crossover of lithiated Nafion 117 membranes immersed in three nonaqueous electrolytes (PC, PC : EC, and DMSO). Our results show that solvent volume fraction within the membrane has the greatest effect on both conductivity and crossover. An approximate linear relationship between diffusive crossover of neutral redox species (ferrocene) and the ionic conductivity of membrane was observed. As a secondary effect, the charge on redox species modifies crossover rates in accordance with Donnan exclusion. The selectivity of membrane is derived mathematically and compared to experimental results reported here. The relatively low selectivity for lithiated Nafion 117 in nonaqueous conditions suggests that new membranes are required for competitive nonaqueous redox flow batteries to be realized. Potential design rules are suggested for the future membrane engineering work.","author":[{"dropping-particle":"","family":"Su","given":"Liang","non-dropping-particle":"","parse-names":false,"suffix":""},{"dropping-particle":"","family":"Darling","given":"Robert M.","non-dropping-particle":"","parse-names":false,"suffix":""},{"dropping-particle":"","family":"Gallagher","given":"Kevin G.","non-dropping-particle":"","parse-names":false,"suffix":""},{"dropping-particle":"","family":"Xie","given":"Wei","non-dropping-particle":"","parse-names":false,"suffix":""},{"dropping-particle":"","family":"Thelen","given":"Jacob L.","non-dropping-particle":"","parse-names":false,"suffix":""},{"dropping-particle":"","family":"Badel","given":"Andres F.","non-dropping-particle":"","parse-names":false,"suffix":""},{"dropping-particle":"","family":"Barton","given":"John L.","non-dropping-particle":"","parse-names":false,"suffix":""},{"dropping-particle":"","family":"Cheng","given":"Kevin J.","non-dropping-particle":"","parse-names":false,"suffix":""},{"dropping-particle":"","family":"Balsara","given":"Nitash P.","non-dropping-particle":"","parse-names":false,"suffix":""},{"dropping-particle":"","family":"Moore","given":"Jeffrey S.","non-dropping-particle":"","parse-names":false,"suffix":""},{"dropping-particle":"","family":"Brushett","given":"Fikile R.","non-dropping-particle":"","parse-names":false,"suffix":""}],"container-title":"Journal of The Electrochemical Society","id":"ITEM-1","issue":"1","issued":{"date-parts":[["2016"]]},"page":"A5253-A5262","title":"An Investigation of the Ionic Conductivity and Species Crossover of Lithiated Nafion 117 in Nonaqueous Electrolytes","type":"article-journal","volume":"163"},"uris":["http://www.mendeley.com/documents/?uuid=c6139c5a-77c9-4bcc-83ba-2e99c58741ba"]}],"mendeley":{"formattedCitation":"&lt;sup&gt;23&lt;/sup&gt;","plainTextFormattedCitation":"23","previouslyFormattedCitation":"&lt;sup&gt;23&lt;/sup&gt;"},"properties":{"noteIndex":0},"schema":"https://github.com/citation-style-language/schema/raw/master/csl-citation.json"}</w:instrText>
      </w:r>
      <w:r w:rsidR="00CE63B6" w:rsidRPr="00CB6923">
        <w:rPr>
          <w:rFonts w:ascii="Times New Roman" w:hAnsi="Times New Roman"/>
          <w:szCs w:val="24"/>
        </w:rPr>
        <w:fldChar w:fldCharType="separate"/>
      </w:r>
      <w:r w:rsidR="00592AF7" w:rsidRPr="00CB6923">
        <w:rPr>
          <w:rFonts w:ascii="Times New Roman" w:hAnsi="Times New Roman"/>
          <w:noProof/>
          <w:szCs w:val="24"/>
          <w:vertAlign w:val="superscript"/>
        </w:rPr>
        <w:t>23</w:t>
      </w:r>
      <w:r w:rsidR="00CE63B6" w:rsidRPr="00CB6923">
        <w:rPr>
          <w:rFonts w:ascii="Times New Roman" w:hAnsi="Times New Roman"/>
          <w:szCs w:val="24"/>
        </w:rPr>
        <w:fldChar w:fldCharType="end"/>
      </w:r>
    </w:p>
    <w:p w14:paraId="14FEE56C" w14:textId="6FB9C959" w:rsidR="00707FAD" w:rsidRPr="00CB6923" w:rsidRDefault="00C02EF6" w:rsidP="00416C39">
      <w:pPr>
        <w:pStyle w:val="TAMainText"/>
        <w:spacing w:after="240"/>
        <w:ind w:firstLine="720"/>
        <w:jc w:val="left"/>
      </w:pPr>
      <w:r w:rsidRPr="00CB6923">
        <w:t xml:space="preserve">Further work is required in order to develop next-generation battery technologies such as RFBs and LABs. </w:t>
      </w:r>
      <w:r w:rsidR="005D39B7" w:rsidRPr="00CB6923">
        <w:t xml:space="preserve">While </w:t>
      </w:r>
      <w:r w:rsidRPr="00CB6923">
        <w:t xml:space="preserve">high mass transport has many advantages when used in flow-LABs and </w:t>
      </w:r>
      <w:r w:rsidRPr="00CB6923">
        <w:lastRenderedPageBreak/>
        <w:t>are integral to RFBs</w:t>
      </w:r>
      <w:r w:rsidR="005D39B7" w:rsidRPr="00CB6923">
        <w:t>, t</w:t>
      </w:r>
      <w:r w:rsidRPr="00CB6923">
        <w:t>he combination of employing solution phase redox active species and flow systems where fast mass transport is enabled requires detailed consideration of crossover rates.</w:t>
      </w:r>
    </w:p>
    <w:p w14:paraId="5031F627" w14:textId="40879F5C" w:rsidR="00C02EF6" w:rsidRPr="00CB6923" w:rsidRDefault="00C02EF6" w:rsidP="00C02EF6">
      <w:pPr>
        <w:pStyle w:val="TAMainText"/>
        <w:spacing w:after="240"/>
        <w:ind w:firstLine="0"/>
        <w:jc w:val="left"/>
      </w:pPr>
      <w:r w:rsidRPr="00CB6923">
        <w:t>CONCLUSION</w:t>
      </w:r>
    </w:p>
    <w:p w14:paraId="1B442C97" w14:textId="29A18B88" w:rsidR="00C02EF6" w:rsidRPr="00CB6923" w:rsidRDefault="00FA52D4" w:rsidP="00416C39">
      <w:pPr>
        <w:pStyle w:val="TAMainText"/>
        <w:spacing w:after="240"/>
        <w:ind w:firstLine="720"/>
        <w:jc w:val="left"/>
      </w:pPr>
      <w:r w:rsidRPr="00CB6923">
        <w:t>In summary, we have utilized in-situ measurements and supporting computational modeling to study crossover and redox shuttling in batteries using TEMPO as the redox</w:t>
      </w:r>
      <w:r w:rsidR="00E1336E" w:rsidRPr="00CB6923">
        <w:t>-</w:t>
      </w:r>
      <w:r w:rsidRPr="00CB6923">
        <w:t>active species.</w:t>
      </w:r>
      <w:r w:rsidR="00941AF3" w:rsidRPr="00CB6923">
        <w:t xml:space="preserve"> </w:t>
      </w:r>
      <w:r w:rsidRPr="00CB6923">
        <w:t>Online EPR and NMR measurements reveal a mismatch between the changes in TEMPO concentrations and the capacities measured from electrochemistry. A significant amount of charge passed on oxidation</w:t>
      </w:r>
      <w:r w:rsidR="001C534B" w:rsidRPr="00CB6923">
        <w:t>, nearly half,</w:t>
      </w:r>
      <w:r w:rsidRPr="00CB6923">
        <w:t xml:space="preserve"> does not result in</w:t>
      </w:r>
      <w:r w:rsidR="007F4444" w:rsidRPr="00CB6923">
        <w:t xml:space="preserve"> net</w:t>
      </w:r>
      <w:r w:rsidRPr="00CB6923">
        <w:t xml:space="preserve"> TEMPO oxidation into TEMPO</w:t>
      </w:r>
      <w:r w:rsidRPr="00CB6923">
        <w:rPr>
          <w:vertAlign w:val="superscript"/>
        </w:rPr>
        <w:t>+</w:t>
      </w:r>
      <w:r w:rsidRPr="00CB6923">
        <w:t>. The discrepancy is a result of self-reduction of TEMPO</w:t>
      </w:r>
      <w:r w:rsidR="001E47FC" w:rsidRPr="00CB6923">
        <w:rPr>
          <w:vertAlign w:val="superscript"/>
        </w:rPr>
        <w:t>+</w:t>
      </w:r>
      <w:r w:rsidRPr="00CB6923">
        <w:t xml:space="preserve"> species that have crossed over to the anode. Modeling the diffusion and redox behavior of TEMPO/TEMPO</w:t>
      </w:r>
      <w:r w:rsidRPr="00CB6923">
        <w:rPr>
          <w:vertAlign w:val="superscript"/>
        </w:rPr>
        <w:t>+</w:t>
      </w:r>
      <w:r w:rsidRPr="00CB6923">
        <w:t xml:space="preserve"> supports the hypothesis of extensive redox shuttling at high mass transport regimes</w:t>
      </w:r>
      <w:r w:rsidR="000931A5" w:rsidRPr="00CB6923">
        <w:t xml:space="preserve"> – i.e., during flow, </w:t>
      </w:r>
      <w:r w:rsidR="009C465E" w:rsidRPr="00CB6923">
        <w:t xml:space="preserve">resulting in effective </w:t>
      </w:r>
      <w:r w:rsidR="00B90CDB" w:rsidRPr="00CB6923">
        <w:t xml:space="preserve">mass </w:t>
      </w:r>
      <w:r w:rsidR="009C465E" w:rsidRPr="00CB6923">
        <w:t xml:space="preserve">fluxes across the membrane that are two orders of magnitude higher than for </w:t>
      </w:r>
      <w:r w:rsidR="009B577F" w:rsidRPr="00CB6923">
        <w:t>a</w:t>
      </w:r>
      <w:r w:rsidR="009C465E" w:rsidRPr="00CB6923">
        <w:t xml:space="preserve"> static system</w:t>
      </w:r>
      <w:r w:rsidRPr="00CB6923">
        <w:t>. Crossover and self-reduction continue while the cells are at rest, leading to self-discharge and capacity loss.</w:t>
      </w:r>
    </w:p>
    <w:p w14:paraId="4D0047DD" w14:textId="3B038701" w:rsidR="007707E5" w:rsidRPr="00CB6923" w:rsidRDefault="009C465E" w:rsidP="00416C39">
      <w:pPr>
        <w:pStyle w:val="TAMainText"/>
        <w:spacing w:after="240"/>
        <w:ind w:firstLine="720"/>
        <w:jc w:val="left"/>
      </w:pPr>
      <w:r w:rsidRPr="00CB6923">
        <w:t>Since i</w:t>
      </w:r>
      <w:r w:rsidR="000931A5" w:rsidRPr="00CB6923">
        <w:t xml:space="preserve">n </w:t>
      </w:r>
      <w:r w:rsidR="007707E5" w:rsidRPr="00CB6923">
        <w:t>high mass transport regimes, TEMPO</w:t>
      </w:r>
      <w:r w:rsidR="007707E5" w:rsidRPr="00CB6923">
        <w:rPr>
          <w:vertAlign w:val="superscript"/>
        </w:rPr>
        <w:t>+</w:t>
      </w:r>
      <w:r w:rsidR="007707E5" w:rsidRPr="00CB6923">
        <w:t xml:space="preserve"> </w:t>
      </w:r>
      <w:r w:rsidR="00375466" w:rsidRPr="00CB6923">
        <w:t xml:space="preserve">(and indeed other soluble RMs) </w:t>
      </w:r>
      <w:r w:rsidR="007707E5" w:rsidRPr="00CB6923">
        <w:t>can easily crossover to the anode surface</w:t>
      </w:r>
      <w:r w:rsidR="00375466" w:rsidRPr="00CB6923">
        <w:t>,</w:t>
      </w:r>
      <w:r w:rsidRPr="00CB6923">
        <w:t xml:space="preserve"> this can result in further reactions at the </w:t>
      </w:r>
      <w:r w:rsidR="007707E5" w:rsidRPr="00CB6923">
        <w:t xml:space="preserve">Li metal surface used in LABs and hybrid RFBs, which </w:t>
      </w:r>
      <w:r w:rsidRPr="00CB6923">
        <w:t xml:space="preserve">will </w:t>
      </w:r>
      <w:r w:rsidR="007707E5" w:rsidRPr="00CB6923">
        <w:t>affect</w:t>
      </w:r>
      <w:r w:rsidRPr="00CB6923">
        <w:t xml:space="preserve"> the</w:t>
      </w:r>
      <w:r w:rsidR="007707E5" w:rsidRPr="00CB6923">
        <w:t xml:space="preserve"> SEI forming reactions. The continuous crossover reactions necessitate the use of membranes for non-aqueous RFBs and LABs. Lithiated-Nafion reduces the rate of species crossover in simple crossover, operando pressure, and OCV experiments. However, </w:t>
      </w:r>
      <w:r w:rsidR="005D39B7" w:rsidRPr="00CB6923">
        <w:t xml:space="preserve">this </w:t>
      </w:r>
      <w:r w:rsidR="007707E5" w:rsidRPr="00CB6923">
        <w:t xml:space="preserve">membrane also resulted in increased overpotentials, and </w:t>
      </w:r>
      <w:r w:rsidR="005D39B7" w:rsidRPr="00CB6923">
        <w:t xml:space="preserve">we </w:t>
      </w:r>
      <w:r w:rsidR="007707E5" w:rsidRPr="00CB6923">
        <w:t xml:space="preserve">have yet to demonstrate </w:t>
      </w:r>
      <w:r w:rsidR="005D39B7" w:rsidRPr="00CB6923">
        <w:t xml:space="preserve">its </w:t>
      </w:r>
      <w:r w:rsidR="007707E5" w:rsidRPr="00CB6923">
        <w:t xml:space="preserve">efficacy over long periods of time. Development of effective, </w:t>
      </w:r>
      <w:r w:rsidR="007707E5" w:rsidRPr="00CB6923">
        <w:lastRenderedPageBreak/>
        <w:t>stable, and highly conductive ion-selective membranes, particular in non-aqueous solvent, to combat crossover reactions is critical for LABs and RFBs.</w:t>
      </w:r>
    </w:p>
    <w:p w14:paraId="2541B5EF" w14:textId="7A2B2644" w:rsidR="008B73AF" w:rsidRPr="00CB6923" w:rsidRDefault="008B73AF" w:rsidP="00416C39">
      <w:pPr>
        <w:pStyle w:val="TAMainText"/>
        <w:spacing w:after="240"/>
        <w:ind w:firstLine="720"/>
        <w:jc w:val="left"/>
      </w:pPr>
      <w:r w:rsidRPr="00CB6923">
        <w:t>The study of crossover and redox shuttling is relevant to RFBs and LABs, resulting in loss of efficiency during operation and significant self-discharge, as well as SEI reactions in the latter. We use</w:t>
      </w:r>
      <w:r w:rsidR="005D39B7" w:rsidRPr="00CB6923">
        <w:t>d</w:t>
      </w:r>
      <w:r w:rsidRPr="00CB6923">
        <w:t xml:space="preserve"> TEMPO a model species to characterize redox shuttling since it is used in both RFBs and LABs and is also quantifiable via EPR and NMR. The online EPR and NMR methodology presented in this work is an effective and general method of studying species crossover which can be applied to monitor redox and crossover behavior with other radical species in solution, including intermediates or side reaction products.</w:t>
      </w:r>
      <w:r w:rsidR="00941AF3" w:rsidRPr="00CB6923">
        <w:t xml:space="preserve"> </w:t>
      </w:r>
      <w:r w:rsidRPr="00CB6923">
        <w:t xml:space="preserve">The concentrations of radical species can be quantified and compared throughout various stages of electrochemical cycling. </w:t>
      </w:r>
      <w:r w:rsidR="005D39B7" w:rsidRPr="00CB6923">
        <w:t xml:space="preserve">The approach demonstrated here using </w:t>
      </w:r>
      <w:r w:rsidRPr="00CB6923">
        <w:t>TEMPO molecules can easily be applied to studying degradation reactions and redox reactions. Oxidation reactions with Li</w:t>
      </w:r>
      <w:r w:rsidRPr="00CB6923">
        <w:rPr>
          <w:vertAlign w:val="subscript"/>
        </w:rPr>
        <w:t>2</w:t>
      </w:r>
      <w:r w:rsidRPr="00CB6923">
        <w:t>O</w:t>
      </w:r>
      <w:r w:rsidRPr="00CB6923">
        <w:rPr>
          <w:vertAlign w:val="subscript"/>
        </w:rPr>
        <w:t>2</w:t>
      </w:r>
      <w:r w:rsidRPr="00CB6923">
        <w:t xml:space="preserve"> or SEI species can also be investigated by reaction with TEMPO/TEMPO</w:t>
      </w:r>
      <w:r w:rsidRPr="00CB6923">
        <w:rPr>
          <w:vertAlign w:val="superscript"/>
        </w:rPr>
        <w:t>+</w:t>
      </w:r>
      <w:r w:rsidRPr="00CB6923">
        <w:t xml:space="preserve"> </w:t>
      </w:r>
      <w:r w:rsidR="005D39B7" w:rsidRPr="00CB6923">
        <w:t>via monitoring the</w:t>
      </w:r>
      <w:r w:rsidRPr="00CB6923">
        <w:t xml:space="preserve"> changes in radical concentrations in solution</w:t>
      </w:r>
      <w:r w:rsidR="00C65EB7" w:rsidRPr="00CB6923">
        <w:t>.</w:t>
      </w:r>
    </w:p>
    <w:p w14:paraId="3AD8D22E" w14:textId="77777777" w:rsidR="00093453" w:rsidRPr="00CB6923" w:rsidRDefault="00C10EE0" w:rsidP="00093453">
      <w:pPr>
        <w:pStyle w:val="TESupportingInformation"/>
        <w:spacing w:after="240"/>
        <w:ind w:firstLine="0"/>
        <w:jc w:val="left"/>
      </w:pPr>
      <w:r w:rsidRPr="00CB6923">
        <w:t>ASSOCIATED CONTENT</w:t>
      </w:r>
    </w:p>
    <w:p w14:paraId="4835F185" w14:textId="09A498F4" w:rsidR="00093453" w:rsidRPr="00CB6923" w:rsidRDefault="0031373B" w:rsidP="00093453">
      <w:pPr>
        <w:pStyle w:val="TESupportingInformation"/>
        <w:spacing w:after="240"/>
        <w:ind w:firstLine="0"/>
        <w:jc w:val="left"/>
      </w:pPr>
      <w:r w:rsidRPr="00CB6923">
        <w:t>The following files are available free of charge</w:t>
      </w:r>
      <w:r w:rsidR="00977CAA" w:rsidRPr="00CB6923">
        <w:t>:</w:t>
      </w:r>
    </w:p>
    <w:p w14:paraId="27C79325" w14:textId="1C67CCEF" w:rsidR="00093453" w:rsidRPr="00CB6923" w:rsidRDefault="00093453" w:rsidP="00093453">
      <w:pPr>
        <w:pStyle w:val="TESupportingInformation"/>
        <w:spacing w:after="240"/>
        <w:ind w:firstLine="0"/>
        <w:jc w:val="left"/>
      </w:pPr>
      <w:r w:rsidRPr="00CB6923">
        <w:t>Supporting Information</w:t>
      </w:r>
      <w:r w:rsidR="00A556C2" w:rsidRPr="00CB6923">
        <w:t xml:space="preserve">: Additional </w:t>
      </w:r>
      <w:r w:rsidR="000071C2" w:rsidRPr="00CB6923">
        <w:t>EPR and NMR spectra</w:t>
      </w:r>
      <w:r w:rsidR="00A556C2" w:rsidRPr="00CB6923">
        <w:t>, calculations, and computational method</w:t>
      </w:r>
      <w:r w:rsidR="00B44641" w:rsidRPr="00CB6923">
        <w:t xml:space="preserve"> (file type, PDF)</w:t>
      </w:r>
    </w:p>
    <w:p w14:paraId="3896BD13" w14:textId="587F5408" w:rsidR="00DD6DBB" w:rsidRPr="00CB6923" w:rsidRDefault="00DD6DBB" w:rsidP="00093453">
      <w:pPr>
        <w:pStyle w:val="TESupportingInformation"/>
        <w:spacing w:after="240"/>
        <w:ind w:firstLine="0"/>
        <w:jc w:val="left"/>
      </w:pPr>
      <w:r w:rsidRPr="00CB6923">
        <w:t>AUTHOR INFORMATION</w:t>
      </w:r>
    </w:p>
    <w:p w14:paraId="09E06303" w14:textId="77777777" w:rsidR="00DD6DBB" w:rsidRPr="00CB6923" w:rsidRDefault="00DD6DBB" w:rsidP="004E7185">
      <w:pPr>
        <w:pStyle w:val="FAAuthorInfoSubtitle"/>
      </w:pPr>
      <w:r w:rsidRPr="00CB6923">
        <w:t>Corresponding Author</w:t>
      </w:r>
    </w:p>
    <w:p w14:paraId="76FA7E8B" w14:textId="77777777" w:rsidR="00907F0D" w:rsidRPr="00CB6923" w:rsidRDefault="00AB7239" w:rsidP="00907F0D">
      <w:pPr>
        <w:pStyle w:val="FACorrespondingAuthorFootnote"/>
        <w:spacing w:after="240"/>
        <w:jc w:val="left"/>
      </w:pPr>
      <w:hyperlink r:id="rId14" w:history="1">
        <w:r w:rsidR="00907F0D" w:rsidRPr="00CB6923">
          <w:rPr>
            <w:rStyle w:val="Hyperlink"/>
          </w:rPr>
          <w:t>cpg27@cam.ac.uk</w:t>
        </w:r>
      </w:hyperlink>
      <w:r w:rsidR="00907F0D" w:rsidRPr="00CB6923">
        <w:t xml:space="preserve"> </w:t>
      </w:r>
    </w:p>
    <w:p w14:paraId="35E39086" w14:textId="77777777" w:rsidR="00907F0D" w:rsidRPr="00CB6923" w:rsidRDefault="00907F0D" w:rsidP="00907F0D">
      <w:pPr>
        <w:pStyle w:val="FACorrespondingAuthorFootnote"/>
        <w:spacing w:after="240"/>
        <w:jc w:val="left"/>
      </w:pPr>
      <w:r w:rsidRPr="00CB6923">
        <w:lastRenderedPageBreak/>
        <w:t>Fax: (+44)1223336362</w:t>
      </w:r>
    </w:p>
    <w:p w14:paraId="39D9B97F" w14:textId="1195AB91" w:rsidR="00907F0D" w:rsidRPr="00CB6923" w:rsidRDefault="00907F0D" w:rsidP="00907F0D">
      <w:pPr>
        <w:pStyle w:val="FACorrespondingAuthorFootnote"/>
        <w:spacing w:after="240"/>
        <w:jc w:val="left"/>
      </w:pPr>
      <w:r w:rsidRPr="00CB6923">
        <w:t>Tel: (+44)1223336509</w:t>
      </w:r>
    </w:p>
    <w:p w14:paraId="0C6F6028" w14:textId="77777777" w:rsidR="00DD6DBB" w:rsidRPr="00CB6923" w:rsidRDefault="00C10EE0" w:rsidP="00DD6DBB">
      <w:pPr>
        <w:pStyle w:val="FAAuthorInfoSubtitle"/>
      </w:pPr>
      <w:r w:rsidRPr="00CB6923">
        <w:t>Notes</w:t>
      </w:r>
    </w:p>
    <w:p w14:paraId="27C8989A" w14:textId="136FFFDF" w:rsidR="00C10EE0" w:rsidRPr="00CB6923" w:rsidRDefault="00ED4D82" w:rsidP="00DD6DBB">
      <w:pPr>
        <w:pStyle w:val="StyleFACorrespondingAuthorFootnote7pt"/>
        <w:spacing w:after="240" w:line="480" w:lineRule="auto"/>
        <w:rPr>
          <w:rFonts w:ascii="Times" w:hAnsi="Times"/>
          <w:kern w:val="0"/>
          <w:sz w:val="24"/>
        </w:rPr>
      </w:pPr>
      <w:r w:rsidRPr="00CB6923">
        <w:rPr>
          <w:rFonts w:ascii="Times" w:hAnsi="Times"/>
          <w:kern w:val="0"/>
          <w:sz w:val="24"/>
        </w:rPr>
        <w:t>The authors declare no competing financial interest.</w:t>
      </w:r>
    </w:p>
    <w:p w14:paraId="55931D04" w14:textId="77777777" w:rsidR="00DD6DBB" w:rsidRPr="00CB6923" w:rsidRDefault="00DD6DBB" w:rsidP="000B5610">
      <w:pPr>
        <w:pStyle w:val="TDAcknowledgments"/>
        <w:spacing w:before="0" w:after="0"/>
        <w:ind w:firstLine="0"/>
        <w:jc w:val="left"/>
      </w:pPr>
      <w:r w:rsidRPr="00CB6923">
        <w:t>ACKNOWLEDGMENT</w:t>
      </w:r>
    </w:p>
    <w:p w14:paraId="07CD10D4" w14:textId="5CE34862" w:rsidR="009246AD" w:rsidRPr="00CB6923" w:rsidRDefault="00593E01" w:rsidP="000B5610">
      <w:pPr>
        <w:pStyle w:val="TDAcknowledgments"/>
        <w:spacing w:before="0" w:after="240"/>
        <w:ind w:firstLine="0"/>
        <w:jc w:val="left"/>
      </w:pPr>
      <w:r w:rsidRPr="00CB6923">
        <w:t>The authors thank EPSRC-EP/M009521/1 and the Cambridge Trust (E.W.) for research funding. C.P.G. acknowledge support from Centre of Advanced Materials for Integrated Energy Systems (CAM-IES), via EPSRC grant no. EP/P007767/1. The authors thank Fikile R. Brushett (MIT) for sharing the design of the flow battery that is compatible with non-aqueous solvents.</w:t>
      </w:r>
    </w:p>
    <w:p w14:paraId="610B377B" w14:textId="77777777" w:rsidR="00DD6DBB" w:rsidRPr="00CB6923" w:rsidRDefault="00DD6DBB" w:rsidP="00DD6DBB">
      <w:r w:rsidRPr="00CB6923">
        <w:t>ABBREVIATIONS</w:t>
      </w:r>
    </w:p>
    <w:p w14:paraId="065C58CE" w14:textId="466BA6BB" w:rsidR="00DD6DBB" w:rsidRPr="00CB6923" w:rsidRDefault="00064D44" w:rsidP="00DD6DBB">
      <w:pPr>
        <w:spacing w:line="480" w:lineRule="auto"/>
        <w:jc w:val="left"/>
      </w:pPr>
      <w:r w:rsidRPr="00CB6923">
        <w:t xml:space="preserve">LAB, lithium-air battery; RFB, redox-flow battery; TEMPO, 2,2,6,6-tetramethylpiperidinyloxyl; NMR, nuclear magnetic resonance; EPR, electron paramagnetic resonance; SEI, solid electrolyte interphase; BMS, bulk magnetic susceptibility; LiTFSI, lithium bis (trifluoromethyl) sulfonylimide; </w:t>
      </w:r>
      <w:r w:rsidR="003C77D3" w:rsidRPr="00CB6923">
        <w:t xml:space="preserve">GF, glass fiber; </w:t>
      </w:r>
      <w:r w:rsidRPr="00CB6923">
        <w:t>LFP, lithium iron phosphate;</w:t>
      </w:r>
      <w:r w:rsidR="00CC3C38" w:rsidRPr="00CB6923">
        <w:t xml:space="preserve"> </w:t>
      </w:r>
      <w:r w:rsidR="003C77D3" w:rsidRPr="00CB6923">
        <w:t>OCV, open circuit voltage.</w:t>
      </w:r>
    </w:p>
    <w:p w14:paraId="567A9FF0" w14:textId="4EFBC74B" w:rsidR="008C59F9" w:rsidRDefault="008C59F9" w:rsidP="008C59F9">
      <w:pPr>
        <w:pStyle w:val="BCAuthorAddress"/>
        <w:jc w:val="left"/>
      </w:pPr>
      <w:r>
        <w:t>PRESENT ADDRESSES</w:t>
      </w:r>
      <w:r w:rsidRPr="00CB6923">
        <w:t xml:space="preserve">: </w:t>
      </w:r>
      <w:r>
        <w:br/>
      </w:r>
      <w:r w:rsidR="00B7024C" w:rsidRPr="00B7024C">
        <w:rPr>
          <w:vertAlign w:val="superscript"/>
        </w:rPr>
        <w:t>#</w:t>
      </w:r>
      <w:r w:rsidR="00B7024C">
        <w:t xml:space="preserve">E.W.Z: </w:t>
      </w:r>
      <w:r w:rsidRPr="00CB6923">
        <w:t>Magnetic Resonance Research Center, Institute for Molecules and Materials, Radboud University Nijmegen, Nijmegen 6500 GL, N</w:t>
      </w:r>
      <w:r w:rsidR="00B7024C">
        <w:t>etherlands</w:t>
      </w:r>
    </w:p>
    <w:p w14:paraId="1FC798A0" w14:textId="7F78C06A" w:rsidR="00DD6DBB" w:rsidRPr="00CB6923" w:rsidRDefault="00DD6DBB" w:rsidP="000B5610">
      <w:pPr>
        <w:pStyle w:val="TFReferencesSection"/>
        <w:spacing w:after="0"/>
        <w:ind w:firstLine="0"/>
      </w:pPr>
      <w:r w:rsidRPr="00CB6923">
        <w:t>REFERENCES</w:t>
      </w:r>
    </w:p>
    <w:p w14:paraId="763692B6" w14:textId="06F514D8" w:rsidR="00737675" w:rsidRPr="00CB6923" w:rsidRDefault="001B647F" w:rsidP="00737675">
      <w:pPr>
        <w:widowControl w:val="0"/>
        <w:autoSpaceDE w:val="0"/>
        <w:autoSpaceDN w:val="0"/>
        <w:adjustRightInd w:val="0"/>
        <w:spacing w:line="480" w:lineRule="auto"/>
        <w:ind w:left="640" w:hanging="640"/>
        <w:rPr>
          <w:rFonts w:cs="Times"/>
          <w:noProof/>
          <w:szCs w:val="24"/>
        </w:rPr>
      </w:pPr>
      <w:r w:rsidRPr="00CB6923">
        <w:fldChar w:fldCharType="begin" w:fldLock="1"/>
      </w:r>
      <w:r w:rsidRPr="00CB6923">
        <w:instrText xml:space="preserve">ADDIN Mendeley Bibliography CSL_BIBLIOGRAPHY </w:instrText>
      </w:r>
      <w:r w:rsidRPr="00CB6923">
        <w:fldChar w:fldCharType="separate"/>
      </w:r>
      <w:r w:rsidR="00737675" w:rsidRPr="00CB6923">
        <w:rPr>
          <w:rFonts w:cs="Times"/>
          <w:noProof/>
          <w:szCs w:val="24"/>
        </w:rPr>
        <w:t xml:space="preserve">(1) </w:t>
      </w:r>
      <w:r w:rsidR="00737675" w:rsidRPr="00CB6923">
        <w:rPr>
          <w:rFonts w:cs="Times"/>
          <w:noProof/>
          <w:szCs w:val="24"/>
        </w:rPr>
        <w:tab/>
        <w:t xml:space="preserve">Li, Y.; Lu, J. Metal-Air Batteries: Will They Be the Future Electrochemical Energy Storage Device of Choice? </w:t>
      </w:r>
      <w:r w:rsidR="00737675" w:rsidRPr="00CB6923">
        <w:rPr>
          <w:rFonts w:cs="Times"/>
          <w:i/>
          <w:iCs/>
          <w:noProof/>
          <w:szCs w:val="24"/>
        </w:rPr>
        <w:t>ACS Energy Lett.</w:t>
      </w:r>
      <w:r w:rsidR="00737675" w:rsidRPr="00CB6923">
        <w:rPr>
          <w:rFonts w:cs="Times"/>
          <w:noProof/>
          <w:szCs w:val="24"/>
        </w:rPr>
        <w:t xml:space="preserve"> </w:t>
      </w:r>
      <w:r w:rsidR="00737675" w:rsidRPr="00CB6923">
        <w:rPr>
          <w:rFonts w:cs="Times"/>
          <w:b/>
          <w:bCs/>
          <w:noProof/>
          <w:szCs w:val="24"/>
        </w:rPr>
        <w:t>2017</w:t>
      </w:r>
      <w:r w:rsidR="00737675" w:rsidRPr="00CB6923">
        <w:rPr>
          <w:rFonts w:cs="Times"/>
          <w:noProof/>
          <w:szCs w:val="24"/>
        </w:rPr>
        <w:t xml:space="preserve">, </w:t>
      </w:r>
      <w:r w:rsidR="00737675" w:rsidRPr="00CB6923">
        <w:rPr>
          <w:rFonts w:cs="Times"/>
          <w:i/>
          <w:iCs/>
          <w:noProof/>
          <w:szCs w:val="24"/>
        </w:rPr>
        <w:t>2</w:t>
      </w:r>
      <w:r w:rsidR="00737675" w:rsidRPr="00CB6923">
        <w:rPr>
          <w:rFonts w:cs="Times"/>
          <w:noProof/>
          <w:szCs w:val="24"/>
        </w:rPr>
        <w:t xml:space="preserve"> (6), 1370–1377.</w:t>
      </w:r>
    </w:p>
    <w:p w14:paraId="26A7592A"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 </w:t>
      </w:r>
      <w:r w:rsidRPr="00CB6923">
        <w:rPr>
          <w:rFonts w:cs="Times"/>
          <w:noProof/>
          <w:szCs w:val="24"/>
        </w:rPr>
        <w:tab/>
        <w:t xml:space="preserve">Liu, T.; Vivek, J. P.; Zhao, E. W.; Lei, J.; Garcia-Araez, N.; Grey, C. P. Current Challenges </w:t>
      </w:r>
      <w:r w:rsidRPr="00CB6923">
        <w:rPr>
          <w:rFonts w:cs="Times"/>
          <w:noProof/>
          <w:szCs w:val="24"/>
        </w:rPr>
        <w:lastRenderedPageBreak/>
        <w:t xml:space="preserve">and Routes Forward for Nonaqueous Lithium-Air Batteries. </w:t>
      </w:r>
      <w:r w:rsidRPr="00CB6923">
        <w:rPr>
          <w:rFonts w:cs="Times"/>
          <w:i/>
          <w:iCs/>
          <w:noProof/>
          <w:szCs w:val="24"/>
        </w:rPr>
        <w:t>Chem. Rev.</w:t>
      </w:r>
      <w:r w:rsidRPr="00CB6923">
        <w:rPr>
          <w:rFonts w:cs="Times"/>
          <w:noProof/>
          <w:szCs w:val="24"/>
        </w:rPr>
        <w:t xml:space="preserve"> </w:t>
      </w:r>
      <w:r w:rsidRPr="00CB6923">
        <w:rPr>
          <w:rFonts w:cs="Times"/>
          <w:b/>
          <w:bCs/>
          <w:noProof/>
          <w:szCs w:val="24"/>
        </w:rPr>
        <w:t>2020</w:t>
      </w:r>
      <w:r w:rsidRPr="00CB6923">
        <w:rPr>
          <w:rFonts w:cs="Times"/>
          <w:noProof/>
          <w:szCs w:val="24"/>
        </w:rPr>
        <w:t xml:space="preserve">, </w:t>
      </w:r>
      <w:r w:rsidRPr="00CB6923">
        <w:rPr>
          <w:rFonts w:cs="Times"/>
          <w:i/>
          <w:iCs/>
          <w:noProof/>
          <w:szCs w:val="24"/>
        </w:rPr>
        <w:t>120</w:t>
      </w:r>
      <w:r w:rsidRPr="00CB6923">
        <w:rPr>
          <w:rFonts w:cs="Times"/>
          <w:noProof/>
          <w:szCs w:val="24"/>
        </w:rPr>
        <w:t xml:space="preserve"> (14), 6558–6625. https://doi.org/10.1021/acs.chemrev.9b00545.</w:t>
      </w:r>
    </w:p>
    <w:p w14:paraId="7D145C46"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 </w:t>
      </w:r>
      <w:r w:rsidRPr="00CB6923">
        <w:rPr>
          <w:rFonts w:cs="Times"/>
          <w:noProof/>
          <w:szCs w:val="24"/>
        </w:rPr>
        <w:tab/>
        <w:t xml:space="preserve">Aurbach, D.; McCloskey, B. D.; Nazar, L. F.; Bruce, P. G. Advances in Understanding Mechanisms Underpinning Lithium-Air Batteries. </w:t>
      </w:r>
      <w:r w:rsidRPr="00CB6923">
        <w:rPr>
          <w:rFonts w:cs="Times"/>
          <w:i/>
          <w:iCs/>
          <w:noProof/>
          <w:szCs w:val="24"/>
        </w:rPr>
        <w:t>Nat. Energy</w:t>
      </w:r>
      <w:r w:rsidRPr="00CB6923">
        <w:rPr>
          <w:rFonts w:cs="Times"/>
          <w:noProof/>
          <w:szCs w:val="24"/>
        </w:rPr>
        <w:t xml:space="preserve"> </w:t>
      </w:r>
      <w:r w:rsidRPr="00CB6923">
        <w:rPr>
          <w:rFonts w:cs="Times"/>
          <w:b/>
          <w:bCs/>
          <w:noProof/>
          <w:szCs w:val="24"/>
        </w:rPr>
        <w:t>2016</w:t>
      </w:r>
      <w:r w:rsidRPr="00CB6923">
        <w:rPr>
          <w:rFonts w:cs="Times"/>
          <w:noProof/>
          <w:szCs w:val="24"/>
        </w:rPr>
        <w:t xml:space="preserve">, </w:t>
      </w:r>
      <w:r w:rsidRPr="00CB6923">
        <w:rPr>
          <w:rFonts w:cs="Times"/>
          <w:i/>
          <w:iCs/>
          <w:noProof/>
          <w:szCs w:val="24"/>
        </w:rPr>
        <w:t>1</w:t>
      </w:r>
      <w:r w:rsidRPr="00CB6923">
        <w:rPr>
          <w:rFonts w:cs="Times"/>
          <w:noProof/>
          <w:szCs w:val="24"/>
        </w:rPr>
        <w:t>, 16128.</w:t>
      </w:r>
    </w:p>
    <w:p w14:paraId="1124D63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 </w:t>
      </w:r>
      <w:r w:rsidRPr="00CB6923">
        <w:rPr>
          <w:rFonts w:cs="Times"/>
          <w:noProof/>
          <w:szCs w:val="24"/>
        </w:rPr>
        <w:tab/>
        <w:t xml:space="preserve">Park, J. B.; Lee, S. H.; Jung, H. G.; Aurbach, D.; Sun, Y. K. Redox Mediators for Li–O2 Batteries: Status and Perspectives. </w:t>
      </w:r>
      <w:r w:rsidRPr="00CB6923">
        <w:rPr>
          <w:rFonts w:cs="Times"/>
          <w:i/>
          <w:iCs/>
          <w:noProof/>
          <w:szCs w:val="24"/>
        </w:rPr>
        <w:t>Adv. Mater.</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30</w:t>
      </w:r>
      <w:r w:rsidRPr="00CB6923">
        <w:rPr>
          <w:rFonts w:cs="Times"/>
          <w:noProof/>
          <w:szCs w:val="24"/>
        </w:rPr>
        <w:t xml:space="preserve"> (1), 1–13. https://doi.org/10.1002/adma.201704162.</w:t>
      </w:r>
    </w:p>
    <w:p w14:paraId="4D3B3F05"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(5) </w:t>
      </w:r>
      <w:r w:rsidRPr="00CB6923">
        <w:rPr>
          <w:rFonts w:cs="Times"/>
          <w:noProof/>
          <w:szCs w:val="24"/>
        </w:rPr>
        <w:tab/>
        <w:t xml:space="preserve">Bergner, B. J.; Schürmann, A.; Peppler, K.; Garsuch, A.; Janek, J. TEMPO: A Mobile Catalyst for Rechargeable Li-O2 Batteries. </w:t>
      </w:r>
      <w:r w:rsidRPr="00CB6923">
        <w:rPr>
          <w:rFonts w:cs="Times"/>
          <w:i/>
          <w:iCs/>
          <w:noProof/>
          <w:szCs w:val="24"/>
        </w:rPr>
        <w:t>J. Am. Chem. Soc.</w:t>
      </w:r>
      <w:r w:rsidRPr="00CB6923">
        <w:rPr>
          <w:rFonts w:cs="Times"/>
          <w:noProof/>
          <w:szCs w:val="24"/>
        </w:rPr>
        <w:t xml:space="preserve"> </w:t>
      </w:r>
      <w:r w:rsidRPr="00CB6923">
        <w:rPr>
          <w:rFonts w:cs="Times"/>
          <w:b/>
          <w:bCs/>
          <w:noProof/>
          <w:szCs w:val="24"/>
        </w:rPr>
        <w:t>2014</w:t>
      </w:r>
      <w:r w:rsidRPr="00CB6923">
        <w:rPr>
          <w:rFonts w:cs="Times"/>
          <w:noProof/>
          <w:szCs w:val="24"/>
        </w:rPr>
        <w:t xml:space="preserve">, </w:t>
      </w:r>
      <w:r w:rsidRPr="00CB6923">
        <w:rPr>
          <w:rFonts w:cs="Times"/>
          <w:i/>
          <w:iCs/>
          <w:noProof/>
          <w:szCs w:val="24"/>
        </w:rPr>
        <w:t>136</w:t>
      </w:r>
      <w:r w:rsidRPr="00CB6923">
        <w:rPr>
          <w:rFonts w:cs="Times"/>
          <w:noProof/>
          <w:szCs w:val="24"/>
        </w:rPr>
        <w:t xml:space="preserve"> (42), 15054–15064. https://doi.org/10.1021/ja508400m.</w:t>
      </w:r>
    </w:p>
    <w:p w14:paraId="74ED7562" w14:textId="77777777" w:rsidR="00737675" w:rsidRPr="00CB6923" w:rsidRDefault="00737675" w:rsidP="00737675">
      <w:pPr>
        <w:widowControl w:val="0"/>
        <w:autoSpaceDE w:val="0"/>
        <w:autoSpaceDN w:val="0"/>
        <w:adjustRightInd w:val="0"/>
        <w:spacing w:line="480" w:lineRule="auto"/>
        <w:ind w:left="640" w:hanging="640"/>
        <w:rPr>
          <w:rFonts w:cs="Times"/>
          <w:noProof/>
          <w:szCs w:val="24"/>
          <w:lang w:val="fr-FR"/>
        </w:rPr>
      </w:pPr>
      <w:r w:rsidRPr="00CB6923">
        <w:rPr>
          <w:rFonts w:cs="Times"/>
          <w:noProof/>
          <w:szCs w:val="24"/>
        </w:rPr>
        <w:t xml:space="preserve">(6) </w:t>
      </w:r>
      <w:r w:rsidRPr="00CB6923">
        <w:rPr>
          <w:rFonts w:cs="Times"/>
          <w:noProof/>
          <w:szCs w:val="24"/>
        </w:rPr>
        <w:tab/>
        <w:t xml:space="preserve">de Nooy, A. E. J.; Besemer, A. C.; van Bekkum, H. Highly Selective Tempo Mediated Oxidation of Primary Alcohol Groups in Polysaccharides. </w:t>
      </w:r>
      <w:r w:rsidRPr="00CB6923">
        <w:rPr>
          <w:rFonts w:cs="Times"/>
          <w:i/>
          <w:iCs/>
          <w:noProof/>
          <w:szCs w:val="24"/>
          <w:lang w:val="fr-FR"/>
        </w:rPr>
        <w:t>Recl. des Trav. Chim. des Pays‐Bas</w:t>
      </w:r>
      <w:r w:rsidRPr="00CB6923">
        <w:rPr>
          <w:rFonts w:cs="Times"/>
          <w:noProof/>
          <w:szCs w:val="24"/>
          <w:lang w:val="fr-FR"/>
        </w:rPr>
        <w:t xml:space="preserve"> </w:t>
      </w:r>
      <w:r w:rsidRPr="00CB6923">
        <w:rPr>
          <w:rFonts w:cs="Times"/>
          <w:b/>
          <w:bCs/>
          <w:noProof/>
          <w:szCs w:val="24"/>
          <w:lang w:val="fr-FR"/>
        </w:rPr>
        <w:t>1994</w:t>
      </w:r>
      <w:r w:rsidRPr="00CB6923">
        <w:rPr>
          <w:rFonts w:cs="Times"/>
          <w:noProof/>
          <w:szCs w:val="24"/>
          <w:lang w:val="fr-FR"/>
        </w:rPr>
        <w:t xml:space="preserve">, </w:t>
      </w:r>
      <w:r w:rsidRPr="00CB6923">
        <w:rPr>
          <w:rFonts w:cs="Times"/>
          <w:i/>
          <w:iCs/>
          <w:noProof/>
          <w:szCs w:val="24"/>
          <w:lang w:val="fr-FR"/>
        </w:rPr>
        <w:t>113</w:t>
      </w:r>
      <w:r w:rsidRPr="00CB6923">
        <w:rPr>
          <w:rFonts w:cs="Times"/>
          <w:noProof/>
          <w:szCs w:val="24"/>
          <w:lang w:val="fr-FR"/>
        </w:rPr>
        <w:t xml:space="preserve"> (3), 165–166. https://doi.org/10.1002/recl.19941130307.</w:t>
      </w:r>
    </w:p>
    <w:p w14:paraId="54BD373F"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lang w:val="fr-FR"/>
        </w:rPr>
        <w:t xml:space="preserve">(7) </w:t>
      </w:r>
      <w:r w:rsidRPr="00CB6923">
        <w:rPr>
          <w:rFonts w:cs="Times"/>
          <w:noProof/>
          <w:szCs w:val="24"/>
          <w:lang w:val="fr-FR"/>
        </w:rPr>
        <w:tab/>
        <w:t xml:space="preserve">Nutting, J. E.; Rafiee, M.; Stahl, S. S. Tetramethylpiperidine N-Oxyl (TEMPO), Phthalimide N-Oxyl (PINO), and Related N-Oxyl Species: Electrochemical Properties and Their Use in Electrocatalytic Reactions. </w:t>
      </w:r>
      <w:r w:rsidRPr="00CB6923">
        <w:rPr>
          <w:rFonts w:cs="Times"/>
          <w:i/>
          <w:iCs/>
          <w:noProof/>
          <w:szCs w:val="24"/>
        </w:rPr>
        <w:t>Chem. Rev.</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118</w:t>
      </w:r>
      <w:r w:rsidRPr="00CB6923">
        <w:rPr>
          <w:rFonts w:cs="Times"/>
          <w:noProof/>
          <w:szCs w:val="24"/>
        </w:rPr>
        <w:t xml:space="preserve"> (9), 4834–4885. https://doi.org/10.1021/acs.chemrev.7b00763.</w:t>
      </w:r>
    </w:p>
    <w:p w14:paraId="79FD5575"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(8) </w:t>
      </w:r>
      <w:r w:rsidRPr="00CB6923">
        <w:rPr>
          <w:rFonts w:cs="Times"/>
          <w:noProof/>
          <w:szCs w:val="24"/>
        </w:rPr>
        <w:tab/>
        <w:t xml:space="preserve">Li, Z.; Li, S.; Liu, S.; Huang, K.; Fang, D.; Wang, F.; Peng, S. Electrochemical Properties of an All-Organic Redox Flow Battery Using 2,2,6,6-Tetramethyl-1-Piperidinyloxy and N-Methylphthalimide. </w:t>
      </w:r>
      <w:r w:rsidRPr="00CB6923">
        <w:rPr>
          <w:rFonts w:cs="Times"/>
          <w:i/>
          <w:iCs/>
          <w:noProof/>
          <w:szCs w:val="24"/>
        </w:rPr>
        <w:t>Electrochem. Solid-State Lett.</w:t>
      </w:r>
      <w:r w:rsidRPr="00CB6923">
        <w:rPr>
          <w:rFonts w:cs="Times"/>
          <w:noProof/>
          <w:szCs w:val="24"/>
        </w:rPr>
        <w:t xml:space="preserve"> </w:t>
      </w:r>
      <w:r w:rsidRPr="00CB6923">
        <w:rPr>
          <w:rFonts w:cs="Times"/>
          <w:b/>
          <w:bCs/>
          <w:noProof/>
          <w:szCs w:val="24"/>
        </w:rPr>
        <w:t>2011</w:t>
      </w:r>
      <w:r w:rsidRPr="00CB6923">
        <w:rPr>
          <w:rFonts w:cs="Times"/>
          <w:noProof/>
          <w:szCs w:val="24"/>
        </w:rPr>
        <w:t xml:space="preserve">, </w:t>
      </w:r>
      <w:r w:rsidRPr="00CB6923">
        <w:rPr>
          <w:rFonts w:cs="Times"/>
          <w:i/>
          <w:iCs/>
          <w:noProof/>
          <w:szCs w:val="24"/>
        </w:rPr>
        <w:t>14</w:t>
      </w:r>
      <w:r w:rsidRPr="00CB6923">
        <w:rPr>
          <w:rFonts w:cs="Times"/>
          <w:noProof/>
          <w:szCs w:val="24"/>
        </w:rPr>
        <w:t xml:space="preserve"> (12), 171–174. https://doi.org/10.1149/2.012112esl.</w:t>
      </w:r>
    </w:p>
    <w:p w14:paraId="06C46716"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lastRenderedPageBreak/>
        <w:t xml:space="preserve">(9) </w:t>
      </w:r>
      <w:r w:rsidRPr="00CB6923">
        <w:rPr>
          <w:rFonts w:cs="Times"/>
          <w:noProof/>
          <w:szCs w:val="24"/>
        </w:rPr>
        <w:tab/>
        <w:t xml:space="preserve">Wei, X.; Xu, W.; Vijayakumar, M.; Cosimbescu, L.; Liu, T.; Sprenkle, V.; Wang, W. TEMPO-Based Catholyte for High-Energy Density Nonaqueous Redox Flow Batteries. </w:t>
      </w:r>
      <w:r w:rsidRPr="00CB6923">
        <w:rPr>
          <w:rFonts w:cs="Times"/>
          <w:i/>
          <w:iCs/>
          <w:noProof/>
          <w:szCs w:val="24"/>
        </w:rPr>
        <w:t>Adv. Mater.</w:t>
      </w:r>
      <w:r w:rsidRPr="00CB6923">
        <w:rPr>
          <w:rFonts w:cs="Times"/>
          <w:noProof/>
          <w:szCs w:val="24"/>
        </w:rPr>
        <w:t xml:space="preserve"> </w:t>
      </w:r>
      <w:r w:rsidRPr="00CB6923">
        <w:rPr>
          <w:rFonts w:cs="Times"/>
          <w:b/>
          <w:bCs/>
          <w:noProof/>
          <w:szCs w:val="24"/>
        </w:rPr>
        <w:t>2014</w:t>
      </w:r>
      <w:r w:rsidRPr="00CB6923">
        <w:rPr>
          <w:rFonts w:cs="Times"/>
          <w:noProof/>
          <w:szCs w:val="24"/>
        </w:rPr>
        <w:t xml:space="preserve">, </w:t>
      </w:r>
      <w:r w:rsidRPr="00CB6923">
        <w:rPr>
          <w:rFonts w:cs="Times"/>
          <w:i/>
          <w:iCs/>
          <w:noProof/>
          <w:szCs w:val="24"/>
        </w:rPr>
        <w:t>26</w:t>
      </w:r>
      <w:r w:rsidRPr="00CB6923">
        <w:rPr>
          <w:rFonts w:cs="Times"/>
          <w:noProof/>
          <w:szCs w:val="24"/>
        </w:rPr>
        <w:t xml:space="preserve"> (45), 7649–7653. https://doi.org/10.1002/adma.201403746.</w:t>
      </w:r>
    </w:p>
    <w:p w14:paraId="37B37AF4"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(10) </w:t>
      </w:r>
      <w:r w:rsidRPr="00CB6923">
        <w:rPr>
          <w:rFonts w:cs="Times"/>
          <w:noProof/>
          <w:szCs w:val="24"/>
        </w:rPr>
        <w:tab/>
        <w:t xml:space="preserve">Shin, S. H.; Yun, S. H.; Moon, S. H. A Review of Current Developments in Non-Aqueous Redox Flow Batteries: Characterization of Their Membranes for Design Perspective. </w:t>
      </w:r>
      <w:r w:rsidRPr="00CB6923">
        <w:rPr>
          <w:rFonts w:cs="Times"/>
          <w:i/>
          <w:iCs/>
          <w:noProof/>
          <w:szCs w:val="24"/>
        </w:rPr>
        <w:t>RSC Adv.</w:t>
      </w:r>
      <w:r w:rsidRPr="00CB6923">
        <w:rPr>
          <w:rFonts w:cs="Times"/>
          <w:noProof/>
          <w:szCs w:val="24"/>
        </w:rPr>
        <w:t xml:space="preserve"> </w:t>
      </w:r>
      <w:r w:rsidRPr="00CB6923">
        <w:rPr>
          <w:rFonts w:cs="Times"/>
          <w:b/>
          <w:bCs/>
          <w:noProof/>
          <w:szCs w:val="24"/>
        </w:rPr>
        <w:t>2013</w:t>
      </w:r>
      <w:r w:rsidRPr="00CB6923">
        <w:rPr>
          <w:rFonts w:cs="Times"/>
          <w:noProof/>
          <w:szCs w:val="24"/>
        </w:rPr>
        <w:t xml:space="preserve">, </w:t>
      </w:r>
      <w:r w:rsidRPr="00CB6923">
        <w:rPr>
          <w:rFonts w:cs="Times"/>
          <w:i/>
          <w:iCs/>
          <w:noProof/>
          <w:szCs w:val="24"/>
        </w:rPr>
        <w:t>3</w:t>
      </w:r>
      <w:r w:rsidRPr="00CB6923">
        <w:rPr>
          <w:rFonts w:cs="Times"/>
          <w:noProof/>
          <w:szCs w:val="24"/>
        </w:rPr>
        <w:t xml:space="preserve"> (24), 9095–9116. https://doi.org/10.1039/c3ra00115f.</w:t>
      </w:r>
    </w:p>
    <w:p w14:paraId="7B80B2D0"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(11) </w:t>
      </w:r>
      <w:r w:rsidRPr="00CB6923">
        <w:rPr>
          <w:rFonts w:cs="Times"/>
          <w:noProof/>
          <w:szCs w:val="24"/>
        </w:rPr>
        <w:tab/>
        <w:t xml:space="preserve">Ok, B.; Na, W.; Kwon, T. H.; Kwon, Y. W.; Cho, S.; Hong, S. M.; Lee, A. S.; Lee, J. H.; Koo, C. M. Understanding the Enhanced Electrochemical Performance of TEMPO Derivatives in Non-Aqueous Lithium Ion Redox Flow Batteries. </w:t>
      </w:r>
      <w:r w:rsidRPr="00CB6923">
        <w:rPr>
          <w:rFonts w:cs="Times"/>
          <w:i/>
          <w:iCs/>
          <w:noProof/>
          <w:szCs w:val="24"/>
        </w:rPr>
        <w:t>J. Ind. Eng. Chem.</w:t>
      </w:r>
      <w:r w:rsidRPr="00CB6923">
        <w:rPr>
          <w:rFonts w:cs="Times"/>
          <w:noProof/>
          <w:szCs w:val="24"/>
        </w:rPr>
        <w:t xml:space="preserve"> </w:t>
      </w:r>
      <w:r w:rsidRPr="00CB6923">
        <w:rPr>
          <w:rFonts w:cs="Times"/>
          <w:b/>
          <w:bCs/>
          <w:noProof/>
          <w:szCs w:val="24"/>
        </w:rPr>
        <w:t>2019</w:t>
      </w:r>
      <w:r w:rsidRPr="00CB6923">
        <w:rPr>
          <w:rFonts w:cs="Times"/>
          <w:noProof/>
          <w:szCs w:val="24"/>
        </w:rPr>
        <w:t xml:space="preserve">, </w:t>
      </w:r>
      <w:r w:rsidRPr="00CB6923">
        <w:rPr>
          <w:rFonts w:cs="Times"/>
          <w:i/>
          <w:iCs/>
          <w:noProof/>
          <w:szCs w:val="24"/>
        </w:rPr>
        <w:t>80</w:t>
      </w:r>
      <w:r w:rsidRPr="00CB6923">
        <w:rPr>
          <w:rFonts w:cs="Times"/>
          <w:noProof/>
          <w:szCs w:val="24"/>
        </w:rPr>
        <w:t>, 545–550. https://doi.org/10.1016/j.jiec.2019.08.027.</w:t>
      </w:r>
    </w:p>
    <w:p w14:paraId="1358BD0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(12) </w:t>
      </w:r>
      <w:r w:rsidRPr="00CB6923">
        <w:rPr>
          <w:rFonts w:cs="Times"/>
          <w:noProof/>
          <w:szCs w:val="24"/>
        </w:rPr>
        <w:tab/>
        <w:t xml:space="preserve">Huang, J.; Faghri, A. Capacity Enhancement of a Lithium Oxygen Flow Battery. </w:t>
      </w:r>
      <w:r w:rsidRPr="00CB6923">
        <w:rPr>
          <w:rFonts w:cs="Times"/>
          <w:i/>
          <w:iCs/>
          <w:noProof/>
          <w:szCs w:val="24"/>
        </w:rPr>
        <w:t>Electrochim. Acta</w:t>
      </w:r>
      <w:r w:rsidRPr="00CB6923">
        <w:rPr>
          <w:rFonts w:cs="Times"/>
          <w:noProof/>
          <w:szCs w:val="24"/>
        </w:rPr>
        <w:t xml:space="preserve"> </w:t>
      </w:r>
      <w:r w:rsidRPr="00CB6923">
        <w:rPr>
          <w:rFonts w:cs="Times"/>
          <w:b/>
          <w:bCs/>
          <w:noProof/>
          <w:szCs w:val="24"/>
        </w:rPr>
        <w:t>2015</w:t>
      </w:r>
      <w:r w:rsidRPr="00CB6923">
        <w:rPr>
          <w:rFonts w:cs="Times"/>
          <w:noProof/>
          <w:szCs w:val="24"/>
        </w:rPr>
        <w:t xml:space="preserve">, </w:t>
      </w:r>
      <w:r w:rsidRPr="00CB6923">
        <w:rPr>
          <w:rFonts w:cs="Times"/>
          <w:i/>
          <w:iCs/>
          <w:noProof/>
          <w:szCs w:val="24"/>
        </w:rPr>
        <w:t>174</w:t>
      </w:r>
      <w:r w:rsidRPr="00CB6923">
        <w:rPr>
          <w:rFonts w:cs="Times"/>
          <w:noProof/>
          <w:szCs w:val="24"/>
        </w:rPr>
        <w:t>, 908–918. https://doi.org/10.1016/j.electacta.2015.06.071.</w:t>
      </w:r>
    </w:p>
    <w:p w14:paraId="4E58FCA0"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(13) </w:t>
      </w:r>
      <w:r w:rsidRPr="00CB6923">
        <w:rPr>
          <w:rFonts w:cs="Times"/>
          <w:noProof/>
          <w:szCs w:val="24"/>
        </w:rPr>
        <w:tab/>
        <w:t xml:space="preserve">Zhu, Y. G.; Wang, X.; Jia, C.; Yang, J.; Wang, Q. Redox-Mediated ORR and OER Reactions: Redox Flow Lithium Oxygen Batteres Enabled with a Pair of Soluble Redox Catalysts. </w:t>
      </w:r>
      <w:r w:rsidRPr="00CB6923">
        <w:rPr>
          <w:rFonts w:cs="Times"/>
          <w:i/>
          <w:iCs/>
          <w:noProof/>
          <w:szCs w:val="24"/>
        </w:rPr>
        <w:t>ACS Catal.</w:t>
      </w:r>
      <w:r w:rsidRPr="00CB6923">
        <w:rPr>
          <w:rFonts w:cs="Times"/>
          <w:noProof/>
          <w:szCs w:val="24"/>
        </w:rPr>
        <w:t xml:space="preserve"> </w:t>
      </w:r>
      <w:r w:rsidRPr="00CB6923">
        <w:rPr>
          <w:rFonts w:cs="Times"/>
          <w:b/>
          <w:bCs/>
          <w:noProof/>
          <w:szCs w:val="24"/>
        </w:rPr>
        <w:t>2016</w:t>
      </w:r>
      <w:r w:rsidRPr="00CB6923">
        <w:rPr>
          <w:rFonts w:cs="Times"/>
          <w:noProof/>
          <w:szCs w:val="24"/>
        </w:rPr>
        <w:t xml:space="preserve">, </w:t>
      </w:r>
      <w:r w:rsidRPr="00CB6923">
        <w:rPr>
          <w:rFonts w:cs="Times"/>
          <w:i/>
          <w:iCs/>
          <w:noProof/>
          <w:szCs w:val="24"/>
        </w:rPr>
        <w:t>6</w:t>
      </w:r>
      <w:r w:rsidRPr="00CB6923">
        <w:rPr>
          <w:rFonts w:cs="Times"/>
          <w:noProof/>
          <w:szCs w:val="24"/>
        </w:rPr>
        <w:t>, 6191–6197.</w:t>
      </w:r>
    </w:p>
    <w:p w14:paraId="46E077B7"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(14) </w:t>
      </w:r>
      <w:r w:rsidRPr="00CB6923">
        <w:rPr>
          <w:rFonts w:cs="Times"/>
          <w:noProof/>
          <w:szCs w:val="24"/>
        </w:rPr>
        <w:tab/>
        <w:t xml:space="preserve">Liu, Y.; Goulet, M. A.; Tong, L.; Liu, Y.; Ji, Y.; Wu, L.; Gordon, R. G.; Aziz, M. J.; Yang, Z.; Xu, T. A Long-Lifetime All-Organic Aqueous Flow Battery Utilizing TMAP-TEMPO Radical. </w:t>
      </w:r>
      <w:r w:rsidRPr="00CB6923">
        <w:rPr>
          <w:rFonts w:cs="Times"/>
          <w:i/>
          <w:iCs/>
          <w:noProof/>
          <w:szCs w:val="24"/>
        </w:rPr>
        <w:t>Chem</w:t>
      </w:r>
      <w:r w:rsidRPr="00CB6923">
        <w:rPr>
          <w:rFonts w:cs="Times"/>
          <w:noProof/>
          <w:szCs w:val="24"/>
        </w:rPr>
        <w:t xml:space="preserve"> </w:t>
      </w:r>
      <w:r w:rsidRPr="00CB6923">
        <w:rPr>
          <w:rFonts w:cs="Times"/>
          <w:b/>
          <w:bCs/>
          <w:noProof/>
          <w:szCs w:val="24"/>
        </w:rPr>
        <w:t>2019</w:t>
      </w:r>
      <w:r w:rsidRPr="00CB6923">
        <w:rPr>
          <w:rFonts w:cs="Times"/>
          <w:noProof/>
          <w:szCs w:val="24"/>
        </w:rPr>
        <w:t xml:space="preserve">, </w:t>
      </w:r>
      <w:r w:rsidRPr="00CB6923">
        <w:rPr>
          <w:rFonts w:cs="Times"/>
          <w:i/>
          <w:iCs/>
          <w:noProof/>
          <w:szCs w:val="24"/>
        </w:rPr>
        <w:t>5</w:t>
      </w:r>
      <w:r w:rsidRPr="00CB6923">
        <w:rPr>
          <w:rFonts w:cs="Times"/>
          <w:noProof/>
          <w:szCs w:val="24"/>
        </w:rPr>
        <w:t xml:space="preserve"> (7), 1861–1870. https://doi.org/10.1016/j.chempr.2019.04.021.</w:t>
      </w:r>
    </w:p>
    <w:p w14:paraId="2C5D8F68"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(15) </w:t>
      </w:r>
      <w:r w:rsidRPr="00CB6923">
        <w:rPr>
          <w:rFonts w:cs="Times"/>
          <w:noProof/>
          <w:szCs w:val="24"/>
        </w:rPr>
        <w:tab/>
        <w:t xml:space="preserve">Li, X.; Huang, J.; Faghri, A. Modeling Study of a Li-O2 Battery with an Active Cathode. </w:t>
      </w:r>
      <w:r w:rsidRPr="00CB6923">
        <w:rPr>
          <w:rFonts w:cs="Times"/>
          <w:i/>
          <w:iCs/>
          <w:noProof/>
          <w:szCs w:val="24"/>
        </w:rPr>
        <w:t>Energy</w:t>
      </w:r>
      <w:r w:rsidRPr="00CB6923">
        <w:rPr>
          <w:rFonts w:cs="Times"/>
          <w:noProof/>
          <w:szCs w:val="24"/>
        </w:rPr>
        <w:t xml:space="preserve"> </w:t>
      </w:r>
      <w:r w:rsidRPr="00CB6923">
        <w:rPr>
          <w:rFonts w:cs="Times"/>
          <w:b/>
          <w:bCs/>
          <w:noProof/>
          <w:szCs w:val="24"/>
        </w:rPr>
        <w:t>2015</w:t>
      </w:r>
      <w:r w:rsidRPr="00CB6923">
        <w:rPr>
          <w:rFonts w:cs="Times"/>
          <w:noProof/>
          <w:szCs w:val="24"/>
        </w:rPr>
        <w:t xml:space="preserve">, </w:t>
      </w:r>
      <w:r w:rsidRPr="00CB6923">
        <w:rPr>
          <w:rFonts w:cs="Times"/>
          <w:i/>
          <w:iCs/>
          <w:noProof/>
          <w:szCs w:val="24"/>
        </w:rPr>
        <w:t>81</w:t>
      </w:r>
      <w:r w:rsidRPr="00CB6923">
        <w:rPr>
          <w:rFonts w:cs="Times"/>
          <w:noProof/>
          <w:szCs w:val="24"/>
        </w:rPr>
        <w:t>, 489–500. https://doi.org/10.1016/j.energy.2014.12.062.</w:t>
      </w:r>
    </w:p>
    <w:p w14:paraId="1C536026"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(16) </w:t>
      </w:r>
      <w:r w:rsidRPr="00CB6923">
        <w:rPr>
          <w:rFonts w:cs="Times"/>
          <w:noProof/>
          <w:szCs w:val="24"/>
        </w:rPr>
        <w:tab/>
        <w:t xml:space="preserve">Read, J.; Mutolo, K.; Ervin, M.; Behl, W.; Wolfenstine, J.; Driedger, A.; Foster, D. Oxygen </w:t>
      </w:r>
      <w:r w:rsidRPr="00CB6923">
        <w:rPr>
          <w:rFonts w:cs="Times"/>
          <w:noProof/>
          <w:szCs w:val="24"/>
        </w:rPr>
        <w:lastRenderedPageBreak/>
        <w:t xml:space="preserve">Transport Properties of Organic Electrolytes and Performance of Lithium/Oxygen Battery.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2003</w:t>
      </w:r>
      <w:r w:rsidRPr="00CB6923">
        <w:rPr>
          <w:rFonts w:cs="Times"/>
          <w:noProof/>
          <w:szCs w:val="24"/>
        </w:rPr>
        <w:t xml:space="preserve">, </w:t>
      </w:r>
      <w:r w:rsidRPr="00CB6923">
        <w:rPr>
          <w:rFonts w:cs="Times"/>
          <w:i/>
          <w:iCs/>
          <w:noProof/>
          <w:szCs w:val="24"/>
        </w:rPr>
        <w:t>150</w:t>
      </w:r>
      <w:r w:rsidRPr="00CB6923">
        <w:rPr>
          <w:rFonts w:cs="Times"/>
          <w:noProof/>
          <w:szCs w:val="24"/>
        </w:rPr>
        <w:t xml:space="preserve"> (10), A1351. https://doi.org/10.1149/1.1606454.</w:t>
      </w:r>
    </w:p>
    <w:p w14:paraId="459C63B4"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(17) </w:t>
      </w:r>
      <w:r w:rsidRPr="00CB6923">
        <w:rPr>
          <w:rFonts w:cs="Times"/>
          <w:noProof/>
          <w:szCs w:val="24"/>
        </w:rPr>
        <w:tab/>
        <w:t xml:space="preserve">Schurmann, A.; Haas, R.; Murat, M.; Kuritz, N.; Balaish, M.; Ein-Eli, Y.; Janek, J.; Natan, A.; Schroder, D. Diffusivity and Solubility of Oxygen in Solvents for Metal/Oxygen Batteries: A Combined Theoretical and Experimental Study.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165</w:t>
      </w:r>
      <w:r w:rsidRPr="00CB6923">
        <w:rPr>
          <w:rFonts w:cs="Times"/>
          <w:noProof/>
          <w:szCs w:val="24"/>
        </w:rPr>
        <w:t xml:space="preserve"> (13), A3095–A3099.</w:t>
      </w:r>
    </w:p>
    <w:p w14:paraId="1BA9B853"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(18) </w:t>
      </w:r>
      <w:r w:rsidRPr="00CB6923">
        <w:rPr>
          <w:rFonts w:cs="Times"/>
          <w:noProof/>
          <w:szCs w:val="24"/>
        </w:rPr>
        <w:tab/>
        <w:t xml:space="preserve">Gittleson, F. S.; Jones, R. E.; Ward, D. K.; Foster, M. E. Oxygen Solubility and Transport in Li-Air Battery Electrolytes: Establishing Criteria and Strategies for Electrolyte Design. </w:t>
      </w:r>
      <w:r w:rsidRPr="00CB6923">
        <w:rPr>
          <w:rFonts w:cs="Times"/>
          <w:i/>
          <w:iCs/>
          <w:noProof/>
          <w:szCs w:val="24"/>
        </w:rPr>
        <w:t>Energy Environ. Sci.</w:t>
      </w:r>
      <w:r w:rsidRPr="00CB6923">
        <w:rPr>
          <w:rFonts w:cs="Times"/>
          <w:noProof/>
          <w:szCs w:val="24"/>
        </w:rPr>
        <w:t xml:space="preserve"> </w:t>
      </w:r>
      <w:r w:rsidRPr="00CB6923">
        <w:rPr>
          <w:rFonts w:cs="Times"/>
          <w:b/>
          <w:bCs/>
          <w:noProof/>
          <w:szCs w:val="24"/>
        </w:rPr>
        <w:t>2017</w:t>
      </w:r>
      <w:r w:rsidRPr="00CB6923">
        <w:rPr>
          <w:rFonts w:cs="Times"/>
          <w:noProof/>
          <w:szCs w:val="24"/>
        </w:rPr>
        <w:t xml:space="preserve">, </w:t>
      </w:r>
      <w:r w:rsidRPr="00CB6923">
        <w:rPr>
          <w:rFonts w:cs="Times"/>
          <w:i/>
          <w:iCs/>
          <w:noProof/>
          <w:szCs w:val="24"/>
        </w:rPr>
        <w:t>10</w:t>
      </w:r>
      <w:r w:rsidRPr="00CB6923">
        <w:rPr>
          <w:rFonts w:cs="Times"/>
          <w:noProof/>
          <w:szCs w:val="24"/>
        </w:rPr>
        <w:t>, 1167–1179.</w:t>
      </w:r>
    </w:p>
    <w:p w14:paraId="59110A03"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(19) </w:t>
      </w:r>
      <w:r w:rsidRPr="00CB6923">
        <w:rPr>
          <w:rFonts w:cs="Times"/>
          <w:noProof/>
          <w:szCs w:val="24"/>
        </w:rPr>
        <w:tab/>
        <w:t xml:space="preserve">Kleinsteinberg, B.; Klick, S.; Sauer, D. U. Empirical Approach to Determine Open-Circuit Voltage of a Vanadium-Redox-Flow Battery for Models, Based on Published Data for Anion-Exchange and Cation-Exchange Membranes and Temperature Dependency. </w:t>
      </w:r>
      <w:r w:rsidRPr="00CB6923">
        <w:rPr>
          <w:rFonts w:cs="Times"/>
          <w:i/>
          <w:iCs/>
          <w:noProof/>
          <w:szCs w:val="24"/>
        </w:rPr>
        <w:t>J. Energy Storage</w:t>
      </w:r>
      <w:r w:rsidRPr="00CB6923">
        <w:rPr>
          <w:rFonts w:cs="Times"/>
          <w:noProof/>
          <w:szCs w:val="24"/>
        </w:rPr>
        <w:t xml:space="preserve"> </w:t>
      </w:r>
      <w:r w:rsidRPr="00CB6923">
        <w:rPr>
          <w:rFonts w:cs="Times"/>
          <w:b/>
          <w:bCs/>
          <w:noProof/>
          <w:szCs w:val="24"/>
        </w:rPr>
        <w:t>2020</w:t>
      </w:r>
      <w:r w:rsidRPr="00CB6923">
        <w:rPr>
          <w:rFonts w:cs="Times"/>
          <w:noProof/>
          <w:szCs w:val="24"/>
        </w:rPr>
        <w:t xml:space="preserve">, </w:t>
      </w:r>
      <w:r w:rsidRPr="00CB6923">
        <w:rPr>
          <w:rFonts w:cs="Times"/>
          <w:i/>
          <w:iCs/>
          <w:noProof/>
          <w:szCs w:val="24"/>
        </w:rPr>
        <w:t>28</w:t>
      </w:r>
      <w:r w:rsidRPr="00CB6923">
        <w:rPr>
          <w:rFonts w:cs="Times"/>
          <w:noProof/>
          <w:szCs w:val="24"/>
        </w:rPr>
        <w:t xml:space="preserve"> (February), 101109. https://doi.org/10.1016/j.est.2019.101109.</w:t>
      </w:r>
    </w:p>
    <w:p w14:paraId="7DBA0853"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(20) </w:t>
      </w:r>
      <w:r w:rsidRPr="00CB6923">
        <w:rPr>
          <w:rFonts w:cs="Times"/>
          <w:noProof/>
          <w:szCs w:val="24"/>
        </w:rPr>
        <w:tab/>
        <w:t xml:space="preserve">Kwak, W.-J.; Kim, H.; Jung, H.-G.; Aurbach, D.; Sun, Y.-K.  Review—A Comparative Evaluation of Redox Mediators for Li-O 2 Batteries: A Critical Review .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165</w:t>
      </w:r>
      <w:r w:rsidRPr="00CB6923">
        <w:rPr>
          <w:rFonts w:cs="Times"/>
          <w:noProof/>
          <w:szCs w:val="24"/>
        </w:rPr>
        <w:t xml:space="preserve"> (10), A2274–A2293. https://doi.org/10.1149/2.0901810jes.</w:t>
      </w:r>
    </w:p>
    <w:p w14:paraId="64DE664A"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(21) </w:t>
      </w:r>
      <w:r w:rsidRPr="00CB6923">
        <w:rPr>
          <w:rFonts w:cs="Times"/>
          <w:noProof/>
          <w:szCs w:val="24"/>
        </w:rPr>
        <w:tab/>
        <w:t xml:space="preserve">Wang, E.; Dey, S.; Liu, T.; Menkin, S.; Grey, C. P. Effects of Atmospheric Gases on Li Metal Cyclability and Solid-Electrolyte Interphase Formation. </w:t>
      </w:r>
      <w:r w:rsidRPr="00CB6923">
        <w:rPr>
          <w:rFonts w:cs="Times"/>
          <w:i/>
          <w:iCs/>
          <w:noProof/>
          <w:szCs w:val="24"/>
        </w:rPr>
        <w:t>ACS Energy Lett.</w:t>
      </w:r>
      <w:r w:rsidRPr="00CB6923">
        <w:rPr>
          <w:rFonts w:cs="Times"/>
          <w:noProof/>
          <w:szCs w:val="24"/>
        </w:rPr>
        <w:t xml:space="preserve"> </w:t>
      </w:r>
      <w:r w:rsidRPr="00CB6923">
        <w:rPr>
          <w:rFonts w:cs="Times"/>
          <w:b/>
          <w:bCs/>
          <w:noProof/>
          <w:szCs w:val="24"/>
        </w:rPr>
        <w:t>2020</w:t>
      </w:r>
      <w:r w:rsidRPr="00CB6923">
        <w:rPr>
          <w:rFonts w:cs="Times"/>
          <w:noProof/>
          <w:szCs w:val="24"/>
        </w:rPr>
        <w:t xml:space="preserve">, </w:t>
      </w:r>
      <w:r w:rsidRPr="00CB6923">
        <w:rPr>
          <w:rFonts w:cs="Times"/>
          <w:i/>
          <w:iCs/>
          <w:noProof/>
          <w:szCs w:val="24"/>
        </w:rPr>
        <w:t>5</w:t>
      </w:r>
      <w:r w:rsidRPr="00CB6923">
        <w:rPr>
          <w:rFonts w:cs="Times"/>
          <w:noProof/>
          <w:szCs w:val="24"/>
        </w:rPr>
        <w:t xml:space="preserve"> (4), 1088–1094. https://doi.org/10.1021/acsenergylett.0c00257.</w:t>
      </w:r>
    </w:p>
    <w:p w14:paraId="430714C0" w14:textId="77777777" w:rsidR="00737675" w:rsidRPr="00CB6923" w:rsidRDefault="00737675" w:rsidP="00737675">
      <w:pPr>
        <w:widowControl w:val="0"/>
        <w:autoSpaceDE w:val="0"/>
        <w:autoSpaceDN w:val="0"/>
        <w:adjustRightInd w:val="0"/>
        <w:spacing w:line="480" w:lineRule="auto"/>
        <w:ind w:left="640" w:hanging="640"/>
        <w:rPr>
          <w:rFonts w:cs="Times"/>
          <w:noProof/>
          <w:szCs w:val="24"/>
          <w:lang w:val="it-IT"/>
        </w:rPr>
      </w:pPr>
      <w:r w:rsidRPr="00CB6923">
        <w:rPr>
          <w:rFonts w:cs="Times"/>
          <w:noProof/>
          <w:szCs w:val="24"/>
        </w:rPr>
        <w:t xml:space="preserve">(22) </w:t>
      </w:r>
      <w:r w:rsidRPr="00CB6923">
        <w:rPr>
          <w:rFonts w:cs="Times"/>
          <w:noProof/>
          <w:szCs w:val="24"/>
        </w:rPr>
        <w:tab/>
        <w:t xml:space="preserve">Ha, S.; Kim, Y.; Koo, D.; Ha, K. H.; Park, Y.; Kim, D. M.; Son, S.; Yim, T.; Lee, K. T. Investigation into the Stability of Li Metal Anodes in Li-O2 Batteries with a Redox </w:t>
      </w:r>
      <w:r w:rsidRPr="00CB6923">
        <w:rPr>
          <w:rFonts w:cs="Times"/>
          <w:noProof/>
          <w:szCs w:val="24"/>
        </w:rPr>
        <w:lastRenderedPageBreak/>
        <w:t xml:space="preserve">Mediator. </w:t>
      </w:r>
      <w:r w:rsidRPr="00CB6923">
        <w:rPr>
          <w:rFonts w:cs="Times"/>
          <w:i/>
          <w:iCs/>
          <w:noProof/>
          <w:szCs w:val="24"/>
          <w:lang w:val="it-IT"/>
        </w:rPr>
        <w:t>J. Mater. Chem. A</w:t>
      </w:r>
      <w:r w:rsidRPr="00CB6923">
        <w:rPr>
          <w:rFonts w:cs="Times"/>
          <w:noProof/>
          <w:szCs w:val="24"/>
          <w:lang w:val="it-IT"/>
        </w:rPr>
        <w:t xml:space="preserve"> </w:t>
      </w:r>
      <w:r w:rsidRPr="00CB6923">
        <w:rPr>
          <w:rFonts w:cs="Times"/>
          <w:b/>
          <w:bCs/>
          <w:noProof/>
          <w:szCs w:val="24"/>
          <w:lang w:val="it-IT"/>
        </w:rPr>
        <w:t>2017</w:t>
      </w:r>
      <w:r w:rsidRPr="00CB6923">
        <w:rPr>
          <w:rFonts w:cs="Times"/>
          <w:noProof/>
          <w:szCs w:val="24"/>
          <w:lang w:val="it-IT"/>
        </w:rPr>
        <w:t xml:space="preserve">, </w:t>
      </w:r>
      <w:r w:rsidRPr="00CB6923">
        <w:rPr>
          <w:rFonts w:cs="Times"/>
          <w:i/>
          <w:iCs/>
          <w:noProof/>
          <w:szCs w:val="24"/>
          <w:lang w:val="it-IT"/>
        </w:rPr>
        <w:t>5</w:t>
      </w:r>
      <w:r w:rsidRPr="00CB6923">
        <w:rPr>
          <w:rFonts w:cs="Times"/>
          <w:noProof/>
          <w:szCs w:val="24"/>
          <w:lang w:val="it-IT"/>
        </w:rPr>
        <w:t xml:space="preserve"> (21), 10609–10621. https://doi.org/10.1039/c7ta02210g.</w:t>
      </w:r>
    </w:p>
    <w:p w14:paraId="01B3EADC"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lang w:val="it-IT"/>
        </w:rPr>
        <w:t xml:space="preserve">(23) </w:t>
      </w:r>
      <w:r w:rsidRPr="00CB6923">
        <w:rPr>
          <w:rFonts w:cs="Times"/>
          <w:noProof/>
          <w:szCs w:val="24"/>
          <w:lang w:val="it-IT"/>
        </w:rPr>
        <w:tab/>
        <w:t xml:space="preserve">Su, L.; Darling, R. M.; Gallagher, K. G.; Xie, W.; Thelen, J. L.; Badel, A. F.; Barton, J. L.; Cheng, K. J.; Balsara, N. P.; Moore, J. S.; et al. </w:t>
      </w:r>
      <w:r w:rsidRPr="00CB6923">
        <w:rPr>
          <w:rFonts w:cs="Times"/>
          <w:noProof/>
          <w:szCs w:val="24"/>
        </w:rPr>
        <w:t xml:space="preserve">An Investigation of the Ionic Conductivity and Species Crossover of Lithiated Nafion 117 in Nonaqueous Electrolytes.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2016</w:t>
      </w:r>
      <w:r w:rsidRPr="00CB6923">
        <w:rPr>
          <w:rFonts w:cs="Times"/>
          <w:noProof/>
          <w:szCs w:val="24"/>
        </w:rPr>
        <w:t xml:space="preserve">, </w:t>
      </w:r>
      <w:r w:rsidRPr="00CB6923">
        <w:rPr>
          <w:rFonts w:cs="Times"/>
          <w:i/>
          <w:iCs/>
          <w:noProof/>
          <w:szCs w:val="24"/>
        </w:rPr>
        <w:t>163</w:t>
      </w:r>
      <w:r w:rsidRPr="00CB6923">
        <w:rPr>
          <w:rFonts w:cs="Times"/>
          <w:noProof/>
          <w:szCs w:val="24"/>
        </w:rPr>
        <w:t xml:space="preserve"> (1), A5253–A5262. https://doi.org/10.1149/2.03211601jes.</w:t>
      </w:r>
    </w:p>
    <w:p w14:paraId="6E45BCF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(24) </w:t>
      </w:r>
      <w:r w:rsidRPr="00CB6923">
        <w:rPr>
          <w:rFonts w:cs="Times"/>
          <w:noProof/>
          <w:szCs w:val="24"/>
        </w:rPr>
        <w:tab/>
        <w:t xml:space="preserve">Farooqui, U. R.; Ahmad, A. L.; Hamid, N. A. Challenges and Potential Advantages of Membranes in Lithium Air Batteries: A Review. </w:t>
      </w:r>
      <w:r w:rsidRPr="00CB6923">
        <w:rPr>
          <w:rFonts w:cs="Times"/>
          <w:i/>
          <w:iCs/>
          <w:noProof/>
          <w:szCs w:val="24"/>
        </w:rPr>
        <w:t>Renew. Sustain. Energy Rev.</w:t>
      </w:r>
      <w:r w:rsidRPr="00CB6923">
        <w:rPr>
          <w:rFonts w:cs="Times"/>
          <w:noProof/>
          <w:szCs w:val="24"/>
        </w:rPr>
        <w:t xml:space="preserve"> </w:t>
      </w:r>
      <w:r w:rsidRPr="00CB6923">
        <w:rPr>
          <w:rFonts w:cs="Times"/>
          <w:b/>
          <w:bCs/>
          <w:noProof/>
          <w:szCs w:val="24"/>
        </w:rPr>
        <w:t>2017</w:t>
      </w:r>
      <w:r w:rsidRPr="00CB6923">
        <w:rPr>
          <w:rFonts w:cs="Times"/>
          <w:noProof/>
          <w:szCs w:val="24"/>
        </w:rPr>
        <w:t xml:space="preserve">, </w:t>
      </w:r>
      <w:r w:rsidRPr="00CB6923">
        <w:rPr>
          <w:rFonts w:cs="Times"/>
          <w:i/>
          <w:iCs/>
          <w:noProof/>
          <w:szCs w:val="24"/>
        </w:rPr>
        <w:t>77</w:t>
      </w:r>
      <w:r w:rsidRPr="00CB6923">
        <w:rPr>
          <w:rFonts w:cs="Times"/>
          <w:noProof/>
          <w:szCs w:val="24"/>
        </w:rPr>
        <w:t>, 1114–1129.</w:t>
      </w:r>
    </w:p>
    <w:p w14:paraId="046FD8D5"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(25) </w:t>
      </w:r>
      <w:r w:rsidRPr="00CB6923">
        <w:rPr>
          <w:rFonts w:cs="Times"/>
          <w:noProof/>
          <w:szCs w:val="24"/>
        </w:rPr>
        <w:tab/>
        <w:t xml:space="preserve">Tan, R.; Wang, A.; Malpass-Evans, R.; Williams, R.; Zhao, E. W.; Liu, T.; Ye, C.; Zhou, X.; Darwich, B. P.; Fan, Z.; et al. Hydrophilic Microporous Membranes for Selective Ion Separation and Flow-Battery Energy Storage. </w:t>
      </w:r>
      <w:r w:rsidRPr="00CB6923">
        <w:rPr>
          <w:rFonts w:cs="Times"/>
          <w:i/>
          <w:iCs/>
          <w:noProof/>
          <w:szCs w:val="24"/>
        </w:rPr>
        <w:t>Nat. Mater.</w:t>
      </w:r>
      <w:r w:rsidRPr="00CB6923">
        <w:rPr>
          <w:rFonts w:cs="Times"/>
          <w:noProof/>
          <w:szCs w:val="24"/>
        </w:rPr>
        <w:t xml:space="preserve"> </w:t>
      </w:r>
      <w:r w:rsidRPr="00CB6923">
        <w:rPr>
          <w:rFonts w:cs="Times"/>
          <w:b/>
          <w:bCs/>
          <w:noProof/>
          <w:szCs w:val="24"/>
        </w:rPr>
        <w:t>2020</w:t>
      </w:r>
      <w:r w:rsidRPr="00CB6923">
        <w:rPr>
          <w:rFonts w:cs="Times"/>
          <w:noProof/>
          <w:szCs w:val="24"/>
        </w:rPr>
        <w:t xml:space="preserve">, </w:t>
      </w:r>
      <w:r w:rsidRPr="00CB6923">
        <w:rPr>
          <w:rFonts w:cs="Times"/>
          <w:i/>
          <w:iCs/>
          <w:noProof/>
          <w:szCs w:val="24"/>
        </w:rPr>
        <w:t>19</w:t>
      </w:r>
      <w:r w:rsidRPr="00CB6923">
        <w:rPr>
          <w:rFonts w:cs="Times"/>
          <w:noProof/>
          <w:szCs w:val="24"/>
        </w:rPr>
        <w:t xml:space="preserve"> (2), 195–202. https://doi.org/10.1038/s41563-019-0536-8.</w:t>
      </w:r>
    </w:p>
    <w:p w14:paraId="51DE204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(26) </w:t>
      </w:r>
      <w:r w:rsidRPr="00CB6923">
        <w:rPr>
          <w:rFonts w:cs="Times"/>
          <w:noProof/>
          <w:szCs w:val="24"/>
        </w:rPr>
        <w:tab/>
        <w:t xml:space="preserve">Liang, Z.; Attanayake, N. H.; Greco, K. V.; Neyhouse, B. J.; Barton, J. L.; Kaur, A. P.; Eubanks, W. L.; Brushett, F. R.; Landon, J.; Odom, S. A. Comparison of Separators vs Membranes in Nonaqueous Redox Flow Battery Electrolytes Containing Small Molecule Active Materials. </w:t>
      </w:r>
      <w:r w:rsidRPr="00CB6923">
        <w:rPr>
          <w:rFonts w:cs="Times"/>
          <w:i/>
          <w:iCs/>
          <w:noProof/>
          <w:szCs w:val="24"/>
        </w:rPr>
        <w:t>ACS Appl. Energy Mater.</w:t>
      </w:r>
      <w:r w:rsidRPr="00CB6923">
        <w:rPr>
          <w:rFonts w:cs="Times"/>
          <w:noProof/>
          <w:szCs w:val="24"/>
        </w:rPr>
        <w:t xml:space="preserve"> </w:t>
      </w:r>
      <w:r w:rsidRPr="00CB6923">
        <w:rPr>
          <w:rFonts w:cs="Times"/>
          <w:b/>
          <w:bCs/>
          <w:noProof/>
          <w:szCs w:val="24"/>
        </w:rPr>
        <w:t>2021</w:t>
      </w:r>
      <w:r w:rsidRPr="00CB6923">
        <w:rPr>
          <w:rFonts w:cs="Times"/>
          <w:noProof/>
          <w:szCs w:val="24"/>
        </w:rPr>
        <w:t xml:space="preserve">, </w:t>
      </w:r>
      <w:r w:rsidRPr="00CB6923">
        <w:rPr>
          <w:rFonts w:cs="Times"/>
          <w:i/>
          <w:iCs/>
          <w:noProof/>
          <w:szCs w:val="24"/>
        </w:rPr>
        <w:t>4</w:t>
      </w:r>
      <w:r w:rsidRPr="00CB6923">
        <w:rPr>
          <w:rFonts w:cs="Times"/>
          <w:noProof/>
          <w:szCs w:val="24"/>
        </w:rPr>
        <w:t xml:space="preserve"> (6), 5443–5451. https://doi.org/10.1021/acsaem.1c00017.</w:t>
      </w:r>
    </w:p>
    <w:p w14:paraId="5189D0EF"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(27) </w:t>
      </w:r>
      <w:r w:rsidRPr="00CB6923">
        <w:rPr>
          <w:rFonts w:cs="Times"/>
          <w:noProof/>
          <w:szCs w:val="24"/>
        </w:rPr>
        <w:tab/>
        <w:t xml:space="preserve">Small, L. J.; Pratt, H. D.; Anderson, T. M. Crossover in Membranes for Aqueous Soluble Organic Redox Flow Batteries.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2019</w:t>
      </w:r>
      <w:r w:rsidRPr="00CB6923">
        <w:rPr>
          <w:rFonts w:cs="Times"/>
          <w:noProof/>
          <w:szCs w:val="24"/>
        </w:rPr>
        <w:t xml:space="preserve">, </w:t>
      </w:r>
      <w:r w:rsidRPr="00CB6923">
        <w:rPr>
          <w:rFonts w:cs="Times"/>
          <w:i/>
          <w:iCs/>
          <w:noProof/>
          <w:szCs w:val="24"/>
        </w:rPr>
        <w:t>166</w:t>
      </w:r>
      <w:r w:rsidRPr="00CB6923">
        <w:rPr>
          <w:rFonts w:cs="Times"/>
          <w:noProof/>
          <w:szCs w:val="24"/>
        </w:rPr>
        <w:t xml:space="preserve"> (12), A2536–A2542. https://doi.org/10.1149/2.0681912jes.</w:t>
      </w:r>
    </w:p>
    <w:p w14:paraId="2F214C0C" w14:textId="41EFBEE9"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lastRenderedPageBreak/>
        <w:t xml:space="preserve">(28) </w:t>
      </w:r>
      <w:r w:rsidRPr="00CB6923">
        <w:rPr>
          <w:rFonts w:cs="Times"/>
          <w:noProof/>
          <w:szCs w:val="24"/>
        </w:rPr>
        <w:tab/>
        <w:t xml:space="preserve">Haugland, M. M.; Anderson, E. A.; Lovett, J. E. </w:t>
      </w:r>
      <w:r w:rsidRPr="0044470B">
        <w:rPr>
          <w:rFonts w:cs="Times"/>
          <w:noProof/>
          <w:szCs w:val="24"/>
        </w:rPr>
        <w:t>Tuning the Properties of Nitroxide Spin Labels for Use in Electron Paramagnetic Resonance Spectroscopy through Chemical Modification of the Nitroxide Framework</w:t>
      </w:r>
      <w:r w:rsidR="0044470B">
        <w:rPr>
          <w:rFonts w:cs="Times"/>
          <w:noProof/>
          <w:szCs w:val="24"/>
        </w:rPr>
        <w:t xml:space="preserve">. </w:t>
      </w:r>
      <w:r w:rsidR="0044470B" w:rsidRPr="0044470B">
        <w:rPr>
          <w:rFonts w:cs="Times"/>
          <w:i/>
          <w:iCs/>
          <w:noProof/>
          <w:szCs w:val="24"/>
        </w:rPr>
        <w:t xml:space="preserve">Electron Paramagnetic Resonance: </w:t>
      </w:r>
      <w:r w:rsidRPr="0044470B">
        <w:rPr>
          <w:rFonts w:cs="Times"/>
          <w:i/>
          <w:iCs/>
          <w:noProof/>
          <w:szCs w:val="24"/>
        </w:rPr>
        <w:t>Vo</w:t>
      </w:r>
      <w:r w:rsidR="0044470B" w:rsidRPr="0044470B">
        <w:rPr>
          <w:rFonts w:cs="Times"/>
          <w:i/>
          <w:iCs/>
          <w:noProof/>
          <w:szCs w:val="24"/>
        </w:rPr>
        <w:t>lume</w:t>
      </w:r>
      <w:r w:rsidRPr="0044470B">
        <w:rPr>
          <w:rFonts w:cs="Times"/>
          <w:i/>
          <w:iCs/>
          <w:noProof/>
          <w:szCs w:val="24"/>
        </w:rPr>
        <w:t xml:space="preserve"> 25</w:t>
      </w:r>
      <w:r w:rsidR="0044470B">
        <w:rPr>
          <w:rFonts w:cs="Times"/>
          <w:noProof/>
          <w:szCs w:val="24"/>
        </w:rPr>
        <w:t xml:space="preserve">, </w:t>
      </w:r>
      <w:r w:rsidR="00BB04CF">
        <w:rPr>
          <w:rFonts w:cs="Times"/>
          <w:noProof/>
          <w:szCs w:val="24"/>
        </w:rPr>
        <w:t xml:space="preserve">edited by Chechik, V and Murphey, D.M., Royal Society of Chemistry </w:t>
      </w:r>
      <w:r w:rsidR="0044470B" w:rsidRPr="0044470B">
        <w:rPr>
          <w:rFonts w:cs="Times"/>
          <w:b/>
          <w:bCs/>
          <w:noProof/>
          <w:szCs w:val="24"/>
        </w:rPr>
        <w:t>201</w:t>
      </w:r>
      <w:r w:rsidR="00BB04CF">
        <w:rPr>
          <w:rFonts w:cs="Times"/>
          <w:b/>
          <w:bCs/>
          <w:noProof/>
          <w:szCs w:val="24"/>
        </w:rPr>
        <w:t>7</w:t>
      </w:r>
      <w:r w:rsidR="0044470B">
        <w:rPr>
          <w:rFonts w:cs="Times"/>
          <w:noProof/>
          <w:szCs w:val="24"/>
        </w:rPr>
        <w:t>, 1-34</w:t>
      </w:r>
      <w:r w:rsidRPr="00CB6923">
        <w:rPr>
          <w:rFonts w:cs="Times"/>
          <w:noProof/>
          <w:szCs w:val="24"/>
        </w:rPr>
        <w:t>. https://doi.org/10.1039/9781782629436-00001.</w:t>
      </w:r>
    </w:p>
    <w:p w14:paraId="2B6F3F6D"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(29) </w:t>
      </w:r>
      <w:r w:rsidRPr="00CB6923">
        <w:rPr>
          <w:rFonts w:cs="Times"/>
          <w:noProof/>
          <w:szCs w:val="24"/>
        </w:rPr>
        <w:tab/>
        <w:t xml:space="preserve">Chu, K. ‐. C.; Xu, Y.; Balschi, J. A.; Springer, C. S. Bulk Magnetic Susceptibility Shifts in Nmr Studies of Compartmentalized Samples: Use of Paramagnetic Reagents. </w:t>
      </w:r>
      <w:r w:rsidRPr="00CB6923">
        <w:rPr>
          <w:rFonts w:cs="Times"/>
          <w:i/>
          <w:iCs/>
          <w:noProof/>
          <w:szCs w:val="24"/>
        </w:rPr>
        <w:t>Magn. Reson. Med.</w:t>
      </w:r>
      <w:r w:rsidRPr="00CB6923">
        <w:rPr>
          <w:rFonts w:cs="Times"/>
          <w:noProof/>
          <w:szCs w:val="24"/>
        </w:rPr>
        <w:t xml:space="preserve"> </w:t>
      </w:r>
      <w:r w:rsidRPr="00CB6923">
        <w:rPr>
          <w:rFonts w:cs="Times"/>
          <w:b/>
          <w:bCs/>
          <w:noProof/>
          <w:szCs w:val="24"/>
        </w:rPr>
        <w:t>1990</w:t>
      </w:r>
      <w:r w:rsidRPr="00CB6923">
        <w:rPr>
          <w:rFonts w:cs="Times"/>
          <w:noProof/>
          <w:szCs w:val="24"/>
        </w:rPr>
        <w:t xml:space="preserve">, </w:t>
      </w:r>
      <w:r w:rsidRPr="00CB6923">
        <w:rPr>
          <w:rFonts w:cs="Times"/>
          <w:i/>
          <w:iCs/>
          <w:noProof/>
          <w:szCs w:val="24"/>
        </w:rPr>
        <w:t>13</w:t>
      </w:r>
      <w:r w:rsidRPr="00CB6923">
        <w:rPr>
          <w:rFonts w:cs="Times"/>
          <w:noProof/>
          <w:szCs w:val="24"/>
        </w:rPr>
        <w:t xml:space="preserve"> (2), 239–262. https://doi.org/10.1002/mrm.1910130207.</w:t>
      </w:r>
    </w:p>
    <w:p w14:paraId="65E114F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(30) </w:t>
      </w:r>
      <w:r w:rsidRPr="00CB6923">
        <w:rPr>
          <w:rFonts w:cs="Times"/>
          <w:noProof/>
          <w:szCs w:val="24"/>
        </w:rPr>
        <w:tab/>
        <w:t xml:space="preserve">Evans, D. F. Determination of the Pararnagnetic Susceptibility of Substances in Solution by Nuclear Magnetic Resonance. </w:t>
      </w:r>
      <w:r w:rsidRPr="00CB6923">
        <w:rPr>
          <w:rFonts w:cs="Times"/>
          <w:i/>
          <w:iCs/>
          <w:noProof/>
          <w:szCs w:val="24"/>
        </w:rPr>
        <w:t>J. Chem. Soc.</w:t>
      </w:r>
      <w:r w:rsidRPr="00CB6923">
        <w:rPr>
          <w:rFonts w:cs="Times"/>
          <w:noProof/>
          <w:szCs w:val="24"/>
        </w:rPr>
        <w:t xml:space="preserve"> </w:t>
      </w:r>
      <w:r w:rsidRPr="00CB6923">
        <w:rPr>
          <w:rFonts w:cs="Times"/>
          <w:b/>
          <w:bCs/>
          <w:noProof/>
          <w:szCs w:val="24"/>
        </w:rPr>
        <w:t>1959</w:t>
      </w:r>
      <w:r w:rsidRPr="00CB6923">
        <w:rPr>
          <w:rFonts w:cs="Times"/>
          <w:noProof/>
          <w:szCs w:val="24"/>
        </w:rPr>
        <w:t>, 2003–2005.</w:t>
      </w:r>
    </w:p>
    <w:p w14:paraId="06EEDFF7"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(31) </w:t>
      </w:r>
      <w:r w:rsidRPr="00CB6923">
        <w:rPr>
          <w:rFonts w:cs="Times"/>
          <w:noProof/>
          <w:szCs w:val="24"/>
        </w:rPr>
        <w:tab/>
        <w:t xml:space="preserve">Bales, B. L.; Michelle, M.; Smith, S.; Peric, M. EPR Line Shifts and Line Shape Changes Due to Spin Exchange Between Nitroxide Free Radicals in Liquids: 6. Separating Line Broadening Due to Spin Exchange and Dipolar Interactions. </w:t>
      </w:r>
      <w:r w:rsidRPr="00CB6923">
        <w:rPr>
          <w:rFonts w:cs="Times"/>
          <w:i/>
          <w:iCs/>
          <w:noProof/>
          <w:szCs w:val="24"/>
        </w:rPr>
        <w:t>J. Phys. Chem. A</w:t>
      </w:r>
      <w:r w:rsidRPr="00CB6923">
        <w:rPr>
          <w:rFonts w:cs="Times"/>
          <w:noProof/>
          <w:szCs w:val="24"/>
        </w:rPr>
        <w:t xml:space="preserve"> </w:t>
      </w:r>
      <w:r w:rsidRPr="00CB6923">
        <w:rPr>
          <w:rFonts w:cs="Times"/>
          <w:b/>
          <w:bCs/>
          <w:noProof/>
          <w:szCs w:val="24"/>
        </w:rPr>
        <w:t>2009</w:t>
      </w:r>
      <w:r w:rsidRPr="00CB6923">
        <w:rPr>
          <w:rFonts w:cs="Times"/>
          <w:noProof/>
          <w:szCs w:val="24"/>
        </w:rPr>
        <w:t xml:space="preserve">, </w:t>
      </w:r>
      <w:r w:rsidRPr="00CB6923">
        <w:rPr>
          <w:rFonts w:cs="Times"/>
          <w:i/>
          <w:iCs/>
          <w:noProof/>
          <w:szCs w:val="24"/>
        </w:rPr>
        <w:t>113</w:t>
      </w:r>
      <w:r w:rsidRPr="00CB6923">
        <w:rPr>
          <w:rFonts w:cs="Times"/>
          <w:noProof/>
          <w:szCs w:val="24"/>
        </w:rPr>
        <w:t>, 4930–4940. https://doi.org/10.1007/s00723-016-0854-9.</w:t>
      </w:r>
    </w:p>
    <w:p w14:paraId="1512C719"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(32) </w:t>
      </w:r>
      <w:r w:rsidRPr="00CB6923">
        <w:rPr>
          <w:rFonts w:cs="Times"/>
          <w:noProof/>
          <w:szCs w:val="24"/>
        </w:rPr>
        <w:tab/>
        <w:t xml:space="preserve">Zhao, E. W.; Liu, T.; Jónsson, E.; Lee, J.; Temprano, I.; Jethwa, R. B.; Wang, A.; Smith, H.; Carretero-González, J.; Song, Q.; et al. In Situ NMR Metrology Reveals Reaction Mechanisms in Redox Flow Batteries. </w:t>
      </w:r>
      <w:r w:rsidRPr="00CB6923">
        <w:rPr>
          <w:rFonts w:cs="Times"/>
          <w:i/>
          <w:iCs/>
          <w:noProof/>
          <w:szCs w:val="24"/>
        </w:rPr>
        <w:t>Nature</w:t>
      </w:r>
      <w:r w:rsidRPr="00CB6923">
        <w:rPr>
          <w:rFonts w:cs="Times"/>
          <w:noProof/>
          <w:szCs w:val="24"/>
        </w:rPr>
        <w:t xml:space="preserve"> </w:t>
      </w:r>
      <w:r w:rsidRPr="00CB6923">
        <w:rPr>
          <w:rFonts w:cs="Times"/>
          <w:b/>
          <w:bCs/>
          <w:noProof/>
          <w:szCs w:val="24"/>
        </w:rPr>
        <w:t>2020</w:t>
      </w:r>
      <w:r w:rsidRPr="00CB6923">
        <w:rPr>
          <w:rFonts w:cs="Times"/>
          <w:noProof/>
          <w:szCs w:val="24"/>
        </w:rPr>
        <w:t xml:space="preserve">, </w:t>
      </w:r>
      <w:r w:rsidRPr="00CB6923">
        <w:rPr>
          <w:rFonts w:cs="Times"/>
          <w:i/>
          <w:iCs/>
          <w:noProof/>
          <w:szCs w:val="24"/>
        </w:rPr>
        <w:t>579</w:t>
      </w:r>
      <w:r w:rsidRPr="00CB6923">
        <w:rPr>
          <w:rFonts w:cs="Times"/>
          <w:noProof/>
          <w:szCs w:val="24"/>
        </w:rPr>
        <w:t xml:space="preserve"> (7798), 224–228. https://doi.org/10.1038/s41586-020-2081-7.</w:t>
      </w:r>
    </w:p>
    <w:p w14:paraId="0C6CBEAF"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(33) </w:t>
      </w:r>
      <w:r w:rsidRPr="00CB6923">
        <w:rPr>
          <w:rFonts w:cs="Times"/>
          <w:noProof/>
          <w:szCs w:val="24"/>
        </w:rPr>
        <w:tab/>
        <w:t xml:space="preserve">Zhao, E. W.; Jónsson, E.; Jethwa, R. B.; Hey, D.; Lyu, D.; Brookfield, A.; Klusener, P. A. A.; Collison, D.; Grey, C. P. Coupled in Situ NMR and EPR Studies Reveal the Electron Transfer Rate and Electrolyte Decomposition in Redox Flow Batteries. </w:t>
      </w:r>
      <w:r w:rsidRPr="00CB6923">
        <w:rPr>
          <w:rFonts w:cs="Times"/>
          <w:i/>
          <w:iCs/>
          <w:noProof/>
          <w:szCs w:val="24"/>
        </w:rPr>
        <w:t>J. Am. Chem. Soc.</w:t>
      </w:r>
      <w:r w:rsidRPr="00CB6923">
        <w:rPr>
          <w:rFonts w:cs="Times"/>
          <w:noProof/>
          <w:szCs w:val="24"/>
        </w:rPr>
        <w:t xml:space="preserve"> </w:t>
      </w:r>
      <w:r w:rsidRPr="00CB6923">
        <w:rPr>
          <w:rFonts w:cs="Times"/>
          <w:b/>
          <w:bCs/>
          <w:noProof/>
          <w:szCs w:val="24"/>
        </w:rPr>
        <w:t>2021</w:t>
      </w:r>
      <w:r w:rsidRPr="00CB6923">
        <w:rPr>
          <w:rFonts w:cs="Times"/>
          <w:noProof/>
          <w:szCs w:val="24"/>
        </w:rPr>
        <w:t xml:space="preserve">, </w:t>
      </w:r>
      <w:r w:rsidRPr="00CB6923">
        <w:rPr>
          <w:rFonts w:cs="Times"/>
          <w:i/>
          <w:iCs/>
          <w:noProof/>
          <w:szCs w:val="24"/>
        </w:rPr>
        <w:t>143</w:t>
      </w:r>
      <w:r w:rsidRPr="00CB6923">
        <w:rPr>
          <w:rFonts w:cs="Times"/>
          <w:noProof/>
          <w:szCs w:val="24"/>
        </w:rPr>
        <w:t xml:space="preserve"> (4), 1885–1895. https://doi.org/10.1021/jacs.0c10650.</w:t>
      </w:r>
    </w:p>
    <w:p w14:paraId="42DC06AE"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lastRenderedPageBreak/>
        <w:t xml:space="preserve">(34) </w:t>
      </w:r>
      <w:r w:rsidRPr="00CB6923">
        <w:rPr>
          <w:rFonts w:cs="Times"/>
          <w:noProof/>
          <w:szCs w:val="24"/>
        </w:rPr>
        <w:tab/>
        <w:t xml:space="preserve">Gao, J.; Sun, C.; Xu, L.; Chen, J.; Wang, C.; Guo, D.; Chen, H. Lithiated Nafion as Polymer Electrolyte for Solid-State Lithium Sulfur Batteries Using Carbon-Sulfur Composite Cathode. </w:t>
      </w:r>
      <w:r w:rsidRPr="00CB6923">
        <w:rPr>
          <w:rFonts w:cs="Times"/>
          <w:i/>
          <w:iCs/>
          <w:noProof/>
          <w:szCs w:val="24"/>
        </w:rPr>
        <w:t>J. Power Sources</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382</w:t>
      </w:r>
      <w:r w:rsidRPr="00CB6923">
        <w:rPr>
          <w:rFonts w:cs="Times"/>
          <w:noProof/>
          <w:szCs w:val="24"/>
        </w:rPr>
        <w:t xml:space="preserve"> (October 2017), 179–189. https://doi.org/10.1016/j.jpowsour.2018.01.063.</w:t>
      </w:r>
    </w:p>
    <w:p w14:paraId="0DF92984"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(35) </w:t>
      </w:r>
      <w:r w:rsidRPr="00CB6923">
        <w:rPr>
          <w:rFonts w:cs="Times"/>
          <w:noProof/>
          <w:szCs w:val="24"/>
        </w:rPr>
        <w:tab/>
        <w:t xml:space="preserve">Milshtein, J. D.; Kaur, A. P.; Casselman, M. D.; Kowalski, J. A.; Modekrutti, S.; Zhang, P. L.; Harsha Attanayake, N.; Elliott, C. F.; Parkin, S. R.; Risko, C.; et al. High Current Density, Long Duration Cycling of Soluble Organic Active Species for Non-Aqueous Redox Flow Batteries. </w:t>
      </w:r>
      <w:r w:rsidRPr="00CB6923">
        <w:rPr>
          <w:rFonts w:cs="Times"/>
          <w:i/>
          <w:iCs/>
          <w:noProof/>
          <w:szCs w:val="24"/>
        </w:rPr>
        <w:t>Energy Environ. Sci.</w:t>
      </w:r>
      <w:r w:rsidRPr="00CB6923">
        <w:rPr>
          <w:rFonts w:cs="Times"/>
          <w:noProof/>
          <w:szCs w:val="24"/>
        </w:rPr>
        <w:t xml:space="preserve"> </w:t>
      </w:r>
      <w:r w:rsidRPr="00CB6923">
        <w:rPr>
          <w:rFonts w:cs="Times"/>
          <w:b/>
          <w:bCs/>
          <w:noProof/>
          <w:szCs w:val="24"/>
        </w:rPr>
        <w:t>2016</w:t>
      </w:r>
      <w:r w:rsidRPr="00CB6923">
        <w:rPr>
          <w:rFonts w:cs="Times"/>
          <w:noProof/>
          <w:szCs w:val="24"/>
        </w:rPr>
        <w:t xml:space="preserve">, </w:t>
      </w:r>
      <w:r w:rsidRPr="00CB6923">
        <w:rPr>
          <w:rFonts w:cs="Times"/>
          <w:i/>
          <w:iCs/>
          <w:noProof/>
          <w:szCs w:val="24"/>
        </w:rPr>
        <w:t>9</w:t>
      </w:r>
      <w:r w:rsidRPr="00CB6923">
        <w:rPr>
          <w:rFonts w:cs="Times"/>
          <w:noProof/>
          <w:szCs w:val="24"/>
        </w:rPr>
        <w:t xml:space="preserve"> (11), 3531–3543. https://doi.org/10.1039/c6ee02027e.</w:t>
      </w:r>
    </w:p>
    <w:p w14:paraId="2ABA5A70"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(36) </w:t>
      </w:r>
      <w:r w:rsidRPr="00CB6923">
        <w:rPr>
          <w:rFonts w:cs="Times"/>
          <w:noProof/>
          <w:szCs w:val="24"/>
        </w:rPr>
        <w:tab/>
        <w:t>Magnettech GmbH. Manual and Documentation of Magnettech MiniScope MS 5000 and MS 5000X; Berlin, Germany.</w:t>
      </w:r>
    </w:p>
    <w:p w14:paraId="4A2C37FB"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(37) </w:t>
      </w:r>
      <w:r w:rsidRPr="00CB6923">
        <w:rPr>
          <w:rFonts w:cs="Times"/>
          <w:noProof/>
          <w:szCs w:val="24"/>
        </w:rPr>
        <w:tab/>
        <w:t xml:space="preserve">Rieger, P. H. Electron-Transfer Kinetics. In </w:t>
      </w:r>
      <w:r w:rsidRPr="00CB6923">
        <w:rPr>
          <w:rFonts w:cs="Times"/>
          <w:i/>
          <w:iCs/>
          <w:noProof/>
          <w:szCs w:val="24"/>
        </w:rPr>
        <w:t>Electrochemistry</w:t>
      </w:r>
      <w:r w:rsidRPr="00CB6923">
        <w:rPr>
          <w:rFonts w:cs="Times"/>
          <w:noProof/>
          <w:szCs w:val="24"/>
        </w:rPr>
        <w:t>; Springer: Dordrecht, 1994; pp 315–370. https://doi.org/https://doi.org/10.1007/978-94-011-0691-7_6.</w:t>
      </w:r>
    </w:p>
    <w:p w14:paraId="1D6C61FE"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(38) </w:t>
      </w:r>
      <w:r w:rsidRPr="00CB6923">
        <w:rPr>
          <w:rFonts w:cs="Times"/>
          <w:noProof/>
          <w:szCs w:val="24"/>
        </w:rPr>
        <w:tab/>
        <w:t xml:space="preserve">Tjaden, B.; Cooper, S. J.; Brett, D. J.; Kramer, D.; Shearing, P. R. On the Origin and Application of the Bruggeman Correlation for Analysing Transport Phenomena in Electrochemical Systems. </w:t>
      </w:r>
      <w:r w:rsidRPr="00CB6923">
        <w:rPr>
          <w:rFonts w:cs="Times"/>
          <w:i/>
          <w:iCs/>
          <w:noProof/>
          <w:szCs w:val="24"/>
        </w:rPr>
        <w:t>Curr. Opin. Chem. Eng.</w:t>
      </w:r>
      <w:r w:rsidRPr="00CB6923">
        <w:rPr>
          <w:rFonts w:cs="Times"/>
          <w:noProof/>
          <w:szCs w:val="24"/>
        </w:rPr>
        <w:t xml:space="preserve"> </w:t>
      </w:r>
      <w:r w:rsidRPr="00CB6923">
        <w:rPr>
          <w:rFonts w:cs="Times"/>
          <w:b/>
          <w:bCs/>
          <w:noProof/>
          <w:szCs w:val="24"/>
        </w:rPr>
        <w:t>2016</w:t>
      </w:r>
      <w:r w:rsidRPr="00CB6923">
        <w:rPr>
          <w:rFonts w:cs="Times"/>
          <w:noProof/>
          <w:szCs w:val="24"/>
        </w:rPr>
        <w:t xml:space="preserve">, </w:t>
      </w:r>
      <w:r w:rsidRPr="00CB6923">
        <w:rPr>
          <w:rFonts w:cs="Times"/>
          <w:i/>
          <w:iCs/>
          <w:noProof/>
          <w:szCs w:val="24"/>
        </w:rPr>
        <w:t>12</w:t>
      </w:r>
      <w:r w:rsidRPr="00CB6923">
        <w:rPr>
          <w:rFonts w:cs="Times"/>
          <w:noProof/>
          <w:szCs w:val="24"/>
        </w:rPr>
        <w:t>, 44–51. https://doi.org/10.1016/j.coche.2016.02.006.</w:t>
      </w:r>
    </w:p>
    <w:p w14:paraId="61F7FD87"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(39) </w:t>
      </w:r>
      <w:r w:rsidRPr="00CB6923">
        <w:rPr>
          <w:rFonts w:cs="Times"/>
          <w:noProof/>
          <w:szCs w:val="24"/>
        </w:rPr>
        <w:tab/>
        <w:t xml:space="preserve">Bard, A. J.; Faulkner, L. R. </w:t>
      </w:r>
      <w:r w:rsidRPr="00CB6923">
        <w:rPr>
          <w:rFonts w:cs="Times"/>
          <w:i/>
          <w:iCs/>
          <w:noProof/>
          <w:szCs w:val="24"/>
        </w:rPr>
        <w:t>Electrochemical Methods: Fundamentals and Applications</w:t>
      </w:r>
      <w:r w:rsidRPr="00CB6923">
        <w:rPr>
          <w:rFonts w:cs="Times"/>
          <w:noProof/>
          <w:szCs w:val="24"/>
        </w:rPr>
        <w:t>, 2nd ed.; John Wiley &amp; Sons, Inc: New York, 2001.</w:t>
      </w:r>
    </w:p>
    <w:p w14:paraId="01C5FCFD" w14:textId="2AF504E0"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(40) </w:t>
      </w:r>
      <w:r w:rsidRPr="00CB6923">
        <w:rPr>
          <w:rFonts w:cs="Times"/>
          <w:noProof/>
          <w:szCs w:val="24"/>
        </w:rPr>
        <w:tab/>
        <w:t xml:space="preserve">Chen, Y.; Gao, X.; Johnson, L. R.; Bruce, P. G. Kinetics of Lithium Peroxide Oxidation by Redox Mediators and Consequences for the Lithium-Oxygen Cell. </w:t>
      </w:r>
      <w:r w:rsidRPr="00CB6923">
        <w:rPr>
          <w:rFonts w:cs="Times"/>
          <w:i/>
          <w:iCs/>
          <w:noProof/>
          <w:szCs w:val="24"/>
        </w:rPr>
        <w:t>Nat. Commun.</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9</w:t>
      </w:r>
      <w:r w:rsidR="00226B89">
        <w:rPr>
          <w:rFonts w:cs="Times"/>
          <w:i/>
          <w:iCs/>
          <w:noProof/>
          <w:szCs w:val="24"/>
        </w:rPr>
        <w:t xml:space="preserve"> </w:t>
      </w:r>
      <w:r w:rsidR="00226B89" w:rsidRPr="00226B89">
        <w:rPr>
          <w:rFonts w:cs="Times"/>
          <w:noProof/>
          <w:szCs w:val="24"/>
        </w:rPr>
        <w:lastRenderedPageBreak/>
        <w:t>(1)</w:t>
      </w:r>
      <w:r w:rsidR="0068485E">
        <w:rPr>
          <w:rFonts w:cs="Times"/>
          <w:i/>
          <w:iCs/>
          <w:noProof/>
          <w:szCs w:val="24"/>
        </w:rPr>
        <w:t xml:space="preserve">, </w:t>
      </w:r>
      <w:r w:rsidR="0068485E" w:rsidRPr="0068485E">
        <w:rPr>
          <w:rFonts w:cs="Times"/>
          <w:noProof/>
          <w:szCs w:val="24"/>
        </w:rPr>
        <w:t>767</w:t>
      </w:r>
      <w:r w:rsidRPr="00CB6923">
        <w:rPr>
          <w:rFonts w:cs="Times"/>
          <w:noProof/>
          <w:szCs w:val="24"/>
        </w:rPr>
        <w:t>. https://doi.org/10.1038/s41467-018-03204-0.</w:t>
      </w:r>
    </w:p>
    <w:p w14:paraId="23871A54"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(41) </w:t>
      </w:r>
      <w:r w:rsidRPr="00CB6923">
        <w:rPr>
          <w:rFonts w:cs="Times"/>
          <w:noProof/>
          <w:szCs w:val="24"/>
        </w:rPr>
        <w:tab/>
        <w:t xml:space="preserve">Kazim, A.; Liu, H. T.; Forges, P. Modelling of Performance of PEM Fuel Cells with Conventional and Interdigitated Flow Fields. </w:t>
      </w:r>
      <w:r w:rsidRPr="00CB6923">
        <w:rPr>
          <w:rFonts w:cs="Times"/>
          <w:i/>
          <w:iCs/>
          <w:noProof/>
          <w:szCs w:val="24"/>
        </w:rPr>
        <w:t>J. Appl. Electrochem.</w:t>
      </w:r>
      <w:r w:rsidRPr="00CB6923">
        <w:rPr>
          <w:rFonts w:cs="Times"/>
          <w:noProof/>
          <w:szCs w:val="24"/>
        </w:rPr>
        <w:t xml:space="preserve"> </w:t>
      </w:r>
      <w:r w:rsidRPr="00CB6923">
        <w:rPr>
          <w:rFonts w:cs="Times"/>
          <w:b/>
          <w:bCs/>
          <w:noProof/>
          <w:szCs w:val="24"/>
        </w:rPr>
        <w:t>1999</w:t>
      </w:r>
      <w:r w:rsidRPr="00CB6923">
        <w:rPr>
          <w:rFonts w:cs="Times"/>
          <w:noProof/>
          <w:szCs w:val="24"/>
        </w:rPr>
        <w:t xml:space="preserve">, </w:t>
      </w:r>
      <w:r w:rsidRPr="00CB6923">
        <w:rPr>
          <w:rFonts w:cs="Times"/>
          <w:i/>
          <w:iCs/>
          <w:noProof/>
          <w:szCs w:val="24"/>
        </w:rPr>
        <w:t>29</w:t>
      </w:r>
      <w:r w:rsidRPr="00CB6923">
        <w:rPr>
          <w:rFonts w:cs="Times"/>
          <w:noProof/>
          <w:szCs w:val="24"/>
        </w:rPr>
        <w:t xml:space="preserve"> (12), 1409–1416. https://doi.org/10.1023/A:1003867012551.</w:t>
      </w:r>
    </w:p>
    <w:p w14:paraId="1109C6A3"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(42) </w:t>
      </w:r>
      <w:r w:rsidRPr="00CB6923">
        <w:rPr>
          <w:rFonts w:cs="Times"/>
          <w:noProof/>
          <w:szCs w:val="24"/>
        </w:rPr>
        <w:tab/>
        <w:t xml:space="preserve">Knehr, K. W.; Agar, E.; Dennison, C. R.; Kalidindi, A. R.; Kumbur, E. C. A Transient Vanadium Flow Battery Model Incorporating Vanadium Crossover and Water Transport through the Membrane.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2012</w:t>
      </w:r>
      <w:r w:rsidRPr="00CB6923">
        <w:rPr>
          <w:rFonts w:cs="Times"/>
          <w:noProof/>
          <w:szCs w:val="24"/>
        </w:rPr>
        <w:t xml:space="preserve">, </w:t>
      </w:r>
      <w:r w:rsidRPr="00CB6923">
        <w:rPr>
          <w:rFonts w:cs="Times"/>
          <w:i/>
          <w:iCs/>
          <w:noProof/>
          <w:szCs w:val="24"/>
        </w:rPr>
        <w:t>159</w:t>
      </w:r>
      <w:r w:rsidRPr="00CB6923">
        <w:rPr>
          <w:rFonts w:cs="Times"/>
          <w:noProof/>
          <w:szCs w:val="24"/>
        </w:rPr>
        <w:t xml:space="preserve"> (9), A1446–A1459. https://doi.org/10.1149/2.017209jes.</w:t>
      </w:r>
    </w:p>
    <w:p w14:paraId="3F161596"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(43) </w:t>
      </w:r>
      <w:r w:rsidRPr="00CB6923">
        <w:rPr>
          <w:rFonts w:cs="Times"/>
          <w:noProof/>
          <w:szCs w:val="24"/>
        </w:rPr>
        <w:tab/>
        <w:t xml:space="preserve">Bobbitt, J. M.; Eddy, N. A.; Cady, C. X.; Jin, J.; Gascon, J. A.; Gelpí-Dominguez, S.; Zakrzewski, J.; Morton, M. D. Preparation of Some Homologous TEMPO Nitroxides and Oxoammonium Salts; Notes on the NMR Spectroscopy of Nitroxide Free Radicals; Observed Radical Nature of Oxoammonium Salt Solutions Containing Trace Amounts of Corresponding Nitroxides in an Equilibrium R. </w:t>
      </w:r>
      <w:r w:rsidRPr="00CB6923">
        <w:rPr>
          <w:rFonts w:cs="Times"/>
          <w:i/>
          <w:iCs/>
          <w:noProof/>
          <w:szCs w:val="24"/>
        </w:rPr>
        <w:t>J. Org. Chem.</w:t>
      </w:r>
      <w:r w:rsidRPr="00CB6923">
        <w:rPr>
          <w:rFonts w:cs="Times"/>
          <w:noProof/>
          <w:szCs w:val="24"/>
        </w:rPr>
        <w:t xml:space="preserve"> </w:t>
      </w:r>
      <w:r w:rsidRPr="00CB6923">
        <w:rPr>
          <w:rFonts w:cs="Times"/>
          <w:b/>
          <w:bCs/>
          <w:noProof/>
          <w:szCs w:val="24"/>
        </w:rPr>
        <w:t>2017</w:t>
      </w:r>
      <w:r w:rsidRPr="00CB6923">
        <w:rPr>
          <w:rFonts w:cs="Times"/>
          <w:noProof/>
          <w:szCs w:val="24"/>
        </w:rPr>
        <w:t xml:space="preserve">, </w:t>
      </w:r>
      <w:r w:rsidRPr="00CB6923">
        <w:rPr>
          <w:rFonts w:cs="Times"/>
          <w:i/>
          <w:iCs/>
          <w:noProof/>
          <w:szCs w:val="24"/>
        </w:rPr>
        <w:t>82</w:t>
      </w:r>
      <w:r w:rsidRPr="00CB6923">
        <w:rPr>
          <w:rFonts w:cs="Times"/>
          <w:noProof/>
          <w:szCs w:val="24"/>
        </w:rPr>
        <w:t xml:space="preserve"> (18), 9279–9290. https://doi.org/10.1021/acs.joc.7b00846.</w:t>
      </w:r>
    </w:p>
    <w:p w14:paraId="4D46E213"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(44) </w:t>
      </w:r>
      <w:r w:rsidRPr="00CB6923">
        <w:rPr>
          <w:rFonts w:cs="Times"/>
          <w:noProof/>
          <w:szCs w:val="24"/>
        </w:rPr>
        <w:tab/>
        <w:t xml:space="preserve">Lacey, M. J.; Frith, J. T.; Owen, J. R. A Redox Shuttle to Facilitate Oxygen Reduction in the Lithium Air Battery. </w:t>
      </w:r>
      <w:r w:rsidRPr="00CB6923">
        <w:rPr>
          <w:rFonts w:cs="Times"/>
          <w:i/>
          <w:iCs/>
          <w:noProof/>
          <w:szCs w:val="24"/>
        </w:rPr>
        <w:t>Electrochem. commun.</w:t>
      </w:r>
      <w:r w:rsidRPr="00CB6923">
        <w:rPr>
          <w:rFonts w:cs="Times"/>
          <w:noProof/>
          <w:szCs w:val="24"/>
        </w:rPr>
        <w:t xml:space="preserve"> </w:t>
      </w:r>
      <w:r w:rsidRPr="00CB6923">
        <w:rPr>
          <w:rFonts w:cs="Times"/>
          <w:b/>
          <w:bCs/>
          <w:noProof/>
          <w:szCs w:val="24"/>
        </w:rPr>
        <w:t>2013</w:t>
      </w:r>
      <w:r w:rsidRPr="00CB6923">
        <w:rPr>
          <w:rFonts w:cs="Times"/>
          <w:noProof/>
          <w:szCs w:val="24"/>
        </w:rPr>
        <w:t xml:space="preserve">, </w:t>
      </w:r>
      <w:r w:rsidRPr="00CB6923">
        <w:rPr>
          <w:rFonts w:cs="Times"/>
          <w:i/>
          <w:iCs/>
          <w:noProof/>
          <w:szCs w:val="24"/>
        </w:rPr>
        <w:t>26</w:t>
      </w:r>
      <w:r w:rsidRPr="00CB6923">
        <w:rPr>
          <w:rFonts w:cs="Times"/>
          <w:noProof/>
          <w:szCs w:val="24"/>
        </w:rPr>
        <w:t xml:space="preserve"> (1), 74–76. https://doi.org/10.1016/j.elecom.2012.10.009.</w:t>
      </w:r>
    </w:p>
    <w:p w14:paraId="335BD0CA"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(45) </w:t>
      </w:r>
      <w:r w:rsidRPr="00CB6923">
        <w:rPr>
          <w:rFonts w:cs="Times"/>
          <w:noProof/>
          <w:szCs w:val="24"/>
        </w:rPr>
        <w:tab/>
        <w:t xml:space="preserve">Bauer, I.; Thieme, S.; Brückner, J.; Althues, H.; Kaskel, S. Reduced Polysulfide Shuttle in Lithium-Sulfur Batteries Using Nafion-Based Separators. </w:t>
      </w:r>
      <w:r w:rsidRPr="00CB6923">
        <w:rPr>
          <w:rFonts w:cs="Times"/>
          <w:i/>
          <w:iCs/>
          <w:noProof/>
          <w:szCs w:val="24"/>
        </w:rPr>
        <w:t>J. Power Sources</w:t>
      </w:r>
      <w:r w:rsidRPr="00CB6923">
        <w:rPr>
          <w:rFonts w:cs="Times"/>
          <w:noProof/>
          <w:szCs w:val="24"/>
        </w:rPr>
        <w:t xml:space="preserve"> </w:t>
      </w:r>
      <w:r w:rsidRPr="00CB6923">
        <w:rPr>
          <w:rFonts w:cs="Times"/>
          <w:b/>
          <w:bCs/>
          <w:noProof/>
          <w:szCs w:val="24"/>
        </w:rPr>
        <w:t>2014</w:t>
      </w:r>
      <w:r w:rsidRPr="00CB6923">
        <w:rPr>
          <w:rFonts w:cs="Times"/>
          <w:noProof/>
          <w:szCs w:val="24"/>
        </w:rPr>
        <w:t xml:space="preserve">, </w:t>
      </w:r>
      <w:r w:rsidRPr="00CB6923">
        <w:rPr>
          <w:rFonts w:cs="Times"/>
          <w:i/>
          <w:iCs/>
          <w:noProof/>
          <w:szCs w:val="24"/>
        </w:rPr>
        <w:t>251</w:t>
      </w:r>
      <w:r w:rsidRPr="00CB6923">
        <w:rPr>
          <w:rFonts w:cs="Times"/>
          <w:noProof/>
          <w:szCs w:val="24"/>
        </w:rPr>
        <w:t>, 417–422. https://doi.org/10.1016/j.jpowsour.2013.11.090.</w:t>
      </w:r>
    </w:p>
    <w:p w14:paraId="64659FB6"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(46) </w:t>
      </w:r>
      <w:r w:rsidRPr="00CB6923">
        <w:rPr>
          <w:rFonts w:cs="Times"/>
          <w:noProof/>
          <w:szCs w:val="24"/>
        </w:rPr>
        <w:tab/>
        <w:t xml:space="preserve">Peled, E.; Menkin, S. Review - SEI: Past, Present and Future. </w:t>
      </w:r>
      <w:r w:rsidRPr="00CB6923">
        <w:rPr>
          <w:rFonts w:cs="Times"/>
          <w:i/>
          <w:iCs/>
          <w:noProof/>
          <w:szCs w:val="24"/>
        </w:rPr>
        <w:t>J. Electrochem. Soc.</w:t>
      </w:r>
      <w:r w:rsidRPr="00CB6923">
        <w:rPr>
          <w:rFonts w:cs="Times"/>
          <w:noProof/>
          <w:szCs w:val="24"/>
        </w:rPr>
        <w:t xml:space="preserve"> </w:t>
      </w:r>
      <w:r w:rsidRPr="00CB6923">
        <w:rPr>
          <w:rFonts w:cs="Times"/>
          <w:b/>
          <w:bCs/>
          <w:noProof/>
          <w:szCs w:val="24"/>
        </w:rPr>
        <w:t>2017</w:t>
      </w:r>
      <w:r w:rsidRPr="00CB6923">
        <w:rPr>
          <w:rFonts w:cs="Times"/>
          <w:noProof/>
          <w:szCs w:val="24"/>
        </w:rPr>
        <w:t xml:space="preserve">, </w:t>
      </w:r>
      <w:r w:rsidRPr="00CB6923">
        <w:rPr>
          <w:rFonts w:cs="Times"/>
          <w:i/>
          <w:iCs/>
          <w:noProof/>
          <w:szCs w:val="24"/>
        </w:rPr>
        <w:lastRenderedPageBreak/>
        <w:t>164</w:t>
      </w:r>
      <w:r w:rsidRPr="00CB6923">
        <w:rPr>
          <w:rFonts w:cs="Times"/>
          <w:noProof/>
          <w:szCs w:val="24"/>
        </w:rPr>
        <w:t xml:space="preserve"> (7), A1703–A1719. https://doi.org/10.1149/2.1441707jes.</w:t>
      </w:r>
    </w:p>
    <w:p w14:paraId="29ACEA27"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(47) </w:t>
      </w:r>
      <w:r w:rsidRPr="00CB6923">
        <w:rPr>
          <w:rFonts w:cs="Times"/>
          <w:noProof/>
          <w:szCs w:val="24"/>
        </w:rPr>
        <w:tab/>
        <w:t xml:space="preserve">Mahne, N.; Renfrew, S. E.; McCloskey, B. D.; Freunberger, S. A. Electrochemical Oxidation of Lithium Carbonate Generates Singlet Oxygen. </w:t>
      </w:r>
      <w:r w:rsidRPr="00CB6923">
        <w:rPr>
          <w:rFonts w:cs="Times"/>
          <w:i/>
          <w:iCs/>
          <w:noProof/>
          <w:szCs w:val="24"/>
        </w:rPr>
        <w:t>Angew. Chemie - Int. Ed.</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57</w:t>
      </w:r>
      <w:r w:rsidRPr="00CB6923">
        <w:rPr>
          <w:rFonts w:cs="Times"/>
          <w:noProof/>
          <w:szCs w:val="24"/>
        </w:rPr>
        <w:t xml:space="preserve"> (19), 5529–5533. https://doi.org/10.1002/anie.201802277.</w:t>
      </w:r>
    </w:p>
    <w:p w14:paraId="699F9642"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(48) </w:t>
      </w:r>
      <w:r w:rsidRPr="00CB6923">
        <w:rPr>
          <w:rFonts w:cs="Times"/>
          <w:noProof/>
          <w:szCs w:val="24"/>
        </w:rPr>
        <w:tab/>
        <w:t xml:space="preserve">Lim, H. K.; Lim, H. D.; Park, K. Y.; Seo, D. H.; Gwon, H.; Hong, J.; Goddard, W. A.; Kim, H.; Kang, K. Toward a Lithium-"Air" Battery: The Effect of CO2 on the Chemistry of a Lithium-Oxygen Cell. </w:t>
      </w:r>
      <w:r w:rsidRPr="00CB6923">
        <w:rPr>
          <w:rFonts w:cs="Times"/>
          <w:i/>
          <w:iCs/>
          <w:noProof/>
          <w:szCs w:val="24"/>
        </w:rPr>
        <w:t>J. Am. Chem. Soc.</w:t>
      </w:r>
      <w:r w:rsidRPr="00CB6923">
        <w:rPr>
          <w:rFonts w:cs="Times"/>
          <w:noProof/>
          <w:szCs w:val="24"/>
        </w:rPr>
        <w:t xml:space="preserve"> </w:t>
      </w:r>
      <w:r w:rsidRPr="00CB6923">
        <w:rPr>
          <w:rFonts w:cs="Times"/>
          <w:b/>
          <w:bCs/>
          <w:noProof/>
          <w:szCs w:val="24"/>
        </w:rPr>
        <w:t>2013</w:t>
      </w:r>
      <w:r w:rsidRPr="00CB6923">
        <w:rPr>
          <w:rFonts w:cs="Times"/>
          <w:noProof/>
          <w:szCs w:val="24"/>
        </w:rPr>
        <w:t xml:space="preserve">, </w:t>
      </w:r>
      <w:r w:rsidRPr="00CB6923">
        <w:rPr>
          <w:rFonts w:cs="Times"/>
          <w:i/>
          <w:iCs/>
          <w:noProof/>
          <w:szCs w:val="24"/>
        </w:rPr>
        <w:t>135</w:t>
      </w:r>
      <w:r w:rsidRPr="00CB6923">
        <w:rPr>
          <w:rFonts w:cs="Times"/>
          <w:noProof/>
          <w:szCs w:val="24"/>
        </w:rPr>
        <w:t xml:space="preserve"> (26), 9733–9742. https://doi.org/10.1021/ja4016765.</w:t>
      </w:r>
    </w:p>
    <w:p w14:paraId="2A5455BE" w14:textId="77777777" w:rsidR="00737675" w:rsidRPr="00CB6923" w:rsidRDefault="00737675" w:rsidP="00737675">
      <w:pPr>
        <w:widowControl w:val="0"/>
        <w:autoSpaceDE w:val="0"/>
        <w:autoSpaceDN w:val="0"/>
        <w:adjustRightInd w:val="0"/>
        <w:spacing w:line="480" w:lineRule="auto"/>
        <w:ind w:left="640" w:hanging="640"/>
        <w:rPr>
          <w:rFonts w:cs="Times"/>
          <w:noProof/>
          <w:szCs w:val="24"/>
        </w:rPr>
      </w:pPr>
      <w:r w:rsidRPr="00CB6923">
        <w:rPr>
          <w:rFonts w:cs="Times"/>
          <w:noProof/>
          <w:szCs w:val="24"/>
        </w:rPr>
        <w:t xml:space="preserve">(49) </w:t>
      </w:r>
      <w:r w:rsidRPr="00CB6923">
        <w:rPr>
          <w:rFonts w:cs="Times"/>
          <w:noProof/>
          <w:szCs w:val="24"/>
        </w:rPr>
        <w:tab/>
        <w:t xml:space="preserve">Asadi, M.; Sayahpour, B.; Abbasi, P.; Ngo, A. T.; Karis, K.; Jokisaari, J. R.; Liu, C.; Narayanan, B.; Gerard, M.; Yasaei, P.; et al. A Lithium-Oxygen Battery with a Long Cycle Life in an Air-like Atmosphere. </w:t>
      </w:r>
      <w:r w:rsidRPr="00CB6923">
        <w:rPr>
          <w:rFonts w:cs="Times"/>
          <w:i/>
          <w:iCs/>
          <w:noProof/>
          <w:szCs w:val="24"/>
        </w:rPr>
        <w:t>Nature</w:t>
      </w:r>
      <w:r w:rsidRPr="00CB6923">
        <w:rPr>
          <w:rFonts w:cs="Times"/>
          <w:noProof/>
          <w:szCs w:val="24"/>
        </w:rPr>
        <w:t xml:space="preserve"> </w:t>
      </w:r>
      <w:r w:rsidRPr="00CB6923">
        <w:rPr>
          <w:rFonts w:cs="Times"/>
          <w:b/>
          <w:bCs/>
          <w:noProof/>
          <w:szCs w:val="24"/>
        </w:rPr>
        <w:t>2018</w:t>
      </w:r>
      <w:r w:rsidRPr="00CB6923">
        <w:rPr>
          <w:rFonts w:cs="Times"/>
          <w:noProof/>
          <w:szCs w:val="24"/>
        </w:rPr>
        <w:t xml:space="preserve">, </w:t>
      </w:r>
      <w:r w:rsidRPr="00CB6923">
        <w:rPr>
          <w:rFonts w:cs="Times"/>
          <w:i/>
          <w:iCs/>
          <w:noProof/>
          <w:szCs w:val="24"/>
        </w:rPr>
        <w:t>555</w:t>
      </w:r>
      <w:r w:rsidRPr="00CB6923">
        <w:rPr>
          <w:rFonts w:cs="Times"/>
          <w:noProof/>
          <w:szCs w:val="24"/>
        </w:rPr>
        <w:t xml:space="preserve"> (7697), 502–506. https://doi.org/10.1038/nature25984.</w:t>
      </w:r>
    </w:p>
    <w:p w14:paraId="006A25DB" w14:textId="77777777" w:rsidR="00737675" w:rsidRPr="00CB6923" w:rsidRDefault="00737675" w:rsidP="00737675">
      <w:pPr>
        <w:widowControl w:val="0"/>
        <w:autoSpaceDE w:val="0"/>
        <w:autoSpaceDN w:val="0"/>
        <w:adjustRightInd w:val="0"/>
        <w:spacing w:line="480" w:lineRule="auto"/>
        <w:ind w:left="640" w:hanging="640"/>
        <w:rPr>
          <w:rFonts w:cs="Times"/>
          <w:noProof/>
        </w:rPr>
      </w:pPr>
      <w:r w:rsidRPr="00CB6923">
        <w:rPr>
          <w:rFonts w:cs="Times"/>
          <w:noProof/>
          <w:szCs w:val="24"/>
        </w:rPr>
        <w:t xml:space="preserve">(50) </w:t>
      </w:r>
      <w:r w:rsidRPr="00CB6923">
        <w:rPr>
          <w:rFonts w:cs="Times"/>
          <w:noProof/>
          <w:szCs w:val="24"/>
        </w:rPr>
        <w:tab/>
        <w:t xml:space="preserve">Cheng, H.; Scott, K. Improving Performance of Rechargeable Li-Air Batteries from Using Li-Nafion® Binder. </w:t>
      </w:r>
      <w:r w:rsidRPr="00CB6923">
        <w:rPr>
          <w:rFonts w:cs="Times"/>
          <w:i/>
          <w:iCs/>
          <w:noProof/>
          <w:szCs w:val="24"/>
        </w:rPr>
        <w:t>Electrochim. Acta</w:t>
      </w:r>
      <w:r w:rsidRPr="00CB6923">
        <w:rPr>
          <w:rFonts w:cs="Times"/>
          <w:noProof/>
          <w:szCs w:val="24"/>
        </w:rPr>
        <w:t xml:space="preserve"> </w:t>
      </w:r>
      <w:r w:rsidRPr="00CB6923">
        <w:rPr>
          <w:rFonts w:cs="Times"/>
          <w:b/>
          <w:bCs/>
          <w:noProof/>
          <w:szCs w:val="24"/>
        </w:rPr>
        <w:t>2014</w:t>
      </w:r>
      <w:r w:rsidRPr="00CB6923">
        <w:rPr>
          <w:rFonts w:cs="Times"/>
          <w:noProof/>
          <w:szCs w:val="24"/>
        </w:rPr>
        <w:t xml:space="preserve">, </w:t>
      </w:r>
      <w:r w:rsidRPr="00CB6923">
        <w:rPr>
          <w:rFonts w:cs="Times"/>
          <w:i/>
          <w:iCs/>
          <w:noProof/>
          <w:szCs w:val="24"/>
        </w:rPr>
        <w:t>116</w:t>
      </w:r>
      <w:r w:rsidRPr="00CB6923">
        <w:rPr>
          <w:rFonts w:cs="Times"/>
          <w:noProof/>
          <w:szCs w:val="24"/>
        </w:rPr>
        <w:t>, 51–58. https://doi.org/10.1016/j.electacta.2013.11.018.</w:t>
      </w:r>
    </w:p>
    <w:p w14:paraId="3EE3197D" w14:textId="0B0C3C47" w:rsidR="009246AD" w:rsidRPr="00CB6923" w:rsidRDefault="001B647F" w:rsidP="0098017F">
      <w:pPr>
        <w:pStyle w:val="TFReferencesSection"/>
        <w:ind w:left="540" w:hanging="540"/>
      </w:pPr>
      <w:r w:rsidRPr="00CB6923">
        <w:fldChar w:fldCharType="end"/>
      </w:r>
    </w:p>
    <w:p w14:paraId="13A87773" w14:textId="77777777" w:rsidR="00DA42E6" w:rsidRPr="00CB6923" w:rsidRDefault="00535CDC" w:rsidP="00043631">
      <w:pPr>
        <w:pStyle w:val="SNSynopsisTOC"/>
        <w:tabs>
          <w:tab w:val="right" w:pos="9360"/>
        </w:tabs>
      </w:pPr>
      <w:r w:rsidRPr="00CB6923">
        <w:t>TOC graphic</w:t>
      </w:r>
    </w:p>
    <w:p w14:paraId="6F7125F7" w14:textId="36E3E9CD" w:rsidR="00535CDC" w:rsidRPr="00535CDC" w:rsidRDefault="00522DE6" w:rsidP="00522DE6">
      <w:pPr>
        <w:pStyle w:val="SNSynopsisTOC"/>
        <w:tabs>
          <w:tab w:val="right" w:pos="9360"/>
        </w:tabs>
      </w:pPr>
      <w:r w:rsidRPr="00CB6923">
        <w:rPr>
          <w:noProof/>
        </w:rPr>
        <w:lastRenderedPageBreak/>
        <w:drawing>
          <wp:inline distT="0" distB="0" distL="0" distR="0" wp14:anchorId="1F13499A" wp14:editId="064C8293">
            <wp:extent cx="2867297"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297" cy="1600200"/>
                    </a:xfrm>
                    <a:prstGeom prst="rect">
                      <a:avLst/>
                    </a:prstGeom>
                    <a:noFill/>
                    <a:ln>
                      <a:noFill/>
                    </a:ln>
                  </pic:spPr>
                </pic:pic>
              </a:graphicData>
            </a:graphic>
          </wp:inline>
        </w:drawing>
      </w:r>
    </w:p>
    <w:sectPr w:rsidR="00535CDC" w:rsidRPr="00535CDC"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1E858" w14:textId="77777777" w:rsidR="00AB7239" w:rsidRDefault="00AB7239">
      <w:r>
        <w:separator/>
      </w:r>
    </w:p>
  </w:endnote>
  <w:endnote w:type="continuationSeparator" w:id="0">
    <w:p w14:paraId="32588875" w14:textId="77777777" w:rsidR="00AB7239" w:rsidRDefault="00AB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C590"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49D0D9"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1892"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3C9A4E3D"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4B5D" w14:textId="77777777" w:rsidR="00AB7239" w:rsidRDefault="00AB7239">
      <w:r>
        <w:separator/>
      </w:r>
    </w:p>
  </w:footnote>
  <w:footnote w:type="continuationSeparator" w:id="0">
    <w:p w14:paraId="288BB2C4" w14:textId="77777777" w:rsidR="00AB7239" w:rsidRDefault="00AB7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2EC4045"/>
    <w:multiLevelType w:val="hybridMultilevel"/>
    <w:tmpl w:val="D070DAAC"/>
    <w:lvl w:ilvl="0" w:tplc="3F40D16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6FC17CA3"/>
    <w:multiLevelType w:val="hybridMultilevel"/>
    <w:tmpl w:val="C712AAB0"/>
    <w:lvl w:ilvl="0" w:tplc="53A2D4AE">
      <w:start w:val="1"/>
      <w:numFmt w:val="decimal"/>
      <w:lvlText w:val="[%1]"/>
      <w:lvlJc w:val="left"/>
      <w:pPr>
        <w:ind w:left="922" w:hanging="360"/>
      </w:pPr>
      <w:rPr>
        <w:rFonts w:ascii="Times New Roman" w:hAnsi="Times New Roman" w:cs="Times New Roman" w:hint="default"/>
        <w:sz w:val="22"/>
        <w:szCs w:val="22"/>
      </w:rPr>
    </w:lvl>
    <w:lvl w:ilvl="1" w:tplc="08090019" w:tentative="1">
      <w:start w:val="1"/>
      <w:numFmt w:val="lowerLetter"/>
      <w:lvlText w:val="%2."/>
      <w:lvlJc w:val="left"/>
      <w:pPr>
        <w:ind w:left="1642" w:hanging="360"/>
      </w:pPr>
    </w:lvl>
    <w:lvl w:ilvl="2" w:tplc="0809001B" w:tentative="1">
      <w:start w:val="1"/>
      <w:numFmt w:val="lowerRoman"/>
      <w:lvlText w:val="%3."/>
      <w:lvlJc w:val="right"/>
      <w:pPr>
        <w:ind w:left="2362" w:hanging="180"/>
      </w:pPr>
    </w:lvl>
    <w:lvl w:ilvl="3" w:tplc="0809000F" w:tentative="1">
      <w:start w:val="1"/>
      <w:numFmt w:val="decimal"/>
      <w:lvlText w:val="%4."/>
      <w:lvlJc w:val="left"/>
      <w:pPr>
        <w:ind w:left="3082" w:hanging="360"/>
      </w:pPr>
    </w:lvl>
    <w:lvl w:ilvl="4" w:tplc="08090019" w:tentative="1">
      <w:start w:val="1"/>
      <w:numFmt w:val="lowerLetter"/>
      <w:lvlText w:val="%5."/>
      <w:lvlJc w:val="left"/>
      <w:pPr>
        <w:ind w:left="3802" w:hanging="360"/>
      </w:pPr>
    </w:lvl>
    <w:lvl w:ilvl="5" w:tplc="0809001B" w:tentative="1">
      <w:start w:val="1"/>
      <w:numFmt w:val="lowerRoman"/>
      <w:lvlText w:val="%6."/>
      <w:lvlJc w:val="right"/>
      <w:pPr>
        <w:ind w:left="4522" w:hanging="180"/>
      </w:pPr>
    </w:lvl>
    <w:lvl w:ilvl="6" w:tplc="0809000F" w:tentative="1">
      <w:start w:val="1"/>
      <w:numFmt w:val="decimal"/>
      <w:lvlText w:val="%7."/>
      <w:lvlJc w:val="left"/>
      <w:pPr>
        <w:ind w:left="5242" w:hanging="360"/>
      </w:pPr>
    </w:lvl>
    <w:lvl w:ilvl="7" w:tplc="08090019" w:tentative="1">
      <w:start w:val="1"/>
      <w:numFmt w:val="lowerLetter"/>
      <w:lvlText w:val="%8."/>
      <w:lvlJc w:val="left"/>
      <w:pPr>
        <w:ind w:left="5962" w:hanging="360"/>
      </w:pPr>
    </w:lvl>
    <w:lvl w:ilvl="8" w:tplc="0809001B" w:tentative="1">
      <w:start w:val="1"/>
      <w:numFmt w:val="lowerRoman"/>
      <w:lvlText w:val="%9."/>
      <w:lvlJc w:val="right"/>
      <w:pPr>
        <w:ind w:left="6682" w:hanging="180"/>
      </w:pPr>
    </w:lvl>
  </w:abstractNum>
  <w:num w:numId="1">
    <w:abstractNumId w:val="9"/>
  </w:num>
  <w:num w:numId="2">
    <w:abstractNumId w:val="7"/>
  </w:num>
  <w:num w:numId="3">
    <w:abstractNumId w:val="10"/>
  </w:num>
  <w:num w:numId="4">
    <w:abstractNumId w:val="8"/>
  </w:num>
  <w:num w:numId="5">
    <w:abstractNumId w:val="6"/>
  </w:num>
  <w:num w:numId="6">
    <w:abstractNumId w:val="4"/>
  </w:num>
  <w:num w:numId="7">
    <w:abstractNumId w:val="3"/>
  </w:num>
  <w:num w:numId="8">
    <w:abstractNumId w:val="1"/>
  </w:num>
  <w:num w:numId="9">
    <w:abstractNumId w:val="0"/>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wsDQ2szAwMDE1MzRT0lEKTi0uzszPAykwqgUASGF3oCwAAAA="/>
  </w:docVars>
  <w:rsids>
    <w:rsidRoot w:val="00A6494C"/>
    <w:rsid w:val="000002F2"/>
    <w:rsid w:val="00004603"/>
    <w:rsid w:val="000071C2"/>
    <w:rsid w:val="00007FAD"/>
    <w:rsid w:val="00010098"/>
    <w:rsid w:val="00013834"/>
    <w:rsid w:val="0001450F"/>
    <w:rsid w:val="00014EC1"/>
    <w:rsid w:val="00014FAC"/>
    <w:rsid w:val="00022ADF"/>
    <w:rsid w:val="000242C2"/>
    <w:rsid w:val="00024378"/>
    <w:rsid w:val="00026354"/>
    <w:rsid w:val="00026442"/>
    <w:rsid w:val="00026B62"/>
    <w:rsid w:val="00030D8D"/>
    <w:rsid w:val="00030EA5"/>
    <w:rsid w:val="000325E5"/>
    <w:rsid w:val="00034205"/>
    <w:rsid w:val="00035042"/>
    <w:rsid w:val="00037B36"/>
    <w:rsid w:val="00043631"/>
    <w:rsid w:val="00043665"/>
    <w:rsid w:val="00043EAC"/>
    <w:rsid w:val="000517EA"/>
    <w:rsid w:val="000531F2"/>
    <w:rsid w:val="0005660F"/>
    <w:rsid w:val="00064D44"/>
    <w:rsid w:val="00067CA5"/>
    <w:rsid w:val="000702AD"/>
    <w:rsid w:val="000707F7"/>
    <w:rsid w:val="00073B99"/>
    <w:rsid w:val="00074E91"/>
    <w:rsid w:val="00075531"/>
    <w:rsid w:val="0007694C"/>
    <w:rsid w:val="00076C38"/>
    <w:rsid w:val="00081518"/>
    <w:rsid w:val="000820B5"/>
    <w:rsid w:val="00082C4C"/>
    <w:rsid w:val="0008395A"/>
    <w:rsid w:val="00084A45"/>
    <w:rsid w:val="00084AA3"/>
    <w:rsid w:val="00084C8D"/>
    <w:rsid w:val="00090990"/>
    <w:rsid w:val="000931A5"/>
    <w:rsid w:val="00093453"/>
    <w:rsid w:val="000955F8"/>
    <w:rsid w:val="000A0C30"/>
    <w:rsid w:val="000B0154"/>
    <w:rsid w:val="000B2EEB"/>
    <w:rsid w:val="000B4206"/>
    <w:rsid w:val="000B4F9E"/>
    <w:rsid w:val="000B5610"/>
    <w:rsid w:val="000B5987"/>
    <w:rsid w:val="000B74C2"/>
    <w:rsid w:val="000B7729"/>
    <w:rsid w:val="000C05CC"/>
    <w:rsid w:val="000C2AAC"/>
    <w:rsid w:val="000D7D3B"/>
    <w:rsid w:val="000D7F29"/>
    <w:rsid w:val="000E3F1B"/>
    <w:rsid w:val="000E7A51"/>
    <w:rsid w:val="000F3220"/>
    <w:rsid w:val="000F6C60"/>
    <w:rsid w:val="00100055"/>
    <w:rsid w:val="00107F58"/>
    <w:rsid w:val="001105D7"/>
    <w:rsid w:val="00111F78"/>
    <w:rsid w:val="0011425D"/>
    <w:rsid w:val="001167ED"/>
    <w:rsid w:val="001173A7"/>
    <w:rsid w:val="00121027"/>
    <w:rsid w:val="00121B5E"/>
    <w:rsid w:val="00130063"/>
    <w:rsid w:val="0013320C"/>
    <w:rsid w:val="00133D40"/>
    <w:rsid w:val="001356C9"/>
    <w:rsid w:val="001363D4"/>
    <w:rsid w:val="00136C3A"/>
    <w:rsid w:val="00136FF2"/>
    <w:rsid w:val="00137403"/>
    <w:rsid w:val="00141134"/>
    <w:rsid w:val="00143FFF"/>
    <w:rsid w:val="001468F4"/>
    <w:rsid w:val="00146FCD"/>
    <w:rsid w:val="0014730F"/>
    <w:rsid w:val="00150692"/>
    <w:rsid w:val="00161D49"/>
    <w:rsid w:val="0016521B"/>
    <w:rsid w:val="00166A10"/>
    <w:rsid w:val="00171F50"/>
    <w:rsid w:val="00176064"/>
    <w:rsid w:val="00176EC8"/>
    <w:rsid w:val="00180CE9"/>
    <w:rsid w:val="001814E5"/>
    <w:rsid w:val="001850BE"/>
    <w:rsid w:val="001945C9"/>
    <w:rsid w:val="00195ACA"/>
    <w:rsid w:val="001A0F3E"/>
    <w:rsid w:val="001A2EBF"/>
    <w:rsid w:val="001A5392"/>
    <w:rsid w:val="001A7A90"/>
    <w:rsid w:val="001A7BD2"/>
    <w:rsid w:val="001B0F88"/>
    <w:rsid w:val="001B48A8"/>
    <w:rsid w:val="001B593F"/>
    <w:rsid w:val="001B647F"/>
    <w:rsid w:val="001B703D"/>
    <w:rsid w:val="001B7D28"/>
    <w:rsid w:val="001C4789"/>
    <w:rsid w:val="001C534B"/>
    <w:rsid w:val="001C6B07"/>
    <w:rsid w:val="001C6EC3"/>
    <w:rsid w:val="001C7644"/>
    <w:rsid w:val="001D1B55"/>
    <w:rsid w:val="001D217B"/>
    <w:rsid w:val="001E10EE"/>
    <w:rsid w:val="001E41AC"/>
    <w:rsid w:val="001E47FC"/>
    <w:rsid w:val="001E5174"/>
    <w:rsid w:val="001E5673"/>
    <w:rsid w:val="001F1EB2"/>
    <w:rsid w:val="001F2AC0"/>
    <w:rsid w:val="001F3D1E"/>
    <w:rsid w:val="001F61C1"/>
    <w:rsid w:val="001F647E"/>
    <w:rsid w:val="00200796"/>
    <w:rsid w:val="0020102B"/>
    <w:rsid w:val="00201868"/>
    <w:rsid w:val="00202DEA"/>
    <w:rsid w:val="00203C25"/>
    <w:rsid w:val="00210FC6"/>
    <w:rsid w:val="00212B1D"/>
    <w:rsid w:val="00213766"/>
    <w:rsid w:val="00214635"/>
    <w:rsid w:val="00226B89"/>
    <w:rsid w:val="002315AB"/>
    <w:rsid w:val="00231DC7"/>
    <w:rsid w:val="002362A5"/>
    <w:rsid w:val="00236DD4"/>
    <w:rsid w:val="002405B3"/>
    <w:rsid w:val="002423C3"/>
    <w:rsid w:val="0024380C"/>
    <w:rsid w:val="00245153"/>
    <w:rsid w:val="0024533D"/>
    <w:rsid w:val="0025589D"/>
    <w:rsid w:val="0026007C"/>
    <w:rsid w:val="00263D5E"/>
    <w:rsid w:val="0026601D"/>
    <w:rsid w:val="00270F78"/>
    <w:rsid w:val="00271A02"/>
    <w:rsid w:val="00272C3F"/>
    <w:rsid w:val="0027332F"/>
    <w:rsid w:val="00274EE1"/>
    <w:rsid w:val="002822AD"/>
    <w:rsid w:val="002828AB"/>
    <w:rsid w:val="002A2F1B"/>
    <w:rsid w:val="002A35D0"/>
    <w:rsid w:val="002A3BBE"/>
    <w:rsid w:val="002A498F"/>
    <w:rsid w:val="002A4CBF"/>
    <w:rsid w:val="002A7493"/>
    <w:rsid w:val="002C21A3"/>
    <w:rsid w:val="002C27FC"/>
    <w:rsid w:val="002C3431"/>
    <w:rsid w:val="002C527D"/>
    <w:rsid w:val="002D04BC"/>
    <w:rsid w:val="002D1078"/>
    <w:rsid w:val="002D4FDA"/>
    <w:rsid w:val="002D5188"/>
    <w:rsid w:val="002D5B79"/>
    <w:rsid w:val="002F4A06"/>
    <w:rsid w:val="003030A0"/>
    <w:rsid w:val="00304E43"/>
    <w:rsid w:val="00305DCF"/>
    <w:rsid w:val="00306452"/>
    <w:rsid w:val="003077A1"/>
    <w:rsid w:val="00310F1C"/>
    <w:rsid w:val="0031373B"/>
    <w:rsid w:val="00313AB3"/>
    <w:rsid w:val="0031533F"/>
    <w:rsid w:val="00317A5E"/>
    <w:rsid w:val="003219E4"/>
    <w:rsid w:val="00321B8A"/>
    <w:rsid w:val="00324128"/>
    <w:rsid w:val="00324350"/>
    <w:rsid w:val="00324AB2"/>
    <w:rsid w:val="00325F10"/>
    <w:rsid w:val="00332709"/>
    <w:rsid w:val="003331E5"/>
    <w:rsid w:val="00333747"/>
    <w:rsid w:val="003359A4"/>
    <w:rsid w:val="0034019B"/>
    <w:rsid w:val="003418A6"/>
    <w:rsid w:val="00341DCE"/>
    <w:rsid w:val="003424AC"/>
    <w:rsid w:val="0035467B"/>
    <w:rsid w:val="00360BC2"/>
    <w:rsid w:val="00361E35"/>
    <w:rsid w:val="00363848"/>
    <w:rsid w:val="00364DD3"/>
    <w:rsid w:val="0036633B"/>
    <w:rsid w:val="003664E9"/>
    <w:rsid w:val="003679A1"/>
    <w:rsid w:val="00375466"/>
    <w:rsid w:val="00375815"/>
    <w:rsid w:val="00382542"/>
    <w:rsid w:val="00396BED"/>
    <w:rsid w:val="003A2BA9"/>
    <w:rsid w:val="003A42F0"/>
    <w:rsid w:val="003B14CC"/>
    <w:rsid w:val="003B1699"/>
    <w:rsid w:val="003B2B48"/>
    <w:rsid w:val="003B4AF3"/>
    <w:rsid w:val="003B7727"/>
    <w:rsid w:val="003C1646"/>
    <w:rsid w:val="003C472D"/>
    <w:rsid w:val="003C7067"/>
    <w:rsid w:val="003C77D3"/>
    <w:rsid w:val="003D0402"/>
    <w:rsid w:val="003D4570"/>
    <w:rsid w:val="003D55EA"/>
    <w:rsid w:val="003D647A"/>
    <w:rsid w:val="003D6649"/>
    <w:rsid w:val="003D6C93"/>
    <w:rsid w:val="003D7DA7"/>
    <w:rsid w:val="003E07CD"/>
    <w:rsid w:val="003E1E79"/>
    <w:rsid w:val="003E1F76"/>
    <w:rsid w:val="003E20DD"/>
    <w:rsid w:val="003E213E"/>
    <w:rsid w:val="003E47BC"/>
    <w:rsid w:val="003E7280"/>
    <w:rsid w:val="003F0448"/>
    <w:rsid w:val="003F20FA"/>
    <w:rsid w:val="003F429B"/>
    <w:rsid w:val="003F4347"/>
    <w:rsid w:val="003F579C"/>
    <w:rsid w:val="00401E2F"/>
    <w:rsid w:val="00402B51"/>
    <w:rsid w:val="00403870"/>
    <w:rsid w:val="004041BC"/>
    <w:rsid w:val="00406073"/>
    <w:rsid w:val="00407D9B"/>
    <w:rsid w:val="00413CC8"/>
    <w:rsid w:val="004140CF"/>
    <w:rsid w:val="00415606"/>
    <w:rsid w:val="00416C39"/>
    <w:rsid w:val="00430B2F"/>
    <w:rsid w:val="00433490"/>
    <w:rsid w:val="004354F7"/>
    <w:rsid w:val="00435AEC"/>
    <w:rsid w:val="0044277D"/>
    <w:rsid w:val="0044470B"/>
    <w:rsid w:val="00445F48"/>
    <w:rsid w:val="00446F73"/>
    <w:rsid w:val="00450B34"/>
    <w:rsid w:val="00450ED4"/>
    <w:rsid w:val="0045238D"/>
    <w:rsid w:val="00455530"/>
    <w:rsid w:val="00457B9A"/>
    <w:rsid w:val="00457E16"/>
    <w:rsid w:val="004601EE"/>
    <w:rsid w:val="00464527"/>
    <w:rsid w:val="0046514D"/>
    <w:rsid w:val="0046537F"/>
    <w:rsid w:val="004668C5"/>
    <w:rsid w:val="00471990"/>
    <w:rsid w:val="004721AD"/>
    <w:rsid w:val="00473ED3"/>
    <w:rsid w:val="004743AF"/>
    <w:rsid w:val="004744B7"/>
    <w:rsid w:val="0047490C"/>
    <w:rsid w:val="00474CD2"/>
    <w:rsid w:val="0047534E"/>
    <w:rsid w:val="00475EA4"/>
    <w:rsid w:val="00475FD2"/>
    <w:rsid w:val="004805C5"/>
    <w:rsid w:val="00483B61"/>
    <w:rsid w:val="00485BD1"/>
    <w:rsid w:val="00487992"/>
    <w:rsid w:val="00490485"/>
    <w:rsid w:val="00490C8E"/>
    <w:rsid w:val="00492B7B"/>
    <w:rsid w:val="00497E54"/>
    <w:rsid w:val="004A1216"/>
    <w:rsid w:val="004A24A5"/>
    <w:rsid w:val="004C1629"/>
    <w:rsid w:val="004C180E"/>
    <w:rsid w:val="004C2149"/>
    <w:rsid w:val="004C38D6"/>
    <w:rsid w:val="004E00C9"/>
    <w:rsid w:val="004E056A"/>
    <w:rsid w:val="004E185D"/>
    <w:rsid w:val="004E246B"/>
    <w:rsid w:val="004E283C"/>
    <w:rsid w:val="004E333F"/>
    <w:rsid w:val="004E3953"/>
    <w:rsid w:val="004E6F5E"/>
    <w:rsid w:val="004E7185"/>
    <w:rsid w:val="004F17DA"/>
    <w:rsid w:val="004F19E1"/>
    <w:rsid w:val="005008DC"/>
    <w:rsid w:val="005045C6"/>
    <w:rsid w:val="00506B47"/>
    <w:rsid w:val="00510C14"/>
    <w:rsid w:val="00510C28"/>
    <w:rsid w:val="00511F2E"/>
    <w:rsid w:val="00516960"/>
    <w:rsid w:val="00522DE6"/>
    <w:rsid w:val="00535CDC"/>
    <w:rsid w:val="0053600F"/>
    <w:rsid w:val="00537261"/>
    <w:rsid w:val="00541519"/>
    <w:rsid w:val="00541B17"/>
    <w:rsid w:val="00546317"/>
    <w:rsid w:val="00547F5F"/>
    <w:rsid w:val="00551A3E"/>
    <w:rsid w:val="005553EF"/>
    <w:rsid w:val="00560007"/>
    <w:rsid w:val="0056108A"/>
    <w:rsid w:val="00562133"/>
    <w:rsid w:val="005652AA"/>
    <w:rsid w:val="0056607B"/>
    <w:rsid w:val="00566746"/>
    <w:rsid w:val="00567876"/>
    <w:rsid w:val="00567E81"/>
    <w:rsid w:val="005725A0"/>
    <w:rsid w:val="005739D3"/>
    <w:rsid w:val="005741F3"/>
    <w:rsid w:val="00575508"/>
    <w:rsid w:val="005764FD"/>
    <w:rsid w:val="0057766A"/>
    <w:rsid w:val="00581577"/>
    <w:rsid w:val="00581D5F"/>
    <w:rsid w:val="00581E34"/>
    <w:rsid w:val="0058228F"/>
    <w:rsid w:val="005833FA"/>
    <w:rsid w:val="00585E37"/>
    <w:rsid w:val="005868E2"/>
    <w:rsid w:val="00586C46"/>
    <w:rsid w:val="00591A57"/>
    <w:rsid w:val="005922C4"/>
    <w:rsid w:val="00592AF7"/>
    <w:rsid w:val="0059398E"/>
    <w:rsid w:val="00593E01"/>
    <w:rsid w:val="005973FB"/>
    <w:rsid w:val="005A38B7"/>
    <w:rsid w:val="005B6DCD"/>
    <w:rsid w:val="005B727F"/>
    <w:rsid w:val="005B746C"/>
    <w:rsid w:val="005C078B"/>
    <w:rsid w:val="005C20EC"/>
    <w:rsid w:val="005C46CA"/>
    <w:rsid w:val="005C4865"/>
    <w:rsid w:val="005C4AED"/>
    <w:rsid w:val="005C5B85"/>
    <w:rsid w:val="005D0C10"/>
    <w:rsid w:val="005D1728"/>
    <w:rsid w:val="005D312F"/>
    <w:rsid w:val="005D3377"/>
    <w:rsid w:val="005D349B"/>
    <w:rsid w:val="005D36D0"/>
    <w:rsid w:val="005D39B7"/>
    <w:rsid w:val="005D548B"/>
    <w:rsid w:val="005D6738"/>
    <w:rsid w:val="005D6A60"/>
    <w:rsid w:val="005E6390"/>
    <w:rsid w:val="005F5F62"/>
    <w:rsid w:val="005F7E8A"/>
    <w:rsid w:val="00601532"/>
    <w:rsid w:val="00604CEF"/>
    <w:rsid w:val="006159DB"/>
    <w:rsid w:val="00615A99"/>
    <w:rsid w:val="006169AA"/>
    <w:rsid w:val="00616C92"/>
    <w:rsid w:val="00617DBF"/>
    <w:rsid w:val="00617F51"/>
    <w:rsid w:val="00623A0D"/>
    <w:rsid w:val="006304A4"/>
    <w:rsid w:val="00630C09"/>
    <w:rsid w:val="00634A6F"/>
    <w:rsid w:val="00640839"/>
    <w:rsid w:val="00641700"/>
    <w:rsid w:val="006441FF"/>
    <w:rsid w:val="006455A5"/>
    <w:rsid w:val="00646AAE"/>
    <w:rsid w:val="00647929"/>
    <w:rsid w:val="00647B4D"/>
    <w:rsid w:val="0065354A"/>
    <w:rsid w:val="006557C7"/>
    <w:rsid w:val="00655BB4"/>
    <w:rsid w:val="006627C1"/>
    <w:rsid w:val="00662A67"/>
    <w:rsid w:val="00663371"/>
    <w:rsid w:val="00664FEB"/>
    <w:rsid w:val="00665242"/>
    <w:rsid w:val="00666B56"/>
    <w:rsid w:val="00670EE4"/>
    <w:rsid w:val="00671669"/>
    <w:rsid w:val="00671F46"/>
    <w:rsid w:val="00673AA9"/>
    <w:rsid w:val="006748BD"/>
    <w:rsid w:val="00674CCF"/>
    <w:rsid w:val="0067504C"/>
    <w:rsid w:val="006814BB"/>
    <w:rsid w:val="00682925"/>
    <w:rsid w:val="00683131"/>
    <w:rsid w:val="0068353C"/>
    <w:rsid w:val="0068485E"/>
    <w:rsid w:val="00685153"/>
    <w:rsid w:val="00686C09"/>
    <w:rsid w:val="00696BB5"/>
    <w:rsid w:val="00697515"/>
    <w:rsid w:val="006A1B8D"/>
    <w:rsid w:val="006A30B2"/>
    <w:rsid w:val="006A3E34"/>
    <w:rsid w:val="006A60F5"/>
    <w:rsid w:val="006A79FD"/>
    <w:rsid w:val="006B2581"/>
    <w:rsid w:val="006B2C57"/>
    <w:rsid w:val="006B3A5B"/>
    <w:rsid w:val="006B45AB"/>
    <w:rsid w:val="006C3CF7"/>
    <w:rsid w:val="006C74EB"/>
    <w:rsid w:val="006D0707"/>
    <w:rsid w:val="006D27C3"/>
    <w:rsid w:val="006D3046"/>
    <w:rsid w:val="006E024A"/>
    <w:rsid w:val="006E1A53"/>
    <w:rsid w:val="006E33DC"/>
    <w:rsid w:val="006E359D"/>
    <w:rsid w:val="006E6438"/>
    <w:rsid w:val="006F0079"/>
    <w:rsid w:val="006F2CE6"/>
    <w:rsid w:val="006F4044"/>
    <w:rsid w:val="006F6C4A"/>
    <w:rsid w:val="007000D9"/>
    <w:rsid w:val="00707FAD"/>
    <w:rsid w:val="0071051D"/>
    <w:rsid w:val="0071062A"/>
    <w:rsid w:val="007146D1"/>
    <w:rsid w:val="007216DF"/>
    <w:rsid w:val="00721907"/>
    <w:rsid w:val="00725570"/>
    <w:rsid w:val="0072726A"/>
    <w:rsid w:val="0073262F"/>
    <w:rsid w:val="00733BDF"/>
    <w:rsid w:val="00733F79"/>
    <w:rsid w:val="00734261"/>
    <w:rsid w:val="00737675"/>
    <w:rsid w:val="00737D6B"/>
    <w:rsid w:val="00742857"/>
    <w:rsid w:val="00747701"/>
    <w:rsid w:val="0075129C"/>
    <w:rsid w:val="007629D3"/>
    <w:rsid w:val="00767634"/>
    <w:rsid w:val="00767845"/>
    <w:rsid w:val="007707E5"/>
    <w:rsid w:val="00770859"/>
    <w:rsid w:val="00771194"/>
    <w:rsid w:val="007717AA"/>
    <w:rsid w:val="0078150B"/>
    <w:rsid w:val="007818E2"/>
    <w:rsid w:val="007842CE"/>
    <w:rsid w:val="0078488F"/>
    <w:rsid w:val="00785D04"/>
    <w:rsid w:val="007861C4"/>
    <w:rsid w:val="00786BE7"/>
    <w:rsid w:val="00786C87"/>
    <w:rsid w:val="00787DFE"/>
    <w:rsid w:val="00794616"/>
    <w:rsid w:val="007964B5"/>
    <w:rsid w:val="007A0168"/>
    <w:rsid w:val="007A08BB"/>
    <w:rsid w:val="007A11AD"/>
    <w:rsid w:val="007A17E0"/>
    <w:rsid w:val="007A575B"/>
    <w:rsid w:val="007B0D69"/>
    <w:rsid w:val="007B181A"/>
    <w:rsid w:val="007B1E3B"/>
    <w:rsid w:val="007B254B"/>
    <w:rsid w:val="007C21B2"/>
    <w:rsid w:val="007C2D5E"/>
    <w:rsid w:val="007C4C94"/>
    <w:rsid w:val="007C7540"/>
    <w:rsid w:val="007C7A33"/>
    <w:rsid w:val="007D1925"/>
    <w:rsid w:val="007D35A7"/>
    <w:rsid w:val="007D4A51"/>
    <w:rsid w:val="007D529F"/>
    <w:rsid w:val="007E0A9F"/>
    <w:rsid w:val="007E1CFD"/>
    <w:rsid w:val="007E28C5"/>
    <w:rsid w:val="007E37D1"/>
    <w:rsid w:val="007E42F1"/>
    <w:rsid w:val="007F1193"/>
    <w:rsid w:val="007F4444"/>
    <w:rsid w:val="007F692E"/>
    <w:rsid w:val="007F71F4"/>
    <w:rsid w:val="00801113"/>
    <w:rsid w:val="008040D4"/>
    <w:rsid w:val="008047DE"/>
    <w:rsid w:val="00805401"/>
    <w:rsid w:val="00807EC8"/>
    <w:rsid w:val="00807F1C"/>
    <w:rsid w:val="00822BCA"/>
    <w:rsid w:val="00823267"/>
    <w:rsid w:val="00823F8A"/>
    <w:rsid w:val="008249B4"/>
    <w:rsid w:val="00837B36"/>
    <w:rsid w:val="00841715"/>
    <w:rsid w:val="00842D99"/>
    <w:rsid w:val="00844057"/>
    <w:rsid w:val="00850D7B"/>
    <w:rsid w:val="00851DD0"/>
    <w:rsid w:val="008522A3"/>
    <w:rsid w:val="00854C98"/>
    <w:rsid w:val="00854DDF"/>
    <w:rsid w:val="0085607B"/>
    <w:rsid w:val="0085710B"/>
    <w:rsid w:val="008633FA"/>
    <w:rsid w:val="008655C0"/>
    <w:rsid w:val="008718F0"/>
    <w:rsid w:val="00873E63"/>
    <w:rsid w:val="00875CF8"/>
    <w:rsid w:val="00877DE5"/>
    <w:rsid w:val="00890D6C"/>
    <w:rsid w:val="008928E7"/>
    <w:rsid w:val="00894BE8"/>
    <w:rsid w:val="008966E6"/>
    <w:rsid w:val="008A02C2"/>
    <w:rsid w:val="008A1B00"/>
    <w:rsid w:val="008A311C"/>
    <w:rsid w:val="008A67B9"/>
    <w:rsid w:val="008B719D"/>
    <w:rsid w:val="008B73AF"/>
    <w:rsid w:val="008C06A3"/>
    <w:rsid w:val="008C2182"/>
    <w:rsid w:val="008C4491"/>
    <w:rsid w:val="008C554D"/>
    <w:rsid w:val="008C59F9"/>
    <w:rsid w:val="008D1A82"/>
    <w:rsid w:val="008D1B57"/>
    <w:rsid w:val="008D30F9"/>
    <w:rsid w:val="008D53B2"/>
    <w:rsid w:val="008D759C"/>
    <w:rsid w:val="008D7AE6"/>
    <w:rsid w:val="008E21F1"/>
    <w:rsid w:val="008E238B"/>
    <w:rsid w:val="008E2A42"/>
    <w:rsid w:val="008E3D64"/>
    <w:rsid w:val="008E558F"/>
    <w:rsid w:val="008E5601"/>
    <w:rsid w:val="008E5AD4"/>
    <w:rsid w:val="008E5FB0"/>
    <w:rsid w:val="008F1507"/>
    <w:rsid w:val="008F39AD"/>
    <w:rsid w:val="008F5848"/>
    <w:rsid w:val="009033F3"/>
    <w:rsid w:val="00905399"/>
    <w:rsid w:val="00907F0D"/>
    <w:rsid w:val="009103F7"/>
    <w:rsid w:val="00912169"/>
    <w:rsid w:val="00916140"/>
    <w:rsid w:val="0092037A"/>
    <w:rsid w:val="009204A1"/>
    <w:rsid w:val="009211DF"/>
    <w:rsid w:val="0092346C"/>
    <w:rsid w:val="009246AD"/>
    <w:rsid w:val="00924730"/>
    <w:rsid w:val="0092762D"/>
    <w:rsid w:val="00930296"/>
    <w:rsid w:val="009379A3"/>
    <w:rsid w:val="00941AF3"/>
    <w:rsid w:val="009436F8"/>
    <w:rsid w:val="009439DE"/>
    <w:rsid w:val="00946B89"/>
    <w:rsid w:val="009544A7"/>
    <w:rsid w:val="0095570C"/>
    <w:rsid w:val="0095645E"/>
    <w:rsid w:val="00961263"/>
    <w:rsid w:val="009715E6"/>
    <w:rsid w:val="009729D1"/>
    <w:rsid w:val="00977CAA"/>
    <w:rsid w:val="0098017F"/>
    <w:rsid w:val="00981F36"/>
    <w:rsid w:val="00984EF7"/>
    <w:rsid w:val="00987D50"/>
    <w:rsid w:val="009916EA"/>
    <w:rsid w:val="00991912"/>
    <w:rsid w:val="00995B2E"/>
    <w:rsid w:val="009A407F"/>
    <w:rsid w:val="009A47FC"/>
    <w:rsid w:val="009A582C"/>
    <w:rsid w:val="009B10F6"/>
    <w:rsid w:val="009B577F"/>
    <w:rsid w:val="009B6F0C"/>
    <w:rsid w:val="009C0502"/>
    <w:rsid w:val="009C0823"/>
    <w:rsid w:val="009C2888"/>
    <w:rsid w:val="009C4068"/>
    <w:rsid w:val="009C465E"/>
    <w:rsid w:val="009C5069"/>
    <w:rsid w:val="009C50C3"/>
    <w:rsid w:val="009D0605"/>
    <w:rsid w:val="009D2E43"/>
    <w:rsid w:val="009D45CC"/>
    <w:rsid w:val="009D58D5"/>
    <w:rsid w:val="009D7568"/>
    <w:rsid w:val="009E2F3D"/>
    <w:rsid w:val="009E526A"/>
    <w:rsid w:val="009E665B"/>
    <w:rsid w:val="009E6687"/>
    <w:rsid w:val="009F26AB"/>
    <w:rsid w:val="009F2E7E"/>
    <w:rsid w:val="00A02D62"/>
    <w:rsid w:val="00A11584"/>
    <w:rsid w:val="00A1266C"/>
    <w:rsid w:val="00A141B1"/>
    <w:rsid w:val="00A1582B"/>
    <w:rsid w:val="00A20EB5"/>
    <w:rsid w:val="00A21108"/>
    <w:rsid w:val="00A217E9"/>
    <w:rsid w:val="00A22758"/>
    <w:rsid w:val="00A30F71"/>
    <w:rsid w:val="00A3203B"/>
    <w:rsid w:val="00A339C2"/>
    <w:rsid w:val="00A34913"/>
    <w:rsid w:val="00A40A08"/>
    <w:rsid w:val="00A41312"/>
    <w:rsid w:val="00A41ABB"/>
    <w:rsid w:val="00A44C8A"/>
    <w:rsid w:val="00A45E5A"/>
    <w:rsid w:val="00A463BE"/>
    <w:rsid w:val="00A47D36"/>
    <w:rsid w:val="00A556C2"/>
    <w:rsid w:val="00A62116"/>
    <w:rsid w:val="00A6281B"/>
    <w:rsid w:val="00A62BCA"/>
    <w:rsid w:val="00A6494C"/>
    <w:rsid w:val="00A6655B"/>
    <w:rsid w:val="00A71F6C"/>
    <w:rsid w:val="00A7353E"/>
    <w:rsid w:val="00A740C5"/>
    <w:rsid w:val="00A743CD"/>
    <w:rsid w:val="00A764EF"/>
    <w:rsid w:val="00A767B5"/>
    <w:rsid w:val="00A80957"/>
    <w:rsid w:val="00A80C8C"/>
    <w:rsid w:val="00A8195F"/>
    <w:rsid w:val="00A825E5"/>
    <w:rsid w:val="00A82DDF"/>
    <w:rsid w:val="00A8393D"/>
    <w:rsid w:val="00A909FE"/>
    <w:rsid w:val="00A9141C"/>
    <w:rsid w:val="00A91AA9"/>
    <w:rsid w:val="00A93330"/>
    <w:rsid w:val="00A94052"/>
    <w:rsid w:val="00A95E38"/>
    <w:rsid w:val="00A9757A"/>
    <w:rsid w:val="00A97D64"/>
    <w:rsid w:val="00AA35C9"/>
    <w:rsid w:val="00AA4947"/>
    <w:rsid w:val="00AA5471"/>
    <w:rsid w:val="00AA5911"/>
    <w:rsid w:val="00AA64E0"/>
    <w:rsid w:val="00AA65CA"/>
    <w:rsid w:val="00AB039F"/>
    <w:rsid w:val="00AB0DA1"/>
    <w:rsid w:val="00AB17FA"/>
    <w:rsid w:val="00AB34C5"/>
    <w:rsid w:val="00AB4325"/>
    <w:rsid w:val="00AB4B7F"/>
    <w:rsid w:val="00AB7239"/>
    <w:rsid w:val="00AB7801"/>
    <w:rsid w:val="00AC07A0"/>
    <w:rsid w:val="00AC2298"/>
    <w:rsid w:val="00AC4045"/>
    <w:rsid w:val="00AC52AF"/>
    <w:rsid w:val="00AC7520"/>
    <w:rsid w:val="00AC7C32"/>
    <w:rsid w:val="00AD6F5D"/>
    <w:rsid w:val="00AD6FE7"/>
    <w:rsid w:val="00AD7345"/>
    <w:rsid w:val="00AE1B20"/>
    <w:rsid w:val="00AE291A"/>
    <w:rsid w:val="00AE2A9D"/>
    <w:rsid w:val="00AE54D8"/>
    <w:rsid w:val="00AF087B"/>
    <w:rsid w:val="00AF2C52"/>
    <w:rsid w:val="00AF3051"/>
    <w:rsid w:val="00AF4222"/>
    <w:rsid w:val="00AF4F6D"/>
    <w:rsid w:val="00AF77D8"/>
    <w:rsid w:val="00AF7F6A"/>
    <w:rsid w:val="00B00039"/>
    <w:rsid w:val="00B003E7"/>
    <w:rsid w:val="00B00A76"/>
    <w:rsid w:val="00B01F09"/>
    <w:rsid w:val="00B02C3B"/>
    <w:rsid w:val="00B03F77"/>
    <w:rsid w:val="00B05A88"/>
    <w:rsid w:val="00B05AF9"/>
    <w:rsid w:val="00B05D95"/>
    <w:rsid w:val="00B16E8C"/>
    <w:rsid w:val="00B17373"/>
    <w:rsid w:val="00B17F38"/>
    <w:rsid w:val="00B20D8A"/>
    <w:rsid w:val="00B21836"/>
    <w:rsid w:val="00B2202A"/>
    <w:rsid w:val="00B25EE3"/>
    <w:rsid w:val="00B30D12"/>
    <w:rsid w:val="00B31EBD"/>
    <w:rsid w:val="00B44641"/>
    <w:rsid w:val="00B44E95"/>
    <w:rsid w:val="00B51580"/>
    <w:rsid w:val="00B52267"/>
    <w:rsid w:val="00B52EE1"/>
    <w:rsid w:val="00B53106"/>
    <w:rsid w:val="00B542C7"/>
    <w:rsid w:val="00B60A05"/>
    <w:rsid w:val="00B62F9E"/>
    <w:rsid w:val="00B7024C"/>
    <w:rsid w:val="00B704B1"/>
    <w:rsid w:val="00B7618D"/>
    <w:rsid w:val="00B77B40"/>
    <w:rsid w:val="00B82646"/>
    <w:rsid w:val="00B83714"/>
    <w:rsid w:val="00B84830"/>
    <w:rsid w:val="00B87CAA"/>
    <w:rsid w:val="00B90842"/>
    <w:rsid w:val="00B90CDB"/>
    <w:rsid w:val="00B94E54"/>
    <w:rsid w:val="00BA201D"/>
    <w:rsid w:val="00BA28F7"/>
    <w:rsid w:val="00BA4061"/>
    <w:rsid w:val="00BA5E72"/>
    <w:rsid w:val="00BB03B8"/>
    <w:rsid w:val="00BB04CF"/>
    <w:rsid w:val="00BB48FF"/>
    <w:rsid w:val="00BB5770"/>
    <w:rsid w:val="00BB65BF"/>
    <w:rsid w:val="00BC07D4"/>
    <w:rsid w:val="00BC1762"/>
    <w:rsid w:val="00BC2119"/>
    <w:rsid w:val="00BC2818"/>
    <w:rsid w:val="00BC3467"/>
    <w:rsid w:val="00BC3839"/>
    <w:rsid w:val="00BC7D89"/>
    <w:rsid w:val="00BD0CA1"/>
    <w:rsid w:val="00BD2C44"/>
    <w:rsid w:val="00BD31B9"/>
    <w:rsid w:val="00BD701F"/>
    <w:rsid w:val="00BD72EF"/>
    <w:rsid w:val="00BD7717"/>
    <w:rsid w:val="00BE044F"/>
    <w:rsid w:val="00BE2236"/>
    <w:rsid w:val="00BE4191"/>
    <w:rsid w:val="00BE499C"/>
    <w:rsid w:val="00BE539E"/>
    <w:rsid w:val="00BF377C"/>
    <w:rsid w:val="00BF3CDD"/>
    <w:rsid w:val="00BF6C64"/>
    <w:rsid w:val="00C01CA0"/>
    <w:rsid w:val="00C02EF6"/>
    <w:rsid w:val="00C050E7"/>
    <w:rsid w:val="00C06591"/>
    <w:rsid w:val="00C06691"/>
    <w:rsid w:val="00C06FCD"/>
    <w:rsid w:val="00C070D2"/>
    <w:rsid w:val="00C10EE0"/>
    <w:rsid w:val="00C12556"/>
    <w:rsid w:val="00C1622C"/>
    <w:rsid w:val="00C200E2"/>
    <w:rsid w:val="00C2077F"/>
    <w:rsid w:val="00C23FC8"/>
    <w:rsid w:val="00C26948"/>
    <w:rsid w:val="00C31A96"/>
    <w:rsid w:val="00C35689"/>
    <w:rsid w:val="00C36303"/>
    <w:rsid w:val="00C4656D"/>
    <w:rsid w:val="00C518BC"/>
    <w:rsid w:val="00C52062"/>
    <w:rsid w:val="00C5326D"/>
    <w:rsid w:val="00C55505"/>
    <w:rsid w:val="00C6002D"/>
    <w:rsid w:val="00C60362"/>
    <w:rsid w:val="00C60AF7"/>
    <w:rsid w:val="00C6170A"/>
    <w:rsid w:val="00C63852"/>
    <w:rsid w:val="00C65746"/>
    <w:rsid w:val="00C65EB7"/>
    <w:rsid w:val="00C70545"/>
    <w:rsid w:val="00C7116C"/>
    <w:rsid w:val="00C71737"/>
    <w:rsid w:val="00C722C7"/>
    <w:rsid w:val="00C72464"/>
    <w:rsid w:val="00C7596D"/>
    <w:rsid w:val="00C7756D"/>
    <w:rsid w:val="00C778FB"/>
    <w:rsid w:val="00C81813"/>
    <w:rsid w:val="00C84798"/>
    <w:rsid w:val="00C96B00"/>
    <w:rsid w:val="00CA2227"/>
    <w:rsid w:val="00CA2B59"/>
    <w:rsid w:val="00CA3776"/>
    <w:rsid w:val="00CA39B9"/>
    <w:rsid w:val="00CA5CF7"/>
    <w:rsid w:val="00CA6F03"/>
    <w:rsid w:val="00CB06B9"/>
    <w:rsid w:val="00CB09CB"/>
    <w:rsid w:val="00CB27AA"/>
    <w:rsid w:val="00CB34BC"/>
    <w:rsid w:val="00CB6923"/>
    <w:rsid w:val="00CC2241"/>
    <w:rsid w:val="00CC3728"/>
    <w:rsid w:val="00CC3C38"/>
    <w:rsid w:val="00CC4630"/>
    <w:rsid w:val="00CC4E40"/>
    <w:rsid w:val="00CC5BCE"/>
    <w:rsid w:val="00CC6FBA"/>
    <w:rsid w:val="00CD0340"/>
    <w:rsid w:val="00CD0657"/>
    <w:rsid w:val="00CD3599"/>
    <w:rsid w:val="00CD3D2F"/>
    <w:rsid w:val="00CD6BC4"/>
    <w:rsid w:val="00CD702E"/>
    <w:rsid w:val="00CE63B6"/>
    <w:rsid w:val="00CF05D9"/>
    <w:rsid w:val="00CF1232"/>
    <w:rsid w:val="00CF39D9"/>
    <w:rsid w:val="00CF6962"/>
    <w:rsid w:val="00D0084C"/>
    <w:rsid w:val="00D02245"/>
    <w:rsid w:val="00D02CC6"/>
    <w:rsid w:val="00D04729"/>
    <w:rsid w:val="00D0570A"/>
    <w:rsid w:val="00D1099E"/>
    <w:rsid w:val="00D10FA4"/>
    <w:rsid w:val="00D1496C"/>
    <w:rsid w:val="00D22E86"/>
    <w:rsid w:val="00D2366B"/>
    <w:rsid w:val="00D24CA0"/>
    <w:rsid w:val="00D318E5"/>
    <w:rsid w:val="00D32C77"/>
    <w:rsid w:val="00D32E24"/>
    <w:rsid w:val="00D333CF"/>
    <w:rsid w:val="00D35238"/>
    <w:rsid w:val="00D35A1D"/>
    <w:rsid w:val="00D4383A"/>
    <w:rsid w:val="00D46AC7"/>
    <w:rsid w:val="00D47213"/>
    <w:rsid w:val="00D5202A"/>
    <w:rsid w:val="00D536FA"/>
    <w:rsid w:val="00D540B2"/>
    <w:rsid w:val="00D56770"/>
    <w:rsid w:val="00D626CA"/>
    <w:rsid w:val="00D67CE1"/>
    <w:rsid w:val="00D71798"/>
    <w:rsid w:val="00D72283"/>
    <w:rsid w:val="00D72CDF"/>
    <w:rsid w:val="00D7352A"/>
    <w:rsid w:val="00D76316"/>
    <w:rsid w:val="00D773C1"/>
    <w:rsid w:val="00D77862"/>
    <w:rsid w:val="00D808B3"/>
    <w:rsid w:val="00D85E4B"/>
    <w:rsid w:val="00D917F4"/>
    <w:rsid w:val="00D93252"/>
    <w:rsid w:val="00DA0FE3"/>
    <w:rsid w:val="00DA126B"/>
    <w:rsid w:val="00DA145C"/>
    <w:rsid w:val="00DA2ADD"/>
    <w:rsid w:val="00DA338D"/>
    <w:rsid w:val="00DA42E6"/>
    <w:rsid w:val="00DA6027"/>
    <w:rsid w:val="00DB0313"/>
    <w:rsid w:val="00DB0D8E"/>
    <w:rsid w:val="00DB3E5B"/>
    <w:rsid w:val="00DB5290"/>
    <w:rsid w:val="00DB7C80"/>
    <w:rsid w:val="00DC1BA0"/>
    <w:rsid w:val="00DC2199"/>
    <w:rsid w:val="00DD07ED"/>
    <w:rsid w:val="00DD1836"/>
    <w:rsid w:val="00DD261C"/>
    <w:rsid w:val="00DD31FE"/>
    <w:rsid w:val="00DD4718"/>
    <w:rsid w:val="00DD6CC1"/>
    <w:rsid w:val="00DD6DBB"/>
    <w:rsid w:val="00DD73BF"/>
    <w:rsid w:val="00DD74B5"/>
    <w:rsid w:val="00DD7A44"/>
    <w:rsid w:val="00DE32CA"/>
    <w:rsid w:val="00DE4011"/>
    <w:rsid w:val="00DE4B79"/>
    <w:rsid w:val="00DE5A0F"/>
    <w:rsid w:val="00DF3CCE"/>
    <w:rsid w:val="00DF56C0"/>
    <w:rsid w:val="00DF6575"/>
    <w:rsid w:val="00E005BD"/>
    <w:rsid w:val="00E04B46"/>
    <w:rsid w:val="00E074F2"/>
    <w:rsid w:val="00E1158F"/>
    <w:rsid w:val="00E11FE4"/>
    <w:rsid w:val="00E12CD0"/>
    <w:rsid w:val="00E1336E"/>
    <w:rsid w:val="00E13EFD"/>
    <w:rsid w:val="00E23C3C"/>
    <w:rsid w:val="00E24230"/>
    <w:rsid w:val="00E2624B"/>
    <w:rsid w:val="00E26C43"/>
    <w:rsid w:val="00E4114F"/>
    <w:rsid w:val="00E416A5"/>
    <w:rsid w:val="00E46249"/>
    <w:rsid w:val="00E523D6"/>
    <w:rsid w:val="00E56800"/>
    <w:rsid w:val="00E6074E"/>
    <w:rsid w:val="00E61375"/>
    <w:rsid w:val="00E620A6"/>
    <w:rsid w:val="00E628D7"/>
    <w:rsid w:val="00E76400"/>
    <w:rsid w:val="00E77792"/>
    <w:rsid w:val="00E8220B"/>
    <w:rsid w:val="00E823B2"/>
    <w:rsid w:val="00E82A94"/>
    <w:rsid w:val="00E840E1"/>
    <w:rsid w:val="00E85A26"/>
    <w:rsid w:val="00E86BD2"/>
    <w:rsid w:val="00E90803"/>
    <w:rsid w:val="00E90852"/>
    <w:rsid w:val="00E90D46"/>
    <w:rsid w:val="00E91482"/>
    <w:rsid w:val="00E95331"/>
    <w:rsid w:val="00E96302"/>
    <w:rsid w:val="00E97AD8"/>
    <w:rsid w:val="00EA2FC0"/>
    <w:rsid w:val="00EA565D"/>
    <w:rsid w:val="00EB035E"/>
    <w:rsid w:val="00EB04F4"/>
    <w:rsid w:val="00EB1685"/>
    <w:rsid w:val="00EB1A93"/>
    <w:rsid w:val="00EB1FC3"/>
    <w:rsid w:val="00EB3642"/>
    <w:rsid w:val="00EB39A8"/>
    <w:rsid w:val="00EB5383"/>
    <w:rsid w:val="00EB5CAE"/>
    <w:rsid w:val="00EC1ACB"/>
    <w:rsid w:val="00EC28DC"/>
    <w:rsid w:val="00EC52C1"/>
    <w:rsid w:val="00EC5B4E"/>
    <w:rsid w:val="00ED4D82"/>
    <w:rsid w:val="00ED6D5D"/>
    <w:rsid w:val="00ED75AB"/>
    <w:rsid w:val="00EE37E4"/>
    <w:rsid w:val="00EF4C27"/>
    <w:rsid w:val="00EF72CA"/>
    <w:rsid w:val="00F05FAD"/>
    <w:rsid w:val="00F07953"/>
    <w:rsid w:val="00F11D06"/>
    <w:rsid w:val="00F12072"/>
    <w:rsid w:val="00F134F5"/>
    <w:rsid w:val="00F1423F"/>
    <w:rsid w:val="00F16DA6"/>
    <w:rsid w:val="00F2044D"/>
    <w:rsid w:val="00F20A8A"/>
    <w:rsid w:val="00F27D41"/>
    <w:rsid w:val="00F31F4F"/>
    <w:rsid w:val="00F41FB0"/>
    <w:rsid w:val="00F448B8"/>
    <w:rsid w:val="00F47B85"/>
    <w:rsid w:val="00F51D79"/>
    <w:rsid w:val="00F52095"/>
    <w:rsid w:val="00F5230D"/>
    <w:rsid w:val="00F53734"/>
    <w:rsid w:val="00F54BDD"/>
    <w:rsid w:val="00F55FFB"/>
    <w:rsid w:val="00F5645C"/>
    <w:rsid w:val="00F577B9"/>
    <w:rsid w:val="00F63899"/>
    <w:rsid w:val="00F63C23"/>
    <w:rsid w:val="00F65FCE"/>
    <w:rsid w:val="00F70B50"/>
    <w:rsid w:val="00F7356E"/>
    <w:rsid w:val="00F74730"/>
    <w:rsid w:val="00F75301"/>
    <w:rsid w:val="00F759CF"/>
    <w:rsid w:val="00F7699F"/>
    <w:rsid w:val="00F777C6"/>
    <w:rsid w:val="00F94B37"/>
    <w:rsid w:val="00F96CDE"/>
    <w:rsid w:val="00FA0F0B"/>
    <w:rsid w:val="00FA4D96"/>
    <w:rsid w:val="00FA52D4"/>
    <w:rsid w:val="00FA7908"/>
    <w:rsid w:val="00FB016B"/>
    <w:rsid w:val="00FB048F"/>
    <w:rsid w:val="00FB3A00"/>
    <w:rsid w:val="00FB561C"/>
    <w:rsid w:val="00FC0549"/>
    <w:rsid w:val="00FC311B"/>
    <w:rsid w:val="00FC4328"/>
    <w:rsid w:val="00FC49CF"/>
    <w:rsid w:val="00FC62FD"/>
    <w:rsid w:val="00FD3D87"/>
    <w:rsid w:val="00FE1C40"/>
    <w:rsid w:val="00FE6219"/>
    <w:rsid w:val="00FE6C71"/>
    <w:rsid w:val="00FF2D4B"/>
    <w:rsid w:val="00FF6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93BF2"/>
  <w15:docId w15:val="{BFDA80AF-27A2-4B63-9B10-72882D23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ListParagraph">
    <w:name w:val="List Paragraph"/>
    <w:basedOn w:val="Normal"/>
    <w:uiPriority w:val="34"/>
    <w:qFormat/>
    <w:rsid w:val="00236DD4"/>
    <w:pPr>
      <w:spacing w:after="0"/>
      <w:ind w:left="720"/>
      <w:contextualSpacing/>
      <w:jc w:val="left"/>
    </w:pPr>
    <w:rPr>
      <w:rFonts w:ascii="Times New Roman" w:hAnsi="Times New Roman"/>
      <w:szCs w:val="24"/>
    </w:rPr>
  </w:style>
  <w:style w:type="character" w:styleId="CommentReference">
    <w:name w:val="annotation reference"/>
    <w:basedOn w:val="DefaultParagraphFont"/>
    <w:uiPriority w:val="99"/>
    <w:semiHidden/>
    <w:unhideWhenUsed/>
    <w:rsid w:val="00C55505"/>
    <w:rPr>
      <w:sz w:val="16"/>
      <w:szCs w:val="16"/>
    </w:rPr>
  </w:style>
  <w:style w:type="paragraph" w:styleId="CommentText">
    <w:name w:val="annotation text"/>
    <w:basedOn w:val="Normal"/>
    <w:link w:val="CommentTextChar"/>
    <w:uiPriority w:val="99"/>
    <w:semiHidden/>
    <w:unhideWhenUsed/>
    <w:rsid w:val="00C55505"/>
    <w:rPr>
      <w:sz w:val="20"/>
    </w:rPr>
  </w:style>
  <w:style w:type="character" w:customStyle="1" w:styleId="CommentTextChar">
    <w:name w:val="Comment Text Char"/>
    <w:basedOn w:val="DefaultParagraphFont"/>
    <w:link w:val="CommentText"/>
    <w:uiPriority w:val="99"/>
    <w:semiHidden/>
    <w:rsid w:val="00C55505"/>
    <w:rPr>
      <w:rFonts w:ascii="Times" w:hAnsi="Times"/>
    </w:rPr>
  </w:style>
  <w:style w:type="paragraph" w:styleId="CommentSubject">
    <w:name w:val="annotation subject"/>
    <w:basedOn w:val="CommentText"/>
    <w:next w:val="CommentText"/>
    <w:link w:val="CommentSubjectChar"/>
    <w:semiHidden/>
    <w:unhideWhenUsed/>
    <w:rsid w:val="00C55505"/>
    <w:rPr>
      <w:b/>
      <w:bCs/>
    </w:rPr>
  </w:style>
  <w:style w:type="character" w:customStyle="1" w:styleId="CommentSubjectChar">
    <w:name w:val="Comment Subject Char"/>
    <w:basedOn w:val="CommentTextChar"/>
    <w:link w:val="CommentSubject"/>
    <w:semiHidden/>
    <w:rsid w:val="00C55505"/>
    <w:rPr>
      <w:rFonts w:ascii="Times" w:hAnsi="Times"/>
      <w:b/>
      <w:bCs/>
    </w:rPr>
  </w:style>
  <w:style w:type="character" w:styleId="UnresolvedMention">
    <w:name w:val="Unresolved Mention"/>
    <w:basedOn w:val="DefaultParagraphFont"/>
    <w:uiPriority w:val="99"/>
    <w:semiHidden/>
    <w:unhideWhenUsed/>
    <w:rsid w:val="00907F0D"/>
    <w:rPr>
      <w:color w:val="605E5C"/>
      <w:shd w:val="clear" w:color="auto" w:fill="E1DFDD"/>
    </w:rPr>
  </w:style>
  <w:style w:type="paragraph" w:styleId="Revision">
    <w:name w:val="Revision"/>
    <w:hidden/>
    <w:uiPriority w:val="99"/>
    <w:semiHidden/>
    <w:rsid w:val="000B4206"/>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pg27@cam.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C793A-E348-4985-9026-76A5C3AB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47</Pages>
  <Words>48067</Words>
  <Characters>273982</Characters>
  <Application>Microsoft Office Word</Application>
  <DocSecurity>0</DocSecurity>
  <Lines>2283</Lines>
  <Paragraphs>642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321407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Evelyna Wang</dc:creator>
  <cp:keywords/>
  <cp:lastModifiedBy>Evelyna Wang</cp:lastModifiedBy>
  <cp:revision>5</cp:revision>
  <cp:lastPrinted>2008-06-11T21:33:00Z</cp:lastPrinted>
  <dcterms:created xsi:type="dcterms:W3CDTF">2021-11-30T22:16:00Z</dcterms:created>
  <dcterms:modified xsi:type="dcterms:W3CDTF">2021-11-30T22:43:00Z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http://www.zotero.org/styles/acs-energy-letters</vt:lpwstr>
  </property>
  <property fmtid="{D5CDD505-2E9C-101B-9397-08002B2CF9AE}" pid="3" name="Mendeley Recent Style Name 0_1">
    <vt:lpwstr>ACS Energy Letters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37cfd055-5a3f-3e57-81ea-bccd7e727068</vt:lpwstr>
  </property>
  <property fmtid="{D5CDD505-2E9C-101B-9397-08002B2CF9AE}" pid="24" name="Mendeley Citation Style_1">
    <vt:lpwstr>http://www.zotero.org/styles/acs-energy-letters</vt:lpwstr>
  </property>
</Properties>
</file>