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BB6D6" w14:textId="2CBDACA9" w:rsidR="00710E21" w:rsidRDefault="00373E28" w:rsidP="00797742">
      <w:pPr>
        <w:spacing w:after="0" w:line="48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H</w:t>
      </w:r>
      <w:r w:rsidRPr="00373E28">
        <w:rPr>
          <w:rFonts w:ascii="Calibri" w:eastAsia="Calibri" w:hAnsi="Calibri" w:cs="Times New Roman"/>
          <w:b/>
          <w:lang w:val="en-US"/>
        </w:rPr>
        <w:t>ypertensive disorders of pregnancy</w:t>
      </w:r>
      <w:r w:rsidR="000A5E46">
        <w:rPr>
          <w:rFonts w:ascii="Calibri" w:eastAsia="Calibri" w:hAnsi="Calibri" w:cs="Times New Roman"/>
          <w:b/>
          <w:lang w:val="en-US"/>
        </w:rPr>
        <w:t>: term and conditions</w:t>
      </w:r>
    </w:p>
    <w:p w14:paraId="1C31800D" w14:textId="77777777" w:rsidR="005B0011" w:rsidRPr="00710E21" w:rsidRDefault="005B0011" w:rsidP="00797742">
      <w:pPr>
        <w:spacing w:after="0" w:line="480" w:lineRule="auto"/>
        <w:rPr>
          <w:rFonts w:ascii="Calibri" w:eastAsia="Calibri" w:hAnsi="Calibri" w:cs="Times New Roman"/>
          <w:b/>
          <w:lang w:val="en-US"/>
        </w:rPr>
      </w:pPr>
    </w:p>
    <w:p w14:paraId="1CC2028A" w14:textId="77777777" w:rsidR="00710E21" w:rsidRPr="00710E21" w:rsidRDefault="00710E21" w:rsidP="00797742">
      <w:pPr>
        <w:spacing w:after="0" w:line="480" w:lineRule="auto"/>
        <w:jc w:val="both"/>
        <w:rPr>
          <w:rFonts w:ascii="Calibri" w:eastAsia="Calibri" w:hAnsi="Calibri" w:cs="Times New Roman"/>
          <w:lang w:val="en-US"/>
        </w:rPr>
      </w:pPr>
      <w:r w:rsidRPr="00710E21">
        <w:rPr>
          <w:rFonts w:ascii="Calibri" w:eastAsia="Calibri" w:hAnsi="Calibri" w:cs="Times New Roman"/>
          <w:lang w:val="en-US"/>
        </w:rPr>
        <w:t xml:space="preserve">Prof Gordon C.S. Smith, </w:t>
      </w:r>
      <w:r w:rsidRPr="00710E21">
        <w:rPr>
          <w:rFonts w:ascii="Calibri" w:eastAsia="Calibri" w:hAnsi="Calibri" w:cs="Times New Roman"/>
          <w:sz w:val="16"/>
          <w:lang w:val="en-US"/>
        </w:rPr>
        <w:t>DSc, FMedSci</w:t>
      </w:r>
      <w:r w:rsidRPr="00710E21">
        <w:rPr>
          <w:rFonts w:ascii="Calibri" w:eastAsia="Calibri" w:hAnsi="Calibri" w:cs="Times New Roman"/>
          <w:lang w:val="en-US"/>
        </w:rPr>
        <w:t>.</w:t>
      </w:r>
      <w:r w:rsidRPr="00710E21">
        <w:rPr>
          <w:rFonts w:ascii="Calibri" w:eastAsia="Calibri" w:hAnsi="Calibri" w:cs="Times New Roman"/>
          <w:vertAlign w:val="superscript"/>
          <w:lang w:val="en-US"/>
        </w:rPr>
        <w:t>1</w:t>
      </w:r>
      <w:r w:rsidRPr="00710E21">
        <w:rPr>
          <w:rFonts w:ascii="Calibri" w:eastAsia="Calibri" w:hAnsi="Calibri" w:cs="Times New Roman"/>
          <w:lang w:val="en-US"/>
        </w:rPr>
        <w:t xml:space="preserve"> Professor of Obstetrics &amp; Gynaecology.</w:t>
      </w:r>
    </w:p>
    <w:p w14:paraId="59E836F5" w14:textId="77777777" w:rsidR="00710E21" w:rsidRPr="00710E21" w:rsidRDefault="00710E21" w:rsidP="00797742">
      <w:pPr>
        <w:spacing w:after="0" w:line="480" w:lineRule="auto"/>
        <w:jc w:val="both"/>
        <w:rPr>
          <w:rFonts w:ascii="Calibri" w:eastAsia="Calibri" w:hAnsi="Calibri" w:cs="Times New Roman"/>
          <w:lang w:val="en-US"/>
        </w:rPr>
      </w:pPr>
    </w:p>
    <w:p w14:paraId="3C913224" w14:textId="7002220F" w:rsidR="00710E21" w:rsidRPr="00710E21" w:rsidRDefault="00710E21" w:rsidP="00797742">
      <w:pPr>
        <w:spacing w:after="0" w:line="480" w:lineRule="auto"/>
        <w:jc w:val="both"/>
        <w:rPr>
          <w:rFonts w:ascii="Calibri" w:eastAsia="Calibri" w:hAnsi="Calibri" w:cs="Times New Roman"/>
          <w:lang w:val="en-US"/>
        </w:rPr>
      </w:pPr>
      <w:r w:rsidRPr="00710E21">
        <w:rPr>
          <w:rFonts w:ascii="Calibri" w:eastAsia="Calibri" w:hAnsi="Calibri" w:cs="Times New Roman"/>
          <w:vertAlign w:val="superscript"/>
          <w:lang w:val="en-US"/>
        </w:rPr>
        <w:t>1</w:t>
      </w:r>
      <w:r w:rsidRPr="00710E21">
        <w:rPr>
          <w:rFonts w:ascii="Calibri" w:eastAsia="Calibri" w:hAnsi="Calibri" w:cs="Times New Roman"/>
          <w:lang w:val="en-US"/>
        </w:rPr>
        <w:t>Department of Obstetrics and Gynaecology, University of Cambridge</w:t>
      </w:r>
      <w:r w:rsidR="001167BE">
        <w:rPr>
          <w:rFonts w:ascii="Calibri" w:eastAsia="Calibri" w:hAnsi="Calibri" w:cs="Times New Roman"/>
          <w:lang w:val="en-US"/>
        </w:rPr>
        <w:t>,</w:t>
      </w:r>
      <w:r w:rsidRPr="00710E21">
        <w:rPr>
          <w:rFonts w:ascii="Calibri" w:eastAsia="Calibri" w:hAnsi="Calibri" w:cs="Times New Roman"/>
          <w:lang w:val="en-US"/>
        </w:rPr>
        <w:t xml:space="preserve"> NIHR Cambridge Biomedical Research Centre, Cambridge, CB2 0SW, UK. </w:t>
      </w:r>
    </w:p>
    <w:p w14:paraId="293D6074" w14:textId="77777777" w:rsidR="00710E21" w:rsidRPr="00710E21" w:rsidRDefault="00710E21" w:rsidP="00797742">
      <w:pPr>
        <w:spacing w:after="0" w:line="480" w:lineRule="auto"/>
        <w:jc w:val="both"/>
        <w:rPr>
          <w:rFonts w:ascii="Calibri" w:eastAsia="Calibri" w:hAnsi="Calibri" w:cs="Times New Roman"/>
          <w:b/>
          <w:lang w:val="en-US"/>
        </w:rPr>
      </w:pPr>
    </w:p>
    <w:p w14:paraId="32A9FFA8" w14:textId="77777777" w:rsidR="00710E21" w:rsidRPr="00710E21" w:rsidRDefault="00710E21" w:rsidP="00797742">
      <w:pPr>
        <w:spacing w:after="0" w:line="480" w:lineRule="auto"/>
        <w:jc w:val="both"/>
        <w:rPr>
          <w:rFonts w:ascii="Calibri" w:eastAsia="Calibri" w:hAnsi="Calibri" w:cs="Times New Roman"/>
          <w:b/>
          <w:lang w:val="en-US"/>
        </w:rPr>
      </w:pPr>
      <w:r w:rsidRPr="00710E21">
        <w:rPr>
          <w:rFonts w:ascii="Calibri" w:eastAsia="Calibri" w:hAnsi="Calibri" w:cs="Times New Roman"/>
          <w:b/>
          <w:lang w:val="en-US"/>
        </w:rPr>
        <w:t xml:space="preserve">Correspondence to: </w:t>
      </w:r>
    </w:p>
    <w:p w14:paraId="3EC1AEBE" w14:textId="12047006" w:rsidR="00710E21" w:rsidRDefault="00710E21" w:rsidP="00797742">
      <w:pPr>
        <w:spacing w:after="0" w:line="480" w:lineRule="auto"/>
        <w:jc w:val="both"/>
        <w:rPr>
          <w:rFonts w:ascii="Calibri" w:eastAsia="Calibri" w:hAnsi="Calibri" w:cs="Times New Roman"/>
          <w:lang w:val="en-US"/>
        </w:rPr>
      </w:pPr>
      <w:r w:rsidRPr="00710E21">
        <w:rPr>
          <w:rFonts w:ascii="Calibri" w:eastAsia="Calibri" w:hAnsi="Calibri" w:cs="Times New Roman"/>
          <w:lang w:val="en-US"/>
        </w:rPr>
        <w:t xml:space="preserve">Prof GCS Smith, Department of Obstetrics and Gynaecology, University of Cambridge, Box 223 The Rosie Hospital, Cambridge, CB2 2SW, UK. </w:t>
      </w:r>
    </w:p>
    <w:p w14:paraId="4F4A3F51" w14:textId="77777777" w:rsidR="001167BE" w:rsidRPr="00710E21" w:rsidRDefault="001167BE" w:rsidP="00797742">
      <w:pPr>
        <w:spacing w:after="0" w:line="480" w:lineRule="auto"/>
        <w:jc w:val="both"/>
        <w:rPr>
          <w:rFonts w:ascii="Calibri" w:eastAsia="Calibri" w:hAnsi="Calibri" w:cs="Times New Roman"/>
          <w:lang w:val="en-US"/>
        </w:rPr>
      </w:pPr>
    </w:p>
    <w:p w14:paraId="27597947" w14:textId="77777777" w:rsidR="00710E21" w:rsidRPr="00710E21" w:rsidRDefault="00710E21" w:rsidP="00797742">
      <w:pPr>
        <w:spacing w:after="0" w:line="480" w:lineRule="auto"/>
        <w:jc w:val="both"/>
        <w:rPr>
          <w:rFonts w:ascii="Calibri" w:eastAsia="Calibri" w:hAnsi="Calibri" w:cs="Times New Roman"/>
          <w:lang w:val="en-US"/>
        </w:rPr>
      </w:pPr>
      <w:r w:rsidRPr="00710E21">
        <w:rPr>
          <w:rFonts w:ascii="Calibri" w:eastAsia="Calibri" w:hAnsi="Calibri" w:cs="Times New Roman"/>
          <w:lang w:val="en-US"/>
        </w:rPr>
        <w:t xml:space="preserve">Tel: +44 (0)1223 336871, Fax: +44 (0)1223 215327, E-mail: </w:t>
      </w:r>
      <w:hyperlink r:id="rId9" w:history="1">
        <w:r w:rsidRPr="00710E21">
          <w:rPr>
            <w:rFonts w:ascii="Calibri" w:eastAsia="Calibri" w:hAnsi="Calibri" w:cs="Times New Roman"/>
            <w:color w:val="0000FF"/>
            <w:u w:val="single"/>
            <w:lang w:val="en-US"/>
          </w:rPr>
          <w:t>gcss2@cam.ac.uk</w:t>
        </w:r>
      </w:hyperlink>
    </w:p>
    <w:p w14:paraId="2E8E72DC" w14:textId="38806FB7" w:rsidR="007918BC" w:rsidRDefault="007918BC" w:rsidP="00797742">
      <w:pPr>
        <w:spacing w:after="0" w:line="480" w:lineRule="auto"/>
      </w:pPr>
    </w:p>
    <w:p w14:paraId="1C92A2F6" w14:textId="77777777" w:rsidR="005B0011" w:rsidRDefault="005B0011" w:rsidP="00797742">
      <w:pPr>
        <w:spacing w:after="0" w:line="480" w:lineRule="auto"/>
      </w:pPr>
    </w:p>
    <w:p w14:paraId="68D914A7" w14:textId="77777777" w:rsidR="005B0011" w:rsidRDefault="005B0011" w:rsidP="00797742">
      <w:pPr>
        <w:spacing w:after="0" w:line="480" w:lineRule="auto"/>
      </w:pPr>
      <w:r>
        <w:lastRenderedPageBreak/>
        <w:br w:type="page"/>
      </w:r>
    </w:p>
    <w:p w14:paraId="49CA9ED4" w14:textId="2A4758E5" w:rsidR="000A5E46" w:rsidRDefault="00373E28" w:rsidP="00797742">
      <w:pPr>
        <w:spacing w:after="0" w:line="480" w:lineRule="auto"/>
      </w:pPr>
      <w:r>
        <w:lastRenderedPageBreak/>
        <w:t xml:space="preserve">Hypertensive disorders of pregnancy (HDP) are </w:t>
      </w:r>
      <w:r w:rsidR="000A5E46">
        <w:t xml:space="preserve">a significant cause of maternal morbidity and </w:t>
      </w:r>
      <w:r w:rsidR="00176887">
        <w:t>mortality. Prophylactic low dose a</w:t>
      </w:r>
      <w:r w:rsidR="000A5E46">
        <w:t xml:space="preserve">spirin </w:t>
      </w:r>
      <w:r w:rsidR="00176887">
        <w:t>reduces the risk of</w:t>
      </w:r>
      <w:r w:rsidR="000A5E46">
        <w:t xml:space="preserve"> preterm </w:t>
      </w:r>
      <w:r>
        <w:t>preeclampsia</w:t>
      </w:r>
      <w:r w:rsidR="000A5E46">
        <w:t xml:space="preserve"> but </w:t>
      </w:r>
      <w:r w:rsidR="00176887">
        <w:t>does not prevent</w:t>
      </w:r>
      <w:r w:rsidR="000A5E46">
        <w:t xml:space="preserve"> disease at term</w:t>
      </w:r>
      <w:r w:rsidR="00EF7EC7">
        <w:t xml:space="preserve"> (Rolnik et al. </w:t>
      </w:r>
      <w:r w:rsidR="00EF7EC7" w:rsidRPr="00EF7EC7">
        <w:rPr>
          <w:i/>
        </w:rPr>
        <w:t>N Engl J Med</w:t>
      </w:r>
      <w:r w:rsidR="00EF7EC7">
        <w:t xml:space="preserve"> 2017;377:613-22)</w:t>
      </w:r>
      <w:r w:rsidR="000A5E46">
        <w:t xml:space="preserve">. The ultimate – and unsophisticated – </w:t>
      </w:r>
      <w:r w:rsidR="002B5FBC">
        <w:t>“</w:t>
      </w:r>
      <w:r w:rsidR="000A5E46">
        <w:t>cure</w:t>
      </w:r>
      <w:r w:rsidR="002B5FBC">
        <w:t>”</w:t>
      </w:r>
      <w:r w:rsidR="000A5E46">
        <w:t xml:space="preserve"> for preeclampsia is delivery. In the context of preterm disease, there is a balancing act between the protective effect of delivery on the mother versus the potential adverse effect of exposing the infant to the major determinant of neonatal morbidity, namely, prematurity.</w:t>
      </w:r>
      <w:r w:rsidR="005F6EAC">
        <w:t xml:space="preserve"> However, for disease at term, delivery reduc</w:t>
      </w:r>
      <w:r w:rsidR="00176887">
        <w:t>es</w:t>
      </w:r>
      <w:r w:rsidR="005F6EAC">
        <w:t xml:space="preserve"> risks to the mother and is much more benign for the infant, particularly if effected at 39 weeks </w:t>
      </w:r>
      <w:r w:rsidR="00196010">
        <w:t xml:space="preserve">of gestational age (wkGA) </w:t>
      </w:r>
      <w:r w:rsidR="005F6EAC">
        <w:t xml:space="preserve">or later. Hence, the low hanging fruit </w:t>
      </w:r>
      <w:r w:rsidR="002B5FBC">
        <w:t>in</w:t>
      </w:r>
      <w:r w:rsidR="002B5FBC" w:rsidRPr="002B5FBC">
        <w:t xml:space="preserve"> </w:t>
      </w:r>
      <w:r w:rsidR="00196010">
        <w:t xml:space="preserve">screening and prevention </w:t>
      </w:r>
      <w:r>
        <w:t xml:space="preserve">of HDP </w:t>
      </w:r>
      <w:r w:rsidR="002B5FBC">
        <w:t>is disease manifesting</w:t>
      </w:r>
      <w:r w:rsidR="00D66B80">
        <w:t xml:space="preserve"> </w:t>
      </w:r>
      <w:r w:rsidR="005F6EAC">
        <w:t>at term</w:t>
      </w:r>
      <w:r w:rsidR="00EF7EC7">
        <w:t xml:space="preserve"> (Smith GCS. </w:t>
      </w:r>
      <w:r w:rsidR="00EF7EC7" w:rsidRPr="00EF7EC7">
        <w:rPr>
          <w:i/>
        </w:rPr>
        <w:t>PLoS Med</w:t>
      </w:r>
      <w:r w:rsidR="00EF7EC7">
        <w:t xml:space="preserve"> 2012;9:e1001274)</w:t>
      </w:r>
      <w:r w:rsidR="005F6EAC">
        <w:t>.</w:t>
      </w:r>
    </w:p>
    <w:p w14:paraId="45EC54B8" w14:textId="167AEE23" w:rsidR="005F6EAC" w:rsidRDefault="005F6EAC" w:rsidP="00797742">
      <w:pPr>
        <w:spacing w:after="0" w:line="480" w:lineRule="auto"/>
      </w:pPr>
    </w:p>
    <w:p w14:paraId="41276B08" w14:textId="6915696E" w:rsidR="0020681A" w:rsidRDefault="005F6EAC" w:rsidP="00797742">
      <w:pPr>
        <w:spacing w:after="0" w:line="480" w:lineRule="auto"/>
      </w:pPr>
      <w:r>
        <w:lastRenderedPageBreak/>
        <w:t xml:space="preserve">A </w:t>
      </w:r>
      <w:r w:rsidR="00D66B80">
        <w:t xml:space="preserve">potential </w:t>
      </w:r>
      <w:r>
        <w:t xml:space="preserve">criticism </w:t>
      </w:r>
      <w:r w:rsidR="00D66B80">
        <w:t>of this approach</w:t>
      </w:r>
      <w:r>
        <w:t xml:space="preserve"> </w:t>
      </w:r>
      <w:r w:rsidR="00D66B80">
        <w:t xml:space="preserve">is that </w:t>
      </w:r>
      <w:r w:rsidR="002B5FBC">
        <w:t>HDP occurring at term are</w:t>
      </w:r>
      <w:r>
        <w:t xml:space="preserve"> </w:t>
      </w:r>
      <w:r w:rsidR="002B5FBC">
        <w:t xml:space="preserve">relatively </w:t>
      </w:r>
      <w:r>
        <w:t>benign and not associated with significant risks</w:t>
      </w:r>
      <w:r w:rsidR="00D66B80">
        <w:t>, a</w:t>
      </w:r>
      <w:r>
        <w:t xml:space="preserve"> question addressed by this secondary analysis of the ARRIVE trial</w:t>
      </w:r>
      <w:r w:rsidR="00EF7EC7">
        <w:t>. The main study reported a reduced risk of HDP with routine induction of labour at 39wkGA (</w:t>
      </w:r>
      <w:r w:rsidR="00EF7EC7" w:rsidRPr="00EF7EC7">
        <w:t>Grobman WA</w:t>
      </w:r>
      <w:r w:rsidR="00EF7EC7">
        <w:t xml:space="preserve"> et al</w:t>
      </w:r>
      <w:r w:rsidR="00EF7EC7" w:rsidRPr="00EF7EC7">
        <w:t xml:space="preserve">. </w:t>
      </w:r>
      <w:r w:rsidR="00EF7EC7" w:rsidRPr="00EF7EC7">
        <w:rPr>
          <w:i/>
        </w:rPr>
        <w:t>N Engl J Med</w:t>
      </w:r>
      <w:r w:rsidR="00EF7EC7">
        <w:t xml:space="preserve"> 2018;379:513-23)</w:t>
      </w:r>
      <w:r>
        <w:t xml:space="preserve">. </w:t>
      </w:r>
      <w:r w:rsidR="00EF7EC7">
        <w:t>T</w:t>
      </w:r>
      <w:r w:rsidR="00972B61">
        <w:t>he current analysis</w:t>
      </w:r>
      <w:r w:rsidR="00196010">
        <w:t xml:space="preserve"> studied the control group </w:t>
      </w:r>
      <w:r w:rsidR="00D66B80">
        <w:t>(expectant management),</w:t>
      </w:r>
      <w:r w:rsidR="00196010">
        <w:t xml:space="preserve"> </w:t>
      </w:r>
      <w:r>
        <w:t xml:space="preserve">compared maternal and offspring outcomes </w:t>
      </w:r>
      <w:r w:rsidR="00196010">
        <w:t>in</w:t>
      </w:r>
      <w:r>
        <w:t xml:space="preserve"> women </w:t>
      </w:r>
      <w:r w:rsidR="00196010">
        <w:t>with</w:t>
      </w:r>
      <w:r>
        <w:t xml:space="preserve"> </w:t>
      </w:r>
      <w:r w:rsidR="00196010">
        <w:t xml:space="preserve">and without </w:t>
      </w:r>
      <w:r w:rsidR="00D66B80">
        <w:t xml:space="preserve">HDP, and found that </w:t>
      </w:r>
      <w:r w:rsidR="00373E28">
        <w:t xml:space="preserve">diagnosis of an </w:t>
      </w:r>
      <w:r w:rsidR="00D66B80">
        <w:t>HDP was associated with</w:t>
      </w:r>
      <w:r>
        <w:t xml:space="preserve"> </w:t>
      </w:r>
      <w:r w:rsidR="00D66B80">
        <w:t>an</w:t>
      </w:r>
      <w:r w:rsidR="0051529C">
        <w:t xml:space="preserve"> 84% increased risk of their primary</w:t>
      </w:r>
      <w:r w:rsidR="00460835">
        <w:t xml:space="preserve"> maternal morbidity</w:t>
      </w:r>
      <w:r w:rsidR="0051529C">
        <w:t xml:space="preserve"> outcome</w:t>
      </w:r>
      <w:r w:rsidR="00932719">
        <w:t>,</w:t>
      </w:r>
      <w:r w:rsidR="00D66B80">
        <w:t xml:space="preserve"> </w:t>
      </w:r>
      <w:r w:rsidR="0051529C">
        <w:t>a 32% increase in the odds of caesarean delivery</w:t>
      </w:r>
      <w:r w:rsidR="00932719">
        <w:t>, but no significant difference in outcome for the infant</w:t>
      </w:r>
      <w:r w:rsidR="0051529C">
        <w:t xml:space="preserve">. </w:t>
      </w:r>
      <w:r w:rsidR="0020681A">
        <w:t>The findings suggest that prevent</w:t>
      </w:r>
      <w:r w:rsidR="00D66B80">
        <w:t>ing</w:t>
      </w:r>
      <w:r w:rsidR="0020681A">
        <w:t xml:space="preserve"> HDP </w:t>
      </w:r>
      <w:r w:rsidR="00D66B80">
        <w:t xml:space="preserve">at term </w:t>
      </w:r>
      <w:r w:rsidR="0020681A">
        <w:t>may reduce maternal morbidity.</w:t>
      </w:r>
      <w:r w:rsidR="00460835">
        <w:t xml:space="preserve"> </w:t>
      </w:r>
    </w:p>
    <w:p w14:paraId="1A2C2503" w14:textId="77777777" w:rsidR="0020681A" w:rsidRDefault="0020681A" w:rsidP="00797742">
      <w:pPr>
        <w:spacing w:after="0" w:line="480" w:lineRule="auto"/>
      </w:pPr>
    </w:p>
    <w:p w14:paraId="47DCFD91" w14:textId="461A89CA" w:rsidR="00A546C5" w:rsidRDefault="00460835" w:rsidP="00797742">
      <w:pPr>
        <w:spacing w:after="0" w:line="480" w:lineRule="auto"/>
      </w:pPr>
      <w:r>
        <w:t>A caveat when interpreting the current study is its ex</w:t>
      </w:r>
      <w:r w:rsidR="00D66B80">
        <w:t>ternal validity. The median maternal age</w:t>
      </w:r>
      <w:r>
        <w:t xml:space="preserve"> </w:t>
      </w:r>
      <w:r w:rsidR="00D66B80">
        <w:t>was</w:t>
      </w:r>
      <w:r>
        <w:t xml:space="preserve"> &lt;25 years, about half of the women were unemployed and the majority were obese. </w:t>
      </w:r>
      <w:r w:rsidR="0020681A">
        <w:t>A further caveat is that t</w:t>
      </w:r>
      <w:r w:rsidR="0051529C">
        <w:t xml:space="preserve">he study was </w:t>
      </w:r>
      <w:r w:rsidR="00972B61">
        <w:t>underpowered</w:t>
      </w:r>
      <w:r w:rsidR="0051529C">
        <w:t xml:space="preserve"> to address </w:t>
      </w:r>
      <w:r w:rsidR="0051529C">
        <w:lastRenderedPageBreak/>
        <w:t xml:space="preserve">the rare but most severe sequelae of HDP. However, a previous </w:t>
      </w:r>
      <w:r w:rsidR="00D66B80">
        <w:t>analysis</w:t>
      </w:r>
      <w:r w:rsidR="0051529C">
        <w:t xml:space="preserve"> of Australian data</w:t>
      </w:r>
      <w:r w:rsidR="00EF7EC7">
        <w:t xml:space="preserve"> (Thornton C et al. </w:t>
      </w:r>
      <w:r w:rsidR="00EF7EC7" w:rsidRPr="00EF7EC7">
        <w:rPr>
          <w:i/>
        </w:rPr>
        <w:t>Am J Obstet Gynecol</w:t>
      </w:r>
      <w:r w:rsidR="00EF7EC7">
        <w:t xml:space="preserve"> 2013;208:476 e1-5) </w:t>
      </w:r>
      <w:r w:rsidR="0051529C">
        <w:t>demonstrated that the mean gestational age of delivery among women with eclampsia, one of the most severe sequelae of HDP, was 37.6 weeks</w:t>
      </w:r>
      <w:r w:rsidR="00373E28">
        <w:t>.</w:t>
      </w:r>
      <w:r w:rsidR="00932719">
        <w:t xml:space="preserve"> </w:t>
      </w:r>
      <w:r w:rsidR="00373E28">
        <w:t xml:space="preserve">As </w:t>
      </w:r>
      <w:r w:rsidR="0051529C">
        <w:t>the median gestational age will be higher</w:t>
      </w:r>
      <w:r w:rsidR="0006068C">
        <w:t xml:space="preserve">, </w:t>
      </w:r>
      <w:r w:rsidR="0051529C">
        <w:t>the majority of cases of eclampsia occur at term.</w:t>
      </w:r>
      <w:r w:rsidR="00D66B80">
        <w:t xml:space="preserve"> </w:t>
      </w:r>
      <w:r w:rsidR="0006068C">
        <w:t>Consequently</w:t>
      </w:r>
      <w:r w:rsidR="00D66B80">
        <w:t xml:space="preserve">, </w:t>
      </w:r>
      <w:r w:rsidR="0020681A">
        <w:t>prevent</w:t>
      </w:r>
      <w:r w:rsidR="00D66B80">
        <w:t>ing</w:t>
      </w:r>
      <w:r w:rsidR="0020681A">
        <w:t xml:space="preserve"> term HDP may </w:t>
      </w:r>
      <w:r w:rsidR="002B5FBC">
        <w:t>also prevent some of the most severe maternal sequelae of HDP</w:t>
      </w:r>
      <w:r w:rsidR="0051529C">
        <w:t xml:space="preserve">. </w:t>
      </w:r>
    </w:p>
    <w:p w14:paraId="70DCACA3" w14:textId="77777777" w:rsidR="00A546C5" w:rsidRDefault="00A546C5" w:rsidP="00797742">
      <w:pPr>
        <w:spacing w:after="0" w:line="480" w:lineRule="auto"/>
      </w:pPr>
    </w:p>
    <w:p w14:paraId="76F40E3C" w14:textId="646921F2" w:rsidR="00797742" w:rsidRDefault="0020681A" w:rsidP="00797742">
      <w:pPr>
        <w:spacing w:after="0" w:line="480" w:lineRule="auto"/>
      </w:pPr>
      <w:r>
        <w:t xml:space="preserve">A more attractive approach than </w:t>
      </w:r>
      <w:r w:rsidR="00932719">
        <w:t xml:space="preserve">routine </w:t>
      </w:r>
      <w:r>
        <w:t xml:space="preserve">induction </w:t>
      </w:r>
      <w:r w:rsidR="0006068C">
        <w:t>at 39</w:t>
      </w:r>
      <w:r w:rsidR="00932719">
        <w:t>wkGA</w:t>
      </w:r>
      <w:r w:rsidR="0006068C">
        <w:t xml:space="preserve"> </w:t>
      </w:r>
      <w:r w:rsidR="00D66B80">
        <w:t>would</w:t>
      </w:r>
      <w:r>
        <w:t xml:space="preserve"> be to target the intervention to the </w:t>
      </w:r>
      <w:r w:rsidR="0051529C">
        <w:t>women at highest risk.</w:t>
      </w:r>
      <w:r w:rsidR="00D66B80">
        <w:t xml:space="preserve"> </w:t>
      </w:r>
      <w:r w:rsidR="002B5FBC">
        <w:t>Currently, we screen women for complications near term using abdominal palpation, measurement of the symphyseal-</w:t>
      </w:r>
      <w:r w:rsidR="00F62665">
        <w:t>fundal, measuring the blood pressure and performing urinalysis, an approach that would be recognised by obstetricians practicing 40 years ago.</w:t>
      </w:r>
      <w:r w:rsidR="00A546C5">
        <w:t xml:space="preserve"> The 21</w:t>
      </w:r>
      <w:r w:rsidR="00A546C5" w:rsidRPr="00A546C5">
        <w:rPr>
          <w:vertAlign w:val="superscript"/>
        </w:rPr>
        <w:t>st</w:t>
      </w:r>
      <w:r w:rsidR="00A546C5">
        <w:t xml:space="preserve"> Century has seen incredible development of t</w:t>
      </w:r>
      <w:r w:rsidR="00A546C5" w:rsidRPr="00A546C5">
        <w:t xml:space="preserve">echnology platforms </w:t>
      </w:r>
      <w:r w:rsidR="00A546C5">
        <w:t xml:space="preserve">(“omics”) </w:t>
      </w:r>
      <w:r w:rsidR="00A546C5" w:rsidRPr="00A546C5">
        <w:t xml:space="preserve">which analyse the </w:t>
      </w:r>
      <w:r w:rsidR="00A546C5">
        <w:t xml:space="preserve">composition </w:t>
      </w:r>
      <w:r w:rsidR="00A546C5" w:rsidRPr="00A546C5">
        <w:t>of a given category of molecule</w:t>
      </w:r>
      <w:r w:rsidR="00373E28">
        <w:t>s</w:t>
      </w:r>
      <w:r w:rsidR="00A546C5" w:rsidRPr="00A546C5">
        <w:t xml:space="preserve"> </w:t>
      </w:r>
      <w:r w:rsidR="00A546C5">
        <w:t>(DNA, RNA, protein, metabolites etc)</w:t>
      </w:r>
      <w:r w:rsidR="0006068C">
        <w:t xml:space="preserve"> </w:t>
      </w:r>
      <w:r w:rsidR="0006068C">
        <w:lastRenderedPageBreak/>
        <w:t xml:space="preserve">in </w:t>
      </w:r>
      <w:r w:rsidR="00932719">
        <w:t>biological samples</w:t>
      </w:r>
      <w:r w:rsidR="00A546C5">
        <w:t xml:space="preserve">. </w:t>
      </w:r>
      <w:r w:rsidR="00F62665">
        <w:t xml:space="preserve"> </w:t>
      </w:r>
      <w:r w:rsidR="004B1AF2">
        <w:t xml:space="preserve">There is huge potential for harnessing the power of </w:t>
      </w:r>
      <w:r w:rsidR="00A546C5">
        <w:t>these</w:t>
      </w:r>
      <w:r w:rsidR="00F62665">
        <w:t xml:space="preserve"> methods </w:t>
      </w:r>
      <w:r w:rsidR="00A546C5">
        <w:t>to develop enhanced predictive tests for</w:t>
      </w:r>
      <w:r w:rsidR="00F62665">
        <w:t xml:space="preserve"> HDP and other determinants</w:t>
      </w:r>
      <w:r>
        <w:t xml:space="preserve"> of both maternal and perinatal morbidity at term</w:t>
      </w:r>
      <w:r w:rsidR="00EF7EC7">
        <w:t xml:space="preserve"> (Smith GCS. </w:t>
      </w:r>
      <w:r w:rsidR="00EF7EC7" w:rsidRPr="00EF7EC7">
        <w:rPr>
          <w:i/>
        </w:rPr>
        <w:t>Trends Mol Med</w:t>
      </w:r>
      <w:r w:rsidR="00EF7EC7">
        <w:t xml:space="preserve"> 2021;27:743-52)</w:t>
      </w:r>
      <w:r w:rsidR="00A546C5">
        <w:t>. Better predictive tools</w:t>
      </w:r>
      <w:r>
        <w:t xml:space="preserve"> could facilitate stratified antenatal care, targeting the useful intervention of induction of labour to the mothers and infants who will benefit most.</w:t>
      </w:r>
    </w:p>
    <w:p w14:paraId="2B333955" w14:textId="77777777" w:rsidR="00EF7EC7" w:rsidRDefault="00EF7EC7" w:rsidP="00797742">
      <w:pPr>
        <w:spacing w:after="0" w:line="480" w:lineRule="auto"/>
      </w:pPr>
    </w:p>
    <w:p w14:paraId="1C656891" w14:textId="7C421D4F" w:rsidR="00EF7EC7" w:rsidRDefault="00EF7EC7" w:rsidP="00797742">
      <w:pPr>
        <w:spacing w:after="0" w:line="480" w:lineRule="auto"/>
      </w:pPr>
      <w:r w:rsidRPr="00EF7EC7">
        <w:rPr>
          <w:b/>
        </w:rPr>
        <w:t>Disclosure of interests</w:t>
      </w:r>
      <w:r w:rsidR="00233FBB">
        <w:rPr>
          <w:b/>
        </w:rPr>
        <w:t xml:space="preserve">: </w:t>
      </w:r>
      <w:r w:rsidR="00561C66">
        <w:t xml:space="preserve">Within the area of the work: none. Outside the area of the work: </w:t>
      </w:r>
      <w:r w:rsidRPr="00EF7EC7">
        <w:t xml:space="preserve">GS has received research support from Roche Diagnostics Ltd, GSK, Illumina and Sera Prognostics (fetal growth restriction, preeclampsia and preterm birth). GS’s department has received payment from Roche for a talk given by GS (fetal growth restriction). GS has been a paid consultant to GSK (preterm birth) and is a member of a Data Monitoring Committee for GSK trials of RSV vaccination in pregnancy. GS is one of three named inventors on a patent application (PCT/GB2020/053312) filed by </w:t>
      </w:r>
      <w:r w:rsidRPr="00EF7EC7">
        <w:lastRenderedPageBreak/>
        <w:t>Cambridge Enterprise for novel predictive test for fetal growth disorder.</w:t>
      </w:r>
      <w:r>
        <w:t xml:space="preserve"> GS has current or recent grant support from the MRC, NIHR, &amp; Wellcome Trust.</w:t>
      </w:r>
    </w:p>
    <w:p w14:paraId="7219608C" w14:textId="414CC366" w:rsidR="00EF7EC7" w:rsidRDefault="00EF7EC7" w:rsidP="00797742">
      <w:pPr>
        <w:spacing w:after="0" w:line="480" w:lineRule="auto"/>
      </w:pPr>
    </w:p>
    <w:p w14:paraId="4A50D22B" w14:textId="45382483" w:rsidR="00797742" w:rsidRDefault="00EF7EC7" w:rsidP="00797742">
      <w:pPr>
        <w:spacing w:after="0" w:line="480" w:lineRule="auto"/>
      </w:pPr>
      <w:r>
        <w:rPr>
          <w:b/>
        </w:rPr>
        <w:t>Funding</w:t>
      </w:r>
      <w:r w:rsidR="00233FBB">
        <w:rPr>
          <w:b/>
        </w:rPr>
        <w:t xml:space="preserve">: </w:t>
      </w:r>
      <w:bookmarkStart w:id="0" w:name="_GoBack"/>
      <w:r>
        <w:t>This work was supported by the NIHR Cambridge Biomedical Research Centre</w:t>
      </w:r>
      <w:bookmarkEnd w:id="0"/>
      <w:r>
        <w:t>.</w:t>
      </w:r>
    </w:p>
    <w:sectPr w:rsidR="0079774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E45B" w14:textId="77777777" w:rsidR="00233FBB" w:rsidRDefault="00233FBB" w:rsidP="00233FBB">
      <w:pPr>
        <w:spacing w:after="0" w:line="240" w:lineRule="auto"/>
      </w:pPr>
      <w:r>
        <w:separator/>
      </w:r>
    </w:p>
  </w:endnote>
  <w:endnote w:type="continuationSeparator" w:id="0">
    <w:p w14:paraId="0A9EA125" w14:textId="77777777" w:rsidR="00233FBB" w:rsidRDefault="00233FBB" w:rsidP="0023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2532" w14:textId="77777777" w:rsidR="00233FBB" w:rsidRDefault="00233FBB" w:rsidP="00233FBB">
      <w:pPr>
        <w:spacing w:after="0" w:line="240" w:lineRule="auto"/>
      </w:pPr>
      <w:r>
        <w:separator/>
      </w:r>
    </w:p>
  </w:footnote>
  <w:footnote w:type="continuationSeparator" w:id="0">
    <w:p w14:paraId="76873BFD" w14:textId="77777777" w:rsidR="00233FBB" w:rsidRDefault="00233FBB" w:rsidP="0023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2617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F1FF9B" w14:textId="692564EE" w:rsidR="00233FBB" w:rsidRDefault="00233F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9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05AA7C" w14:textId="77777777" w:rsidR="00233FBB" w:rsidRDefault="00233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s55wt9dafv0medxa8xedxjpr9we5v5xxpp&quot;&gt;gcss-main2&lt;record-ids&gt;&lt;item&gt;4681&lt;/item&gt;&lt;item&gt;5303&lt;/item&gt;&lt;item&gt;10614&lt;/item&gt;&lt;item&gt;16103&lt;/item&gt;&lt;item&gt;16104&lt;/item&gt;&lt;/record-ids&gt;&lt;/item&gt;&lt;/Libraries&gt;"/>
  </w:docVars>
  <w:rsids>
    <w:rsidRoot w:val="00710E21"/>
    <w:rsid w:val="0006068C"/>
    <w:rsid w:val="000A5E46"/>
    <w:rsid w:val="001167BE"/>
    <w:rsid w:val="001530DB"/>
    <w:rsid w:val="00176887"/>
    <w:rsid w:val="00196010"/>
    <w:rsid w:val="0020681A"/>
    <w:rsid w:val="002339C7"/>
    <w:rsid w:val="00233FBB"/>
    <w:rsid w:val="002B5FBC"/>
    <w:rsid w:val="00333F3D"/>
    <w:rsid w:val="00373E28"/>
    <w:rsid w:val="0042276E"/>
    <w:rsid w:val="00460835"/>
    <w:rsid w:val="004B1AF2"/>
    <w:rsid w:val="0051529C"/>
    <w:rsid w:val="00561C66"/>
    <w:rsid w:val="005B0011"/>
    <w:rsid w:val="005D45EB"/>
    <w:rsid w:val="005F6EAC"/>
    <w:rsid w:val="006A1CD3"/>
    <w:rsid w:val="00710E21"/>
    <w:rsid w:val="007918BC"/>
    <w:rsid w:val="00797742"/>
    <w:rsid w:val="00857D0B"/>
    <w:rsid w:val="00932719"/>
    <w:rsid w:val="00965567"/>
    <w:rsid w:val="00972B61"/>
    <w:rsid w:val="00A546C5"/>
    <w:rsid w:val="00A91CB3"/>
    <w:rsid w:val="00D66B80"/>
    <w:rsid w:val="00EF7EC7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9FF6"/>
  <w15:chartTrackingRefBased/>
  <w15:docId w15:val="{66E98B71-AC72-431E-B543-511C5CB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9774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774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9774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97742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BB"/>
  </w:style>
  <w:style w:type="paragraph" w:styleId="Footer">
    <w:name w:val="footer"/>
    <w:basedOn w:val="Normal"/>
    <w:link w:val="FooterChar"/>
    <w:uiPriority w:val="99"/>
    <w:unhideWhenUsed/>
    <w:rsid w:val="0023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css2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9C51FCBAFAE4B997F760AC8E01DEB" ma:contentTypeVersion="14" ma:contentTypeDescription="Create a new document." ma:contentTypeScope="" ma:versionID="2d52d8b440738050e5340396a40f7c02">
  <xsd:schema xmlns:xsd="http://www.w3.org/2001/XMLSchema" xmlns:xs="http://www.w3.org/2001/XMLSchema" xmlns:p="http://schemas.microsoft.com/office/2006/metadata/properties" xmlns:ns3="47c2a002-58d4-43cf-8de5-5da845e91950" xmlns:ns4="d04a64b4-0df4-437a-a3a3-d53812d2a96c" targetNamespace="http://schemas.microsoft.com/office/2006/metadata/properties" ma:root="true" ma:fieldsID="585703e9c45d2828a1ee9922117d1343" ns3:_="" ns4:_="">
    <xsd:import namespace="47c2a002-58d4-43cf-8de5-5da845e91950"/>
    <xsd:import namespace="d04a64b4-0df4-437a-a3a3-d53812d2a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2a002-58d4-43cf-8de5-5da845e91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64b4-0df4-437a-a3a3-d53812d2a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ABA45-48E2-409A-9034-C8E5E442C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DE13F-EFBA-4169-998C-6DBE4BCC0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2a002-58d4-43cf-8de5-5da845e91950"/>
    <ds:schemaRef ds:uri="d04a64b4-0df4-437a-a3a3-d53812d2a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CD98E-7E37-4C48-81D2-FB79BB4F7B2B}">
  <ds:schemaRefs>
    <ds:schemaRef ds:uri="http://schemas.microsoft.com/office/2006/metadata/properties"/>
    <ds:schemaRef ds:uri="d04a64b4-0df4-437a-a3a3-d53812d2a96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7c2a002-58d4-43cf-8de5-5da845e91950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Smith</dc:creator>
  <cp:keywords/>
  <dc:description/>
  <cp:lastModifiedBy>PA to HoD Obs &amp; Gynae</cp:lastModifiedBy>
  <cp:revision>2</cp:revision>
  <dcterms:created xsi:type="dcterms:W3CDTF">2021-12-29T12:55:00Z</dcterms:created>
  <dcterms:modified xsi:type="dcterms:W3CDTF">2021-12-29T12:55:00Z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0x010100E1F9C51FCBAFAE4B997F760AC8E01DEB</vt:lpwstr>
  </property>
</Properties>
</file>