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80" w:type="dxa"/>
        <w:tblLook w:val="04A0" w:firstRow="1" w:lastRow="0" w:firstColumn="1" w:lastColumn="0" w:noHBand="0" w:noVBand="1"/>
      </w:tblPr>
      <w:tblGrid>
        <w:gridCol w:w="2480"/>
        <w:gridCol w:w="1280"/>
        <w:gridCol w:w="1280"/>
        <w:gridCol w:w="940"/>
        <w:gridCol w:w="940"/>
        <w:gridCol w:w="940"/>
        <w:gridCol w:w="1260"/>
        <w:gridCol w:w="1260"/>
      </w:tblGrid>
      <w:tr w:rsidR="00D37FD5" w:rsidRPr="00D37FD5" w:rsidTr="00D37FD5">
        <w:trPr>
          <w:trHeight w:val="300"/>
        </w:trPr>
        <w:tc>
          <w:tcPr>
            <w:tcW w:w="2480" w:type="dxa"/>
            <w:noWrap/>
            <w:hideMark/>
          </w:tcPr>
          <w:p w:rsidR="00D37FD5" w:rsidRPr="00D37FD5" w:rsidRDefault="00D37FD5" w:rsidP="00D37FD5">
            <w:pPr>
              <w:rPr>
                <w:rFonts w:ascii="Times New Roman" w:eastAsia="Times New Roman" w:hAnsi="Times New Roman" w:cs="Times New Roman"/>
                <w:sz w:val="24"/>
                <w:szCs w:val="24"/>
                <w:lang w:eastAsia="en-GB"/>
              </w:rPr>
            </w:pPr>
            <w:bookmarkStart w:id="0" w:name="_GoBack"/>
            <w:bookmarkEnd w:id="0"/>
          </w:p>
        </w:tc>
        <w:tc>
          <w:tcPr>
            <w:tcW w:w="1280" w:type="dxa"/>
            <w:noWrap/>
            <w:hideMark/>
          </w:tcPr>
          <w:p w:rsidR="00D37FD5" w:rsidRPr="00D37FD5" w:rsidRDefault="00D37FD5" w:rsidP="00D37FD5">
            <w:pPr>
              <w:rPr>
                <w:rFonts w:ascii="Calibri" w:eastAsia="Times New Roman" w:hAnsi="Calibri" w:cs="Calibri"/>
                <w:color w:val="000000"/>
                <w:lang w:eastAsia="en-GB"/>
              </w:rPr>
            </w:pPr>
            <w:r w:rsidRPr="00D37FD5">
              <w:rPr>
                <w:rFonts w:ascii="Calibri" w:eastAsia="Times New Roman" w:hAnsi="Calibri" w:cs="Calibri"/>
                <w:color w:val="000000"/>
                <w:lang w:eastAsia="en-GB"/>
              </w:rPr>
              <w:t>6.3.18</w:t>
            </w:r>
          </w:p>
        </w:tc>
        <w:tc>
          <w:tcPr>
            <w:tcW w:w="1280" w:type="dxa"/>
            <w:noWrap/>
            <w:hideMark/>
          </w:tcPr>
          <w:p w:rsidR="00D37FD5" w:rsidRPr="00D37FD5" w:rsidRDefault="00D37FD5" w:rsidP="00D37FD5">
            <w:pPr>
              <w:rPr>
                <w:rFonts w:ascii="Calibri" w:eastAsia="Times New Roman" w:hAnsi="Calibri" w:cs="Calibri"/>
                <w:color w:val="000000"/>
                <w:lang w:eastAsia="en-GB"/>
              </w:rPr>
            </w:pPr>
            <w:r w:rsidRPr="00D37FD5">
              <w:rPr>
                <w:rFonts w:ascii="Calibri" w:eastAsia="Times New Roman" w:hAnsi="Calibri" w:cs="Calibri"/>
                <w:color w:val="000000"/>
                <w:lang w:eastAsia="en-GB"/>
              </w:rPr>
              <w:t>13.12.17</w:t>
            </w:r>
          </w:p>
        </w:tc>
        <w:tc>
          <w:tcPr>
            <w:tcW w:w="940" w:type="dxa"/>
            <w:noWrap/>
            <w:hideMark/>
          </w:tcPr>
          <w:p w:rsidR="00D37FD5" w:rsidRPr="00D37FD5" w:rsidRDefault="00D37FD5" w:rsidP="00D37FD5">
            <w:pPr>
              <w:rPr>
                <w:rFonts w:ascii="Calibri" w:eastAsia="Times New Roman" w:hAnsi="Calibri" w:cs="Calibri"/>
                <w:color w:val="000000"/>
                <w:lang w:eastAsia="en-GB"/>
              </w:rPr>
            </w:pPr>
            <w:r w:rsidRPr="00D37FD5">
              <w:rPr>
                <w:rFonts w:ascii="Calibri" w:eastAsia="Times New Roman" w:hAnsi="Calibri" w:cs="Calibri"/>
                <w:color w:val="000000"/>
                <w:lang w:eastAsia="en-GB"/>
              </w:rPr>
              <w:t>18.1.18</w:t>
            </w:r>
          </w:p>
        </w:tc>
        <w:tc>
          <w:tcPr>
            <w:tcW w:w="940" w:type="dxa"/>
            <w:noWrap/>
            <w:hideMark/>
          </w:tcPr>
          <w:p w:rsidR="00D37FD5" w:rsidRPr="00D37FD5" w:rsidRDefault="00D37FD5" w:rsidP="00D37FD5">
            <w:pPr>
              <w:rPr>
                <w:rFonts w:ascii="Calibri" w:eastAsia="Times New Roman" w:hAnsi="Calibri" w:cs="Calibri"/>
                <w:color w:val="000000"/>
                <w:lang w:eastAsia="en-GB"/>
              </w:rPr>
            </w:pPr>
            <w:r w:rsidRPr="00D37FD5">
              <w:rPr>
                <w:rFonts w:ascii="Calibri" w:eastAsia="Times New Roman" w:hAnsi="Calibri" w:cs="Calibri"/>
                <w:color w:val="000000"/>
                <w:lang w:eastAsia="en-GB"/>
              </w:rPr>
              <w:t>1.2.18</w:t>
            </w:r>
          </w:p>
        </w:tc>
        <w:tc>
          <w:tcPr>
            <w:tcW w:w="940" w:type="dxa"/>
            <w:noWrap/>
            <w:hideMark/>
          </w:tcPr>
          <w:p w:rsidR="00D37FD5" w:rsidRPr="00D37FD5" w:rsidRDefault="00D37FD5" w:rsidP="00D37FD5">
            <w:pPr>
              <w:rPr>
                <w:rFonts w:ascii="Calibri" w:eastAsia="Times New Roman" w:hAnsi="Calibri" w:cs="Calibri"/>
                <w:color w:val="000000"/>
                <w:lang w:eastAsia="en-GB"/>
              </w:rPr>
            </w:pPr>
            <w:r w:rsidRPr="00D37FD5">
              <w:rPr>
                <w:rFonts w:ascii="Calibri" w:eastAsia="Times New Roman" w:hAnsi="Calibri" w:cs="Calibri"/>
                <w:color w:val="000000"/>
                <w:lang w:eastAsia="en-GB"/>
              </w:rPr>
              <w:t>15.2.18</w:t>
            </w:r>
          </w:p>
        </w:tc>
        <w:tc>
          <w:tcPr>
            <w:tcW w:w="1260" w:type="dxa"/>
            <w:noWrap/>
            <w:hideMark/>
          </w:tcPr>
          <w:p w:rsidR="00D37FD5" w:rsidRPr="00D37FD5" w:rsidRDefault="00D37FD5" w:rsidP="00D37FD5">
            <w:pPr>
              <w:rPr>
                <w:rFonts w:ascii="Calibri" w:eastAsia="Times New Roman" w:hAnsi="Calibri" w:cs="Calibri"/>
                <w:color w:val="000000"/>
                <w:lang w:eastAsia="en-GB"/>
              </w:rPr>
            </w:pPr>
            <w:r w:rsidRPr="00D37FD5">
              <w:rPr>
                <w:rFonts w:ascii="Calibri" w:eastAsia="Times New Roman" w:hAnsi="Calibri" w:cs="Calibri"/>
                <w:color w:val="000000"/>
                <w:lang w:eastAsia="en-GB"/>
              </w:rPr>
              <w:t>Mean</w:t>
            </w:r>
          </w:p>
        </w:tc>
        <w:tc>
          <w:tcPr>
            <w:tcW w:w="1260" w:type="dxa"/>
            <w:noWrap/>
            <w:hideMark/>
          </w:tcPr>
          <w:p w:rsidR="00D37FD5" w:rsidRPr="00D37FD5" w:rsidRDefault="00D37FD5" w:rsidP="00D37FD5">
            <w:pPr>
              <w:rPr>
                <w:rFonts w:ascii="Calibri" w:eastAsia="Times New Roman" w:hAnsi="Calibri" w:cs="Calibri"/>
                <w:color w:val="000000"/>
                <w:lang w:eastAsia="en-GB"/>
              </w:rPr>
            </w:pPr>
            <w:r w:rsidRPr="00D37FD5">
              <w:rPr>
                <w:rFonts w:ascii="Calibri" w:eastAsia="Times New Roman" w:hAnsi="Calibri" w:cs="Calibri"/>
                <w:color w:val="000000"/>
                <w:lang w:eastAsia="en-GB"/>
              </w:rPr>
              <w:t>SEM</w:t>
            </w:r>
          </w:p>
        </w:tc>
      </w:tr>
      <w:tr w:rsidR="00D37FD5" w:rsidRPr="00D37FD5" w:rsidTr="00D37FD5">
        <w:trPr>
          <w:trHeight w:val="300"/>
        </w:trPr>
        <w:tc>
          <w:tcPr>
            <w:tcW w:w="2480" w:type="dxa"/>
            <w:noWrap/>
            <w:hideMark/>
          </w:tcPr>
          <w:p w:rsidR="00D37FD5" w:rsidRPr="00D37FD5" w:rsidRDefault="00D37FD5" w:rsidP="00D37FD5">
            <w:pPr>
              <w:rPr>
                <w:rFonts w:ascii="Calibri" w:eastAsia="Times New Roman" w:hAnsi="Calibri" w:cs="Calibri"/>
                <w:b/>
                <w:bCs/>
                <w:color w:val="000000"/>
                <w:lang w:eastAsia="en-GB"/>
              </w:rPr>
            </w:pPr>
            <w:r w:rsidRPr="00D37FD5">
              <w:rPr>
                <w:rFonts w:ascii="Calibri" w:eastAsia="Times New Roman" w:hAnsi="Calibri" w:cs="Calibri"/>
                <w:b/>
                <w:bCs/>
                <w:color w:val="000000"/>
                <w:lang w:eastAsia="en-GB"/>
              </w:rPr>
              <w:t>+++ PLP/MK</w:t>
            </w:r>
          </w:p>
        </w:tc>
        <w:tc>
          <w:tcPr>
            <w:tcW w:w="128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3.47</w:t>
            </w:r>
          </w:p>
        </w:tc>
        <w:tc>
          <w:tcPr>
            <w:tcW w:w="128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3.49</w:t>
            </w:r>
          </w:p>
        </w:tc>
        <w:tc>
          <w:tcPr>
            <w:tcW w:w="94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0.16</w:t>
            </w:r>
          </w:p>
        </w:tc>
        <w:tc>
          <w:tcPr>
            <w:tcW w:w="94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1.55</w:t>
            </w:r>
          </w:p>
        </w:tc>
        <w:tc>
          <w:tcPr>
            <w:tcW w:w="94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0.24</w:t>
            </w:r>
          </w:p>
        </w:tc>
        <w:tc>
          <w:tcPr>
            <w:tcW w:w="126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1.78</w:t>
            </w:r>
          </w:p>
        </w:tc>
        <w:tc>
          <w:tcPr>
            <w:tcW w:w="126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0.74</w:t>
            </w:r>
          </w:p>
        </w:tc>
      </w:tr>
      <w:tr w:rsidR="00D37FD5" w:rsidRPr="00D37FD5" w:rsidTr="00D37FD5">
        <w:trPr>
          <w:trHeight w:val="300"/>
        </w:trPr>
        <w:tc>
          <w:tcPr>
            <w:tcW w:w="2480" w:type="dxa"/>
            <w:noWrap/>
            <w:hideMark/>
          </w:tcPr>
          <w:p w:rsidR="00D37FD5" w:rsidRPr="00D37FD5" w:rsidRDefault="00D37FD5" w:rsidP="00D37FD5">
            <w:pPr>
              <w:rPr>
                <w:rFonts w:ascii="Calibri" w:eastAsia="Times New Roman" w:hAnsi="Calibri" w:cs="Calibri"/>
                <w:b/>
                <w:bCs/>
                <w:color w:val="000000"/>
                <w:lang w:eastAsia="en-GB"/>
              </w:rPr>
            </w:pPr>
            <w:r w:rsidRPr="00D37FD5">
              <w:rPr>
                <w:rFonts w:ascii="Calibri" w:eastAsia="Times New Roman" w:hAnsi="Calibri" w:cs="Calibri"/>
                <w:b/>
                <w:bCs/>
                <w:color w:val="000000"/>
                <w:lang w:eastAsia="en-GB"/>
              </w:rPr>
              <w:t>++ PLP/MK</w:t>
            </w:r>
          </w:p>
        </w:tc>
        <w:tc>
          <w:tcPr>
            <w:tcW w:w="128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85.50</w:t>
            </w:r>
          </w:p>
        </w:tc>
        <w:tc>
          <w:tcPr>
            <w:tcW w:w="128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28.16</w:t>
            </w:r>
          </w:p>
        </w:tc>
        <w:tc>
          <w:tcPr>
            <w:tcW w:w="94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1.23</w:t>
            </w:r>
          </w:p>
        </w:tc>
        <w:tc>
          <w:tcPr>
            <w:tcW w:w="94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24.02</w:t>
            </w:r>
          </w:p>
        </w:tc>
        <w:tc>
          <w:tcPr>
            <w:tcW w:w="94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6.83</w:t>
            </w:r>
          </w:p>
        </w:tc>
        <w:tc>
          <w:tcPr>
            <w:tcW w:w="126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29.15</w:t>
            </w:r>
          </w:p>
        </w:tc>
        <w:tc>
          <w:tcPr>
            <w:tcW w:w="1260" w:type="dxa"/>
            <w:noWrap/>
            <w:hideMark/>
          </w:tcPr>
          <w:p w:rsidR="00D37FD5" w:rsidRPr="00D37FD5" w:rsidRDefault="00D37FD5" w:rsidP="00D37FD5">
            <w:pPr>
              <w:jc w:val="right"/>
              <w:rPr>
                <w:rFonts w:ascii="Calibri" w:eastAsia="Times New Roman" w:hAnsi="Calibri" w:cs="Calibri"/>
                <w:color w:val="000000"/>
                <w:lang w:eastAsia="en-GB"/>
              </w:rPr>
            </w:pPr>
            <w:r w:rsidRPr="00D37FD5">
              <w:rPr>
                <w:rFonts w:ascii="Calibri" w:eastAsia="Times New Roman" w:hAnsi="Calibri" w:cs="Calibri"/>
                <w:color w:val="000000"/>
                <w:lang w:eastAsia="en-GB"/>
              </w:rPr>
              <w:t>14.97</w:t>
            </w:r>
          </w:p>
        </w:tc>
      </w:tr>
    </w:tbl>
    <w:p w:rsidR="00516849" w:rsidRDefault="00D37FD5">
      <w:r>
        <w:rPr>
          <w:noProof/>
          <w:lang w:eastAsia="en-GB"/>
        </w:rPr>
        <w:drawing>
          <wp:inline distT="0" distB="0" distL="0" distR="0" wp14:anchorId="33731816" wp14:editId="1756D754">
            <wp:extent cx="4572000" cy="2066925"/>
            <wp:effectExtent l="0" t="0" r="19050" b="952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522E20D-4875-4429-BD16-0BF78465B1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C56DD4" w:rsidRDefault="00C56DD4"/>
    <w:p w:rsidR="00C56DD4" w:rsidRDefault="00C56DD4">
      <w:r>
        <w:t xml:space="preserve">Figure 6e Shepherd et al 2018 </w:t>
      </w:r>
    </w:p>
    <w:p w:rsidR="00C56DD4" w:rsidRDefault="00C56DD4">
      <w:r w:rsidRPr="00C56DD4">
        <w:t xml:space="preserve">(e.) In vitro platelet recovery estimate by comparison to the number of cells trapped within the collagen scaffold. Results shown as the mean number of CD41 and CD42 in vitro platelets per MK +/- SEM </w:t>
      </w:r>
    </w:p>
    <w:sectPr w:rsidR="00C56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D5"/>
    <w:rsid w:val="003C06CE"/>
    <w:rsid w:val="00450A37"/>
    <w:rsid w:val="00516849"/>
    <w:rsid w:val="00793E1C"/>
    <w:rsid w:val="00B954D3"/>
    <w:rsid w:val="00C56DD4"/>
    <w:rsid w:val="00D37FD5"/>
    <w:rsid w:val="00DA0CA5"/>
    <w:rsid w:val="00DA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6CB9B-57D6-471F-B4E4-78FB385A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06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ie\Documents\Documents\University%20of%20Cambridge\Bioreactor%20project\bioreactor%20run%20fewer%20MK's%20%201.2.18%20n=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6.4814814814814811E-2"/>
          <c:w val="0.90286351706036749"/>
          <c:h val="0.8416746864975212"/>
        </c:manualLayout>
      </c:layout>
      <c:barChart>
        <c:barDir val="col"/>
        <c:grouping val="clustered"/>
        <c:varyColors val="0"/>
        <c:ser>
          <c:idx val="0"/>
          <c:order val="0"/>
          <c:tx>
            <c:strRef>
              <c:f>'Mean enrichment'!$A$16</c:f>
              <c:strCache>
                <c:ptCount val="1"/>
                <c:pt idx="0">
                  <c:v>++ PLP/MK</c:v>
                </c:pt>
              </c:strCache>
            </c:strRef>
          </c:tx>
          <c:spPr>
            <a:solidFill>
              <a:schemeClr val="accent2"/>
            </a:solidFill>
            <a:ln>
              <a:noFill/>
            </a:ln>
            <a:effectLst/>
          </c:spPr>
          <c:invertIfNegative val="0"/>
          <c:errBars>
            <c:errBarType val="both"/>
            <c:errValType val="cust"/>
            <c:noEndCap val="0"/>
            <c:plus>
              <c:numRef>
                <c:f>'Mean enrichment'!$H$16</c:f>
                <c:numCache>
                  <c:formatCode>General</c:formatCode>
                  <c:ptCount val="1"/>
                  <c:pt idx="0">
                    <c:v>14.968108154901788</c:v>
                  </c:pt>
                </c:numCache>
              </c:numRef>
            </c:plus>
            <c:minus>
              <c:numRef>
                <c:f>'Mean enrichment'!$H$16</c:f>
                <c:numCache>
                  <c:formatCode>General</c:formatCode>
                  <c:ptCount val="1"/>
                  <c:pt idx="0">
                    <c:v>14.968108154901788</c:v>
                  </c:pt>
                </c:numCache>
              </c:numRef>
            </c:minus>
            <c:spPr>
              <a:noFill/>
              <a:ln w="9525" cap="flat" cmpd="sng" algn="ctr">
                <a:solidFill>
                  <a:schemeClr val="tx1">
                    <a:lumMod val="65000"/>
                    <a:lumOff val="35000"/>
                  </a:schemeClr>
                </a:solidFill>
                <a:round/>
              </a:ln>
              <a:effectLst/>
            </c:spPr>
          </c:errBars>
          <c:cat>
            <c:strRef>
              <c:f>'Mean enrichment'!$A$15:$A$16</c:f>
              <c:strCache>
                <c:ptCount val="2"/>
                <c:pt idx="0">
                  <c:v>+++ PLP/MK</c:v>
                </c:pt>
                <c:pt idx="1">
                  <c:v>++ PLP/MK</c:v>
                </c:pt>
              </c:strCache>
            </c:strRef>
          </c:cat>
          <c:val>
            <c:numRef>
              <c:f>'Mean enrichment'!$G$16</c:f>
              <c:numCache>
                <c:formatCode>0.00</c:formatCode>
                <c:ptCount val="1"/>
                <c:pt idx="0">
                  <c:v>29.149858804016862</c:v>
                </c:pt>
              </c:numCache>
            </c:numRef>
          </c:val>
          <c:extLst xmlns:c16r2="http://schemas.microsoft.com/office/drawing/2015/06/chart">
            <c:ext xmlns:c16="http://schemas.microsoft.com/office/drawing/2014/chart" uri="{C3380CC4-5D6E-409C-BE32-E72D297353CC}">
              <c16:uniqueId val="{00000000-08D6-4A38-9767-7C5209EF791C}"/>
            </c:ext>
          </c:extLst>
        </c:ser>
        <c:ser>
          <c:idx val="1"/>
          <c:order val="1"/>
          <c:tx>
            <c:strRef>
              <c:f>'Mean enrichment'!$A$15</c:f>
              <c:strCache>
                <c:ptCount val="1"/>
                <c:pt idx="0">
                  <c:v>+++ PLP/MK</c:v>
                </c:pt>
              </c:strCache>
            </c:strRef>
          </c:tx>
          <c:spPr>
            <a:solidFill>
              <a:srgbClr val="92D050"/>
            </a:solidFill>
            <a:ln>
              <a:noFill/>
            </a:ln>
            <a:effectLst/>
          </c:spPr>
          <c:invertIfNegative val="0"/>
          <c:errBars>
            <c:errBarType val="both"/>
            <c:errValType val="cust"/>
            <c:noEndCap val="0"/>
            <c:plus>
              <c:numRef>
                <c:f>'Mean enrichment'!$H$15</c:f>
                <c:numCache>
                  <c:formatCode>General</c:formatCode>
                  <c:ptCount val="1"/>
                  <c:pt idx="0">
                    <c:v>0.73670326601843128</c:v>
                  </c:pt>
                </c:numCache>
              </c:numRef>
            </c:plus>
            <c:minus>
              <c:numRef>
                <c:f>'Mean enrichment'!$H$15</c:f>
                <c:numCache>
                  <c:formatCode>General</c:formatCode>
                  <c:ptCount val="1"/>
                  <c:pt idx="0">
                    <c:v>0.73670326601843128</c:v>
                  </c:pt>
                </c:numCache>
              </c:numRef>
            </c:minus>
            <c:spPr>
              <a:noFill/>
              <a:ln w="9525" cap="flat" cmpd="sng" algn="ctr">
                <a:solidFill>
                  <a:schemeClr val="tx1">
                    <a:lumMod val="65000"/>
                    <a:lumOff val="35000"/>
                  </a:schemeClr>
                </a:solidFill>
                <a:round/>
              </a:ln>
              <a:effectLst/>
            </c:spPr>
          </c:errBars>
          <c:cat>
            <c:strRef>
              <c:f>'Mean enrichment'!$A$15:$A$16</c:f>
              <c:strCache>
                <c:ptCount val="2"/>
                <c:pt idx="0">
                  <c:v>+++ PLP/MK</c:v>
                </c:pt>
                <c:pt idx="1">
                  <c:v>++ PLP/MK</c:v>
                </c:pt>
              </c:strCache>
            </c:strRef>
          </c:cat>
          <c:val>
            <c:numRef>
              <c:f>'Mean enrichment'!$G$15</c:f>
              <c:numCache>
                <c:formatCode>0.00</c:formatCode>
                <c:ptCount val="1"/>
                <c:pt idx="0">
                  <c:v>1.7824604967202529</c:v>
                </c:pt>
              </c:numCache>
            </c:numRef>
          </c:val>
          <c:extLst xmlns:c16r2="http://schemas.microsoft.com/office/drawing/2015/06/chart">
            <c:ext xmlns:c16="http://schemas.microsoft.com/office/drawing/2014/chart" uri="{C3380CC4-5D6E-409C-BE32-E72D297353CC}">
              <c16:uniqueId val="{00000001-08D6-4A38-9767-7C5209EF791C}"/>
            </c:ext>
          </c:extLst>
        </c:ser>
        <c:dLbls>
          <c:showLegendKey val="0"/>
          <c:showVal val="0"/>
          <c:showCatName val="0"/>
          <c:showSerName val="0"/>
          <c:showPercent val="0"/>
          <c:showBubbleSize val="0"/>
        </c:dLbls>
        <c:gapWidth val="219"/>
        <c:overlap val="-27"/>
        <c:axId val="492588576"/>
        <c:axId val="492587400"/>
      </c:barChart>
      <c:catAx>
        <c:axId val="49258857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2587400"/>
        <c:crosses val="autoZero"/>
        <c:auto val="1"/>
        <c:lblAlgn val="ctr"/>
        <c:lblOffset val="100"/>
        <c:noMultiLvlLbl val="0"/>
      </c:catAx>
      <c:valAx>
        <c:axId val="492587400"/>
        <c:scaling>
          <c:orientation val="minMax"/>
        </c:scaling>
        <c:delete val="0"/>
        <c:axPos val="l"/>
        <c:numFmt formatCode="0.0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925885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Waller</dc:creator>
  <cp:lastModifiedBy>Jenny shepherd</cp:lastModifiedBy>
  <cp:revision>2</cp:revision>
  <dcterms:created xsi:type="dcterms:W3CDTF">2018-07-26T20:56:00Z</dcterms:created>
  <dcterms:modified xsi:type="dcterms:W3CDTF">2018-07-26T20:56:00Z</dcterms:modified>
</cp:coreProperties>
</file>