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379D04A" w14:textId="5A6662B0" w:rsidR="00ED6D7D" w:rsidRDefault="009D19B5" w:rsidP="00D47385">
      <w:pPr>
        <w:pStyle w:val="Title"/>
      </w:pPr>
      <w:r w:rsidRPr="00771222">
        <w:t xml:space="preserve">Development and </w:t>
      </w:r>
      <w:r w:rsidR="00EE171F">
        <w:t>validation</w:t>
      </w:r>
      <w:r w:rsidR="00EE171F" w:rsidRPr="00771222">
        <w:t xml:space="preserve"> </w:t>
      </w:r>
      <w:r w:rsidRPr="00771222">
        <w:t xml:space="preserve">of </w:t>
      </w:r>
      <w:r w:rsidR="00214E0F">
        <w:t xml:space="preserve">a </w:t>
      </w:r>
      <w:r w:rsidR="00AF2716">
        <w:t>metabolite</w:t>
      </w:r>
      <w:r w:rsidR="00771222">
        <w:t xml:space="preserve"> </w:t>
      </w:r>
      <w:r w:rsidR="004E7BA7" w:rsidRPr="00771222">
        <w:t xml:space="preserve">score for </w:t>
      </w:r>
      <w:r w:rsidR="00EE171F">
        <w:t xml:space="preserve">red </w:t>
      </w:r>
      <w:r w:rsidR="0014108C" w:rsidRPr="00771222">
        <w:t xml:space="preserve">meat </w:t>
      </w:r>
      <w:r w:rsidR="00321D8A">
        <w:t>intake</w:t>
      </w:r>
      <w:r w:rsidR="00FF5506">
        <w:t xml:space="preserve">: </w:t>
      </w:r>
      <w:r w:rsidR="00E61D07">
        <w:t xml:space="preserve">an </w:t>
      </w:r>
      <w:r w:rsidR="0047183A">
        <w:t xml:space="preserve">observational </w:t>
      </w:r>
      <w:r w:rsidR="00FF5506">
        <w:t xml:space="preserve">cohort study </w:t>
      </w:r>
      <w:r w:rsidR="00FF5506" w:rsidRPr="00771222">
        <w:t xml:space="preserve">and </w:t>
      </w:r>
      <w:r w:rsidR="001C3E9B">
        <w:t>randomized</w:t>
      </w:r>
      <w:r w:rsidR="00FF5506">
        <w:t xml:space="preserve"> controlled </w:t>
      </w:r>
      <w:r w:rsidR="00CF6C25">
        <w:t>dietary intervention</w:t>
      </w:r>
    </w:p>
    <w:p w14:paraId="65CFFC91" w14:textId="25656D37" w:rsidR="00B04D52" w:rsidRPr="000961E2" w:rsidRDefault="00B04D52">
      <w:pPr>
        <w:widowControl/>
        <w:spacing w:after="160" w:line="259" w:lineRule="auto"/>
        <w:rPr>
          <w:b/>
        </w:rPr>
      </w:pPr>
      <w:r w:rsidRPr="000961E2">
        <w:rPr>
          <w:b/>
        </w:rPr>
        <w:t xml:space="preserve">Authors </w:t>
      </w:r>
    </w:p>
    <w:p w14:paraId="67267002" w14:textId="492BBC3A" w:rsidR="00937675" w:rsidRDefault="00C76291" w:rsidP="004C4D00">
      <w:r>
        <w:t>Chunxiao Li</w:t>
      </w:r>
      <w:r w:rsidR="00FB415C" w:rsidRPr="00101918">
        <w:rPr>
          <w:vertAlign w:val="superscript"/>
        </w:rPr>
        <w:t>1</w:t>
      </w:r>
      <w:r>
        <w:t>, Fumiaki Imamura</w:t>
      </w:r>
      <w:r w:rsidR="00FB415C" w:rsidRPr="00101918">
        <w:rPr>
          <w:vertAlign w:val="superscript"/>
        </w:rPr>
        <w:t>1</w:t>
      </w:r>
      <w:r>
        <w:t>, Roland Wedekind</w:t>
      </w:r>
      <w:r w:rsidR="00FB415C" w:rsidRPr="00101918">
        <w:rPr>
          <w:vertAlign w:val="superscript"/>
        </w:rPr>
        <w:t>2</w:t>
      </w:r>
      <w:r>
        <w:t xml:space="preserve">, </w:t>
      </w:r>
      <w:r w:rsidRPr="00C76291">
        <w:t>Isobel</w:t>
      </w:r>
      <w:r w:rsidR="009C0960">
        <w:t xml:space="preserve"> D</w:t>
      </w:r>
      <w:r w:rsidRPr="00C76291">
        <w:t xml:space="preserve"> Stewart</w:t>
      </w:r>
      <w:r w:rsidR="00FB415C" w:rsidRPr="00101918">
        <w:rPr>
          <w:vertAlign w:val="superscript"/>
        </w:rPr>
        <w:t>1</w:t>
      </w:r>
      <w:r>
        <w:t xml:space="preserve">, </w:t>
      </w:r>
      <w:proofErr w:type="spellStart"/>
      <w:r>
        <w:t>Maik</w:t>
      </w:r>
      <w:proofErr w:type="spellEnd"/>
      <w:r>
        <w:t xml:space="preserve"> Pietzner</w:t>
      </w:r>
      <w:r w:rsidR="00FB415C" w:rsidRPr="00101918">
        <w:rPr>
          <w:vertAlign w:val="superscript"/>
        </w:rPr>
        <w:t>1,3</w:t>
      </w:r>
      <w:r>
        <w:t xml:space="preserve">, </w:t>
      </w:r>
      <w:r w:rsidRPr="00C76291">
        <w:t>Eleanor Wheeler</w:t>
      </w:r>
      <w:r w:rsidR="00FB415C" w:rsidRPr="00101918">
        <w:rPr>
          <w:vertAlign w:val="superscript"/>
        </w:rPr>
        <w:t>1</w:t>
      </w:r>
      <w:r>
        <w:t xml:space="preserve">, </w:t>
      </w:r>
      <w:r w:rsidR="00937675">
        <w:t>Nita</w:t>
      </w:r>
      <w:r w:rsidR="009C0960">
        <w:t xml:space="preserve"> G</w:t>
      </w:r>
      <w:r w:rsidR="00937675">
        <w:t xml:space="preserve"> Forouhi</w:t>
      </w:r>
      <w:r w:rsidR="00FB415C" w:rsidRPr="00101918">
        <w:rPr>
          <w:vertAlign w:val="superscript"/>
        </w:rPr>
        <w:t>1</w:t>
      </w:r>
      <w:r w:rsidR="00937675">
        <w:t xml:space="preserve">, </w:t>
      </w:r>
      <w:r w:rsidRPr="00C76291">
        <w:t>Claudia Langenberg</w:t>
      </w:r>
      <w:r w:rsidR="00101918" w:rsidRPr="00101918">
        <w:rPr>
          <w:vertAlign w:val="superscript"/>
        </w:rPr>
        <w:t>1</w:t>
      </w:r>
      <w:r w:rsidR="0037647B">
        <w:rPr>
          <w:vertAlign w:val="superscript"/>
        </w:rPr>
        <w:t>,3</w:t>
      </w:r>
      <w:r>
        <w:t xml:space="preserve">, </w:t>
      </w:r>
      <w:r w:rsidR="00937675">
        <w:t>Augustin Scalbert</w:t>
      </w:r>
      <w:r w:rsidR="00101918">
        <w:rPr>
          <w:vertAlign w:val="superscript"/>
        </w:rPr>
        <w:t>2</w:t>
      </w:r>
      <w:r w:rsidR="009C0960">
        <w:t>, Nicholas J Wareham</w:t>
      </w:r>
      <w:r w:rsidR="00101918" w:rsidRPr="00101918">
        <w:rPr>
          <w:vertAlign w:val="superscript"/>
        </w:rPr>
        <w:t>1</w:t>
      </w:r>
      <w:r w:rsidR="00937675">
        <w:t>*</w:t>
      </w:r>
    </w:p>
    <w:p w14:paraId="2D03566E" w14:textId="77777777" w:rsidR="00FB415C" w:rsidRPr="000961E2" w:rsidRDefault="00B04D52" w:rsidP="00101918">
      <w:pPr>
        <w:rPr>
          <w:b/>
        </w:rPr>
      </w:pPr>
      <w:r w:rsidRPr="000961E2">
        <w:rPr>
          <w:b/>
        </w:rPr>
        <w:t>Affiliations</w:t>
      </w:r>
    </w:p>
    <w:p w14:paraId="21C336A2" w14:textId="1662A243" w:rsidR="00A42B54" w:rsidRPr="00101918" w:rsidRDefault="00101918" w:rsidP="00101918">
      <w:r w:rsidRPr="00101918">
        <w:rPr>
          <w:vertAlign w:val="superscript"/>
        </w:rPr>
        <w:t>1</w:t>
      </w:r>
      <w:r w:rsidR="00A42B54" w:rsidRPr="00101918">
        <w:t xml:space="preserve">MRC Epidemiology Unit, Institute of Metabolic Science, University of Cambridge School of Clinical </w:t>
      </w:r>
      <w:r w:rsidR="0037647B">
        <w:t>Medicine, Cambridge CB2 0QQ, UK</w:t>
      </w:r>
    </w:p>
    <w:p w14:paraId="174FBE1C" w14:textId="7C074F28" w:rsidR="00101918" w:rsidRPr="00101918" w:rsidRDefault="00101918" w:rsidP="00101918">
      <w:r>
        <w:rPr>
          <w:vertAlign w:val="superscript"/>
        </w:rPr>
        <w:t>2</w:t>
      </w:r>
      <w:r w:rsidRPr="00101918">
        <w:t xml:space="preserve">Nutrition and Metabolism Branch, International Agency for Research on Cancer, World Health </w:t>
      </w:r>
      <w:r w:rsidR="001C3E9B" w:rsidRPr="00101918">
        <w:t>Organization</w:t>
      </w:r>
      <w:r w:rsidRPr="00101918">
        <w:t xml:space="preserve">, 150 </w:t>
      </w:r>
      <w:proofErr w:type="spellStart"/>
      <w:r w:rsidR="007949C2">
        <w:t>C</w:t>
      </w:r>
      <w:r w:rsidRPr="00101918">
        <w:t>ours</w:t>
      </w:r>
      <w:proofErr w:type="spellEnd"/>
      <w:r w:rsidRPr="00101918">
        <w:t xml:space="preserve"> Albert Thomas, 69372 Lyon CEDEX 08, France</w:t>
      </w:r>
    </w:p>
    <w:p w14:paraId="205F4011" w14:textId="5FC9871C" w:rsidR="00707B8D" w:rsidRDefault="00101918" w:rsidP="00101918">
      <w:r>
        <w:rPr>
          <w:vertAlign w:val="superscript"/>
        </w:rPr>
        <w:t>3</w:t>
      </w:r>
      <w:r w:rsidR="00A42B54" w:rsidRPr="00101918">
        <w:t xml:space="preserve">Computational Medicine, Berlin Institute of Health at </w:t>
      </w:r>
      <w:proofErr w:type="spellStart"/>
      <w:r w:rsidR="00A42B54" w:rsidRPr="00101918">
        <w:t>Charité</w:t>
      </w:r>
      <w:proofErr w:type="spellEnd"/>
      <w:r w:rsidR="00A42B54" w:rsidRPr="00101918">
        <w:t>–</w:t>
      </w:r>
      <w:proofErr w:type="spellStart"/>
      <w:r w:rsidR="00A42B54" w:rsidRPr="00101918">
        <w:t>Universitätsmedizin</w:t>
      </w:r>
      <w:proofErr w:type="spellEnd"/>
      <w:r w:rsidR="00A42B54" w:rsidRPr="00101918">
        <w:t xml:space="preserve"> Berlin, 10117 Berlin, Germany</w:t>
      </w:r>
    </w:p>
    <w:p w14:paraId="552E4CD2" w14:textId="7111C3B7" w:rsidR="0037647B" w:rsidRDefault="00707B8D" w:rsidP="00101918">
      <w:r>
        <w:t>*C</w:t>
      </w:r>
      <w:r w:rsidRPr="00707B8D">
        <w:t>orresponding author</w:t>
      </w:r>
      <w:r>
        <w:t xml:space="preserve">. Email: </w:t>
      </w:r>
      <w:hyperlink r:id="rId11" w:history="1">
        <w:r w:rsidR="0037647B" w:rsidRPr="00903CEF">
          <w:rPr>
            <w:rStyle w:val="Hyperlink"/>
          </w:rPr>
          <w:t>nick.wareham@mrc-epid.cam.ac.uk</w:t>
        </w:r>
      </w:hyperlink>
    </w:p>
    <w:p w14:paraId="7E5C0F23" w14:textId="332595F2" w:rsidR="0037647B" w:rsidRDefault="000961E2" w:rsidP="00101918">
      <w:pPr>
        <w:rPr>
          <w:b/>
          <w:color w:val="2A2A2A"/>
          <w:sz w:val="23"/>
          <w:szCs w:val="23"/>
          <w:shd w:val="clear" w:color="auto" w:fill="FFFFFF"/>
        </w:rPr>
      </w:pPr>
      <w:r w:rsidRPr="000961E2">
        <w:rPr>
          <w:b/>
          <w:color w:val="2A2A2A"/>
          <w:sz w:val="23"/>
          <w:szCs w:val="23"/>
          <w:shd w:val="clear" w:color="auto" w:fill="FFFFFF"/>
        </w:rPr>
        <w:t>The running title </w:t>
      </w:r>
    </w:p>
    <w:p w14:paraId="43F62368" w14:textId="29CE417B" w:rsidR="000961E2" w:rsidRPr="000961E2" w:rsidRDefault="000961E2" w:rsidP="00101918">
      <w:r w:rsidRPr="000961E2">
        <w:rPr>
          <w:color w:val="2A2A2A"/>
          <w:sz w:val="23"/>
          <w:szCs w:val="23"/>
          <w:shd w:val="clear" w:color="auto" w:fill="FFFFFF"/>
        </w:rPr>
        <w:t xml:space="preserve">A metabolite score for red meat </w:t>
      </w:r>
      <w:r w:rsidR="004717A4">
        <w:rPr>
          <w:color w:val="2A2A2A"/>
          <w:sz w:val="23"/>
          <w:szCs w:val="23"/>
          <w:shd w:val="clear" w:color="auto" w:fill="FFFFFF"/>
        </w:rPr>
        <w:t>intake</w:t>
      </w:r>
    </w:p>
    <w:p w14:paraId="4421AD65" w14:textId="168ADCD3" w:rsidR="000961E2" w:rsidRPr="000961E2" w:rsidRDefault="000961E2" w:rsidP="00E15CAC">
      <w:pPr>
        <w:rPr>
          <w:b/>
          <w:color w:val="2A2A2A"/>
          <w:sz w:val="23"/>
          <w:szCs w:val="23"/>
          <w:shd w:val="clear" w:color="auto" w:fill="FFFFFF"/>
        </w:rPr>
      </w:pPr>
      <w:r w:rsidRPr="000961E2">
        <w:rPr>
          <w:b/>
          <w:color w:val="2A2A2A"/>
          <w:sz w:val="23"/>
          <w:szCs w:val="23"/>
          <w:shd w:val="clear" w:color="auto" w:fill="FFFFFF"/>
        </w:rPr>
        <w:t>Conflict of Interest</w:t>
      </w:r>
    </w:p>
    <w:p w14:paraId="7BB2FE5F" w14:textId="28CBBE11" w:rsidR="00E15CAC" w:rsidRPr="000961E2" w:rsidRDefault="00E15CAC" w:rsidP="00AF5291">
      <w:pPr>
        <w:rPr>
          <w:color w:val="000000"/>
        </w:rPr>
      </w:pPr>
      <w:r w:rsidRPr="00E15CAC">
        <w:rPr>
          <w:color w:val="000000"/>
        </w:rPr>
        <w:t>None of the authors reported a conflict of</w:t>
      </w:r>
      <w:r w:rsidR="000961E2">
        <w:rPr>
          <w:color w:val="000000"/>
        </w:rPr>
        <w:t xml:space="preserve"> interest related to the study.</w:t>
      </w:r>
    </w:p>
    <w:p w14:paraId="7C3F0BF6" w14:textId="77777777" w:rsidR="000961E2" w:rsidRDefault="000961E2" w:rsidP="000961E2">
      <w:pPr>
        <w:rPr>
          <w:b/>
          <w:bCs/>
        </w:rPr>
      </w:pPr>
      <w:r>
        <w:rPr>
          <w:b/>
          <w:bCs/>
        </w:rPr>
        <w:t>Disclaimer</w:t>
      </w:r>
    </w:p>
    <w:p w14:paraId="19BACE56" w14:textId="3F74AD9D" w:rsidR="000961E2" w:rsidRDefault="000961E2" w:rsidP="000961E2">
      <w:r w:rsidRPr="00A7578D">
        <w:t>Where authors are identified as personnel of the International Agency for Research on Cancer /</w:t>
      </w:r>
      <w:r w:rsidR="00C64A79">
        <w:t xml:space="preserve"> </w:t>
      </w:r>
      <w:r w:rsidRPr="00A7578D">
        <w:t>World Health Organization, the authors alone are responsible for the views expressed in this article and they do not necessarily represent the decisions, policy or views of the International Agency for Research on Cancer / World Health Organization.</w:t>
      </w:r>
    </w:p>
    <w:p w14:paraId="1351F6D5" w14:textId="5B3D4A85" w:rsidR="00FE2898" w:rsidRPr="00A7578D" w:rsidRDefault="00FE2898" w:rsidP="000961E2">
      <w:proofErr w:type="spellStart"/>
      <w:r>
        <w:lastRenderedPageBreak/>
        <w:t>Dr</w:t>
      </w:r>
      <w:proofErr w:type="spellEnd"/>
      <w:r>
        <w:t xml:space="preserve"> Fumiaki Imamura</w:t>
      </w:r>
      <w:r>
        <w:rPr>
          <w:vertAlign w:val="superscript"/>
        </w:rPr>
        <w:t xml:space="preserve"> </w:t>
      </w:r>
      <w:r>
        <w:t xml:space="preserve">is a member of the </w:t>
      </w:r>
      <w:r w:rsidRPr="00FE2898">
        <w:t>ASN Statistical Review Board</w:t>
      </w:r>
      <w:r>
        <w:t>.</w:t>
      </w:r>
    </w:p>
    <w:p w14:paraId="16CE7CE0" w14:textId="65CF257F" w:rsidR="009469C6" w:rsidRDefault="002662B0" w:rsidP="00614C82">
      <w:r w:rsidRPr="002662B0">
        <w:rPr>
          <w:b/>
        </w:rPr>
        <w:t>Data Share Statement</w:t>
      </w:r>
      <w:r>
        <w:t xml:space="preserve">: </w:t>
      </w:r>
      <w:r w:rsidRPr="002662B0">
        <w:t>The data described in the manuscript and analytic code will be made available upon request, pending application and approval</w:t>
      </w:r>
      <w:r w:rsidR="009327CC">
        <w:t>.</w:t>
      </w:r>
      <w:r w:rsidR="00614C82">
        <w:rPr>
          <w:rFonts w:ascii="Calibri" w:hAnsi="Calibri" w:cs="Calibri"/>
          <w:color w:val="1F497D"/>
          <w:sz w:val="22"/>
        </w:rPr>
        <w:t xml:space="preserve"> </w:t>
      </w:r>
      <w:r w:rsidR="00614C82" w:rsidRPr="00F84020">
        <w:t xml:space="preserve">The meta-data </w:t>
      </w:r>
      <w:r w:rsidR="007949C2">
        <w:t>for</w:t>
      </w:r>
      <w:r w:rsidR="00614C82" w:rsidRPr="00F84020">
        <w:t xml:space="preserve"> the EPIC-Norfolk </w:t>
      </w:r>
      <w:r w:rsidR="007949C2">
        <w:t xml:space="preserve">study </w:t>
      </w:r>
      <w:r w:rsidR="00614C82" w:rsidRPr="00F84020">
        <w:t xml:space="preserve">including the study dictionary are freely available without restriction at </w:t>
      </w:r>
      <w:hyperlink r:id="rId12" w:history="1">
        <w:r w:rsidR="00614C82" w:rsidRPr="00F84020">
          <w:t>https://www.epic-norfolk.org.uk/</w:t>
        </w:r>
      </w:hyperlink>
      <w:r w:rsidR="00C64A79">
        <w:t>.</w:t>
      </w:r>
    </w:p>
    <w:p w14:paraId="0864EADF" w14:textId="21835812" w:rsidR="003A599C" w:rsidRPr="00F84020" w:rsidRDefault="003A599C" w:rsidP="00614C82">
      <w:pPr>
        <w:rPr>
          <w:b/>
        </w:rPr>
      </w:pPr>
      <w:r w:rsidRPr="006306EF">
        <w:rPr>
          <w:b/>
        </w:rPr>
        <w:t>Clinical</w:t>
      </w:r>
      <w:r w:rsidRPr="00F84020">
        <w:rPr>
          <w:b/>
        </w:rPr>
        <w:t xml:space="preserve"> trial registration number</w:t>
      </w:r>
      <w:r>
        <w:rPr>
          <w:b/>
        </w:rPr>
        <w:t xml:space="preserve">: </w:t>
      </w:r>
      <w:r w:rsidR="002C622C" w:rsidRPr="00186BBC">
        <w:t>NCT03354130</w:t>
      </w:r>
    </w:p>
    <w:p w14:paraId="5BFA37CD" w14:textId="19C95163" w:rsidR="003A599C" w:rsidRDefault="003A599C" w:rsidP="00614C82">
      <w:pPr>
        <w:rPr>
          <w:b/>
        </w:rPr>
      </w:pPr>
      <w:r w:rsidRPr="00F84020">
        <w:rPr>
          <w:b/>
        </w:rPr>
        <w:t>Sources of support:</w:t>
      </w:r>
    </w:p>
    <w:p w14:paraId="491F8716" w14:textId="6CC35B47" w:rsidR="00C64A79" w:rsidRDefault="003A599C" w:rsidP="003A599C">
      <w:r w:rsidRPr="55ADDBD7">
        <w:t xml:space="preserve">The EPIC-Norfolk study </w:t>
      </w:r>
      <w:r w:rsidRPr="00E8216E">
        <w:rPr>
          <w:rFonts w:cs="Times New Roman"/>
        </w:rPr>
        <w:t>(</w:t>
      </w:r>
      <w:hyperlink r:id="rId13" w:history="1">
        <w:r w:rsidRPr="00E8216E">
          <w:rPr>
            <w:rStyle w:val="Hyperlink"/>
            <w:rFonts w:eastAsia="Calibri" w:cs="Times New Roman"/>
          </w:rPr>
          <w:t>https://doi.org/10.22025/2019.10.105.00004</w:t>
        </w:r>
      </w:hyperlink>
      <w:r w:rsidRPr="00E8216E">
        <w:rPr>
          <w:rFonts w:cs="Times New Roman"/>
        </w:rPr>
        <w:t>) has received</w:t>
      </w:r>
      <w:r w:rsidRPr="55ADDBD7">
        <w:t xml:space="preserve"> funding from the Medical Research Council (</w:t>
      </w:r>
      <w:r w:rsidRPr="00E8216E">
        <w:t>MR/N003284/1 MC-UU_12015/1 and MC_UU_00006/1</w:t>
      </w:r>
      <w:r w:rsidRPr="55ADDBD7">
        <w:t xml:space="preserve">) and Cancer Research UK (C864/A14136). Metabolite measurements in the EPIC-Norfolk study were supported by the MRC Cambridge Initiative in Metabolic Science (MR/L00002/1) and the Innovative Medicines Initiative Joint Undertaking under EMIF grant agreement no. 115372. </w:t>
      </w:r>
      <w:r w:rsidR="008E147A" w:rsidRPr="00AD4298">
        <w:t xml:space="preserve">N.J.W, N.G.F, F.I, I.D.S, M.P, E.W, and C.L acknowledge funding from the Medical Research Council Epidemiology Unit MC_UU_00006/1 and MC_UU_00006/3; NJW and NGF, from NIHR Cambridge Biomedical Research Centre: nutrition, diet, and lifestyle research theme (IS-BRC-1215-20014). </w:t>
      </w:r>
      <w:proofErr w:type="spellStart"/>
      <w:r w:rsidRPr="00AD4298">
        <w:t>C</w:t>
      </w:r>
      <w:r>
        <w:t>.L</w:t>
      </w:r>
      <w:r w:rsidR="008E147A">
        <w:t>i</w:t>
      </w:r>
      <w:proofErr w:type="spellEnd"/>
      <w:r w:rsidRPr="0037647B">
        <w:t xml:space="preserve"> was supported by</w:t>
      </w:r>
      <w:r>
        <w:t xml:space="preserve"> a Jardine-Cambridge Graduate Scholarship</w:t>
      </w:r>
      <w:r w:rsidRPr="0037647B">
        <w:t>.</w:t>
      </w:r>
    </w:p>
    <w:p w14:paraId="5C77B549" w14:textId="49A337DD" w:rsidR="009469C6" w:rsidRPr="006306EF" w:rsidRDefault="009469C6" w:rsidP="00614C82">
      <w:pPr>
        <w:rPr>
          <w:b/>
        </w:rPr>
      </w:pPr>
      <w:r w:rsidRPr="00F84020">
        <w:rPr>
          <w:b/>
        </w:rPr>
        <w:t>Abbrev</w:t>
      </w:r>
      <w:r w:rsidRPr="006306EF">
        <w:rPr>
          <w:b/>
        </w:rPr>
        <w:t>iations used:</w:t>
      </w:r>
    </w:p>
    <w:p w14:paraId="5F35839D" w14:textId="77777777" w:rsidR="008406D9" w:rsidRDefault="008406D9" w:rsidP="008406D9">
      <w:r>
        <w:t>7dDD, 7-day diet diary;</w:t>
      </w:r>
    </w:p>
    <w:p w14:paraId="23070776" w14:textId="77777777" w:rsidR="008406D9" w:rsidRDefault="008406D9" w:rsidP="008406D9">
      <w:r>
        <w:t>EPIC-Norfolk, European Prospective Investigation into Cancer and Nutrition-Norfolk;</w:t>
      </w:r>
    </w:p>
    <w:p w14:paraId="5FB60325" w14:textId="77777777" w:rsidR="008406D9" w:rsidRDefault="008406D9" w:rsidP="008406D9">
      <w:r>
        <w:t xml:space="preserve">FFQ, </w:t>
      </w:r>
      <w:r w:rsidRPr="00C106EC">
        <w:t>food frequency questionnaire</w:t>
      </w:r>
      <w:r>
        <w:t>;</w:t>
      </w:r>
    </w:p>
    <w:p w14:paraId="64A39501" w14:textId="77777777" w:rsidR="008406D9" w:rsidRDefault="008406D9" w:rsidP="008406D9">
      <w:r>
        <w:t xml:space="preserve">GPE, </w:t>
      </w:r>
      <w:proofErr w:type="spellStart"/>
      <w:r>
        <w:t>g</w:t>
      </w:r>
      <w:r w:rsidRPr="001F4C77">
        <w:t>lycerophosphoethanolamine</w:t>
      </w:r>
      <w:proofErr w:type="spellEnd"/>
      <w:r>
        <w:t>;</w:t>
      </w:r>
    </w:p>
    <w:p w14:paraId="72983D26" w14:textId="77777777" w:rsidR="008406D9" w:rsidRDefault="008406D9" w:rsidP="008406D9">
      <w:r>
        <w:t xml:space="preserve">GPC, </w:t>
      </w:r>
      <w:proofErr w:type="spellStart"/>
      <w:r>
        <w:t>g</w:t>
      </w:r>
      <w:r w:rsidRPr="001F4C77">
        <w:t>lycerophosphocholine</w:t>
      </w:r>
      <w:proofErr w:type="spellEnd"/>
      <w:r>
        <w:t>;</w:t>
      </w:r>
    </w:p>
    <w:p w14:paraId="556EC953" w14:textId="77777777" w:rsidR="008406D9" w:rsidRDefault="008406D9" w:rsidP="008406D9">
      <w:proofErr w:type="gramStart"/>
      <w:r>
        <w:t>g/d</w:t>
      </w:r>
      <w:proofErr w:type="gramEnd"/>
      <w:r>
        <w:t>, grams per day;</w:t>
      </w:r>
    </w:p>
    <w:p w14:paraId="162E4BFF" w14:textId="77777777" w:rsidR="008406D9" w:rsidRDefault="008406D9" w:rsidP="008406D9">
      <w:r>
        <w:t>HR, hazard ratio;</w:t>
      </w:r>
    </w:p>
    <w:p w14:paraId="09263D1F" w14:textId="6A707B83" w:rsidR="008406D9" w:rsidRDefault="008406D9" w:rsidP="008406D9">
      <w:r>
        <w:lastRenderedPageBreak/>
        <w:t>IARC, International Agency for Research on Cancer;</w:t>
      </w:r>
    </w:p>
    <w:p w14:paraId="1B038CAE" w14:textId="77777777" w:rsidR="008406D9" w:rsidRDefault="008406D9" w:rsidP="008406D9">
      <w:r>
        <w:t>MS, mass spectrometry;</w:t>
      </w:r>
    </w:p>
    <w:p w14:paraId="7238AE73" w14:textId="77777777" w:rsidR="008406D9" w:rsidRDefault="008406D9" w:rsidP="008406D9">
      <w:r>
        <w:t>RCT, randomized controlled trial;</w:t>
      </w:r>
    </w:p>
    <w:p w14:paraId="0389574F" w14:textId="783F4DCB" w:rsidR="008406D9" w:rsidRDefault="008406D9" w:rsidP="008406D9">
      <w:r>
        <w:t>SD, standard deviation;</w:t>
      </w:r>
    </w:p>
    <w:p w14:paraId="46E729F8" w14:textId="77777777" w:rsidR="008406D9" w:rsidRDefault="008406D9" w:rsidP="008406D9">
      <w:r>
        <w:t>T2D,</w:t>
      </w:r>
      <w:r w:rsidRPr="00514F41">
        <w:t xml:space="preserve"> </w:t>
      </w:r>
      <w:r>
        <w:t>type 2 diabetes;</w:t>
      </w:r>
    </w:p>
    <w:p w14:paraId="2D41F8BE" w14:textId="77777777" w:rsidR="008406D9" w:rsidRDefault="008406D9" w:rsidP="008406D9">
      <w:r>
        <w:t>TMAO, trimethylamine N-oxide;</w:t>
      </w:r>
    </w:p>
    <w:p w14:paraId="7C9CD1D8" w14:textId="56F06F35" w:rsidR="005A2509" w:rsidRPr="00101918" w:rsidRDefault="008406D9" w:rsidP="008406D9">
      <w:r>
        <w:t>UPLC, ultra-performance liquid chromatography.</w:t>
      </w:r>
      <w:r w:rsidR="005A2509">
        <w:br w:type="page"/>
      </w:r>
    </w:p>
    <w:p w14:paraId="481E24A4" w14:textId="588DE0CD" w:rsidR="003B1EDC" w:rsidRDefault="003B1EDC" w:rsidP="00735627">
      <w:pPr>
        <w:pStyle w:val="Heading1"/>
      </w:pPr>
      <w:r w:rsidRPr="00275FA0">
        <w:lastRenderedPageBreak/>
        <w:t>Abs</w:t>
      </w:r>
      <w:r w:rsidR="00882CAF">
        <w:t>tract</w:t>
      </w:r>
      <w:r w:rsidR="00385E66">
        <w:t xml:space="preserve"> </w:t>
      </w:r>
      <w:r w:rsidR="00A01DE9">
        <w:t>(298</w:t>
      </w:r>
      <w:r w:rsidR="00385E66">
        <w:t xml:space="preserve"> words)</w:t>
      </w:r>
    </w:p>
    <w:p w14:paraId="59B9558C" w14:textId="2336EE12" w:rsidR="00DA4F1C" w:rsidRDefault="00DA4F1C" w:rsidP="00DA4F1C">
      <w:pPr>
        <w:rPr>
          <w:kern w:val="0"/>
        </w:rPr>
      </w:pPr>
      <w:r>
        <w:rPr>
          <w:b/>
          <w:bCs/>
        </w:rPr>
        <w:t>Background:</w:t>
      </w:r>
      <w:r>
        <w:t xml:space="preserve"> </w:t>
      </w:r>
      <w:r w:rsidRPr="00DA4F1C">
        <w:t>Self-reported meat consumption is associated with disease risk but objective assessment of different dimensions of this heterogeneous dietary exposure in observational and intervention</w:t>
      </w:r>
      <w:r w:rsidR="00D05F54">
        <w:t>al</w:t>
      </w:r>
      <w:r w:rsidRPr="00DA4F1C">
        <w:t xml:space="preserve"> studies remains challenging.</w:t>
      </w:r>
    </w:p>
    <w:p w14:paraId="3613AECE" w14:textId="77777777" w:rsidR="00DA4F1C" w:rsidRDefault="00DA4F1C" w:rsidP="00DA4F1C">
      <w:r>
        <w:rPr>
          <w:b/>
          <w:bCs/>
        </w:rPr>
        <w:t>Objective:</w:t>
      </w:r>
      <w:r>
        <w:t xml:space="preserve"> To derive and validate scores based on plasma metabolites for types of meat consumption. For the most predictive score, we aimed to test whether the included metabolites varied with change in meat consumption, and whether the score was associated with incidence of type 2 diabetes (T2D) and other non-communicable diseases. </w:t>
      </w:r>
    </w:p>
    <w:p w14:paraId="2C25F199" w14:textId="3DF29F32" w:rsidR="00DA4F1C" w:rsidRDefault="00DA4F1C" w:rsidP="00DA4F1C">
      <w:r>
        <w:rPr>
          <w:b/>
          <w:bCs/>
        </w:rPr>
        <w:t>Methods:</w:t>
      </w:r>
      <w:r>
        <w:t xml:space="preserve"> </w:t>
      </w:r>
      <w:r w:rsidR="004C1ECF" w:rsidRPr="004C1ECF">
        <w:t>We derived scores based on 781 plasma metabolites for red m</w:t>
      </w:r>
      <w:r w:rsidR="00214772">
        <w:t>eat, processed meat and poultry consumption</w:t>
      </w:r>
      <w:r w:rsidR="004C1ECF" w:rsidRPr="004C1ECF">
        <w:t xml:space="preserve"> assessed with 7-day food records</w:t>
      </w:r>
      <w:r w:rsidR="004C1ECF">
        <w:t xml:space="preserve"> </w:t>
      </w:r>
      <w:r w:rsidR="004C1ECF" w:rsidRPr="004C1ECF">
        <w:t>among 11,432 participants</w:t>
      </w:r>
      <w:r w:rsidR="004C1ECF">
        <w:t xml:space="preserve"> in the European Prospective Investigation into Cancer and Nutrition-Norfolk (EPIC-Norfolk) cohort</w:t>
      </w:r>
      <w:r w:rsidR="004C1ECF" w:rsidRPr="004C1ECF">
        <w:t xml:space="preserve">. </w:t>
      </w:r>
      <w:r w:rsidR="004C1ECF">
        <w:t xml:space="preserve">The scores </w:t>
      </w:r>
      <w:r>
        <w:t xml:space="preserve">were then tested for internal validity in an independent subset (n=853) of the same cohort. </w:t>
      </w:r>
      <w:r w:rsidR="00214772" w:rsidRPr="00214772">
        <w:t xml:space="preserve">In focused analysis on the red meat metabolite score, </w:t>
      </w:r>
      <w:r w:rsidR="00214772">
        <w:t>w</w:t>
      </w:r>
      <w:r>
        <w:t>e</w:t>
      </w:r>
      <w:r w:rsidR="00214772">
        <w:t xml:space="preserve"> examined whether the metabolites constituting the score were also associated with meat intake in </w:t>
      </w:r>
      <w:r>
        <w:t>a randomi</w:t>
      </w:r>
      <w:r w:rsidR="001C3E9B">
        <w:t>z</w:t>
      </w:r>
      <w:r>
        <w:t xml:space="preserve">ed cross-over dietary intervention </w:t>
      </w:r>
      <w:r w:rsidR="00380C75">
        <w:t xml:space="preserve">trial </w:t>
      </w:r>
      <w:r>
        <w:t>o</w:t>
      </w:r>
      <w:r w:rsidR="00380C75">
        <w:t>f</w:t>
      </w:r>
      <w:r>
        <w:t xml:space="preserve"> meat (n=12</w:t>
      </w:r>
      <w:r w:rsidR="00BB2C3F">
        <w:t>, Lyon, France,</w:t>
      </w:r>
      <w:r w:rsidR="00BB2C3F" w:rsidRPr="00BB2C3F">
        <w:t xml:space="preserve"> </w:t>
      </w:r>
      <w:r w:rsidR="00BB2C3F" w:rsidRPr="00186BBC">
        <w:t>NCT03354130</w:t>
      </w:r>
      <w:r>
        <w:t xml:space="preserve">). In the EPIC-Norfolk Study, we assessed the association of the red meat metabolite score with T2D incidence </w:t>
      </w:r>
      <w:r w:rsidR="00745A69">
        <w:t>(n=1</w:t>
      </w:r>
      <w:r w:rsidR="003D3EFB">
        <w:t>,</w:t>
      </w:r>
      <w:r w:rsidR="00745A69">
        <w:t xml:space="preserve">478) </w:t>
      </w:r>
      <w:r>
        <w:t>and other health endpoints. </w:t>
      </w:r>
    </w:p>
    <w:p w14:paraId="5DF9AF98" w14:textId="5AE70C8D" w:rsidR="00BB2C3F" w:rsidRDefault="00DA4F1C" w:rsidP="00DA4F1C">
      <w:r>
        <w:rPr>
          <w:b/>
          <w:bCs/>
        </w:rPr>
        <w:t>Results:</w:t>
      </w:r>
      <w:r>
        <w:t xml:space="preserve"> </w:t>
      </w:r>
      <w:r w:rsidR="00214772">
        <w:t xml:space="preserve">The best performing score was for red meat, comprising 139 metabolites which accounted for 17% </w:t>
      </w:r>
      <w:r w:rsidR="00380C75">
        <w:t xml:space="preserve">of the </w:t>
      </w:r>
      <w:r w:rsidR="00214772">
        <w:t xml:space="preserve">explained variance of red meat consumption in the validation set. </w:t>
      </w:r>
      <w:r>
        <w:t xml:space="preserve">In the intervention, </w:t>
      </w:r>
      <w:r w:rsidR="00385E66">
        <w:t>11 top-rank</w:t>
      </w:r>
      <w:r w:rsidR="00C64523">
        <w:t>ed</w:t>
      </w:r>
      <w:r w:rsidR="00385E66">
        <w:t xml:space="preserve"> metabolites in the red meat metabolite score </w:t>
      </w:r>
      <w:r w:rsidR="005F422F">
        <w:t>increased significantly after</w:t>
      </w:r>
      <w:r w:rsidR="00BA4EBE">
        <w:t xml:space="preserve"> red meat </w:t>
      </w:r>
      <w:r w:rsidR="005F422F">
        <w:t>consumption</w:t>
      </w:r>
      <w:r w:rsidR="00385E66">
        <w:t xml:space="preserve">. </w:t>
      </w:r>
      <w:r>
        <w:t xml:space="preserve">In the EPIC-Norfolk study, the red meat metabolite score was associated with T2D </w:t>
      </w:r>
      <w:r w:rsidR="00BB2C3F">
        <w:t>incidence (adjusted hazard ratio per standard deviation=1.17 (95% confidence interval: 1.10</w:t>
      </w:r>
      <w:r w:rsidR="00F24E2C">
        <w:t xml:space="preserve">, </w:t>
      </w:r>
      <w:r w:rsidR="00BB2C3F">
        <w:t>1.24)).</w:t>
      </w:r>
    </w:p>
    <w:p w14:paraId="2BAC5190" w14:textId="6CD950D7" w:rsidR="00DA4F1C" w:rsidRPr="00DA4F1C" w:rsidRDefault="00DA4F1C" w:rsidP="00DA4F1C">
      <w:r>
        <w:rPr>
          <w:b/>
          <w:bCs/>
        </w:rPr>
        <w:t>Conclusions:</w:t>
      </w:r>
      <w:r>
        <w:t xml:space="preserve"> The red meat metabolite score derived and validated in this study contains </w:t>
      </w:r>
      <w:r>
        <w:lastRenderedPageBreak/>
        <w:t>metabolites directly derived from meat consumption and is associated with T2D risk. These findings suggest the potential for objective assessment of dietary components and their application for understanding diet-disease associations.</w:t>
      </w:r>
    </w:p>
    <w:p w14:paraId="2E7E7B62" w14:textId="3F682B36" w:rsidR="009A03B8" w:rsidRDefault="00D13770" w:rsidP="00735627">
      <w:pPr>
        <w:pStyle w:val="Heading1"/>
      </w:pPr>
      <w:r>
        <w:t>Key words</w:t>
      </w:r>
    </w:p>
    <w:p w14:paraId="51D4C366" w14:textId="0340CEFF" w:rsidR="009A03B8" w:rsidRPr="009A03B8" w:rsidRDefault="009A03B8" w:rsidP="005F6553">
      <w:r>
        <w:t>Metabolomics, meat, prediction, biomarker, diabetes</w:t>
      </w:r>
    </w:p>
    <w:p w14:paraId="35527E99" w14:textId="6EB9DE61" w:rsidR="00AD120E" w:rsidRDefault="00052B50" w:rsidP="00052B50">
      <w:pPr>
        <w:widowControl/>
        <w:spacing w:after="160" w:line="259" w:lineRule="auto"/>
      </w:pPr>
      <w:r>
        <w:br w:type="page"/>
      </w:r>
    </w:p>
    <w:p w14:paraId="596AE3FA" w14:textId="45DC6396" w:rsidR="00AD120E" w:rsidRDefault="003D1BE9" w:rsidP="00735627">
      <w:pPr>
        <w:pStyle w:val="Heading1"/>
      </w:pPr>
      <w:r>
        <w:lastRenderedPageBreak/>
        <w:t>Introduction (</w:t>
      </w:r>
      <w:r w:rsidR="00371097">
        <w:t>3</w:t>
      </w:r>
      <w:r w:rsidR="00846348">
        <w:t>3</w:t>
      </w:r>
      <w:r w:rsidR="00CB0D4B">
        <w:t>2</w:t>
      </w:r>
      <w:r w:rsidR="003D537E">
        <w:t xml:space="preserve"> </w:t>
      </w:r>
      <w:r w:rsidR="00AD120E">
        <w:t>words)</w:t>
      </w:r>
    </w:p>
    <w:p w14:paraId="5A298091" w14:textId="0D17280A" w:rsidR="003C16EE" w:rsidRDefault="00F43560" w:rsidP="00F43560">
      <w:r>
        <w:t xml:space="preserve">Meat is an </w:t>
      </w:r>
      <w:r w:rsidR="00FA31EC">
        <w:t xml:space="preserve">important </w:t>
      </w:r>
      <w:r>
        <w:t xml:space="preserve">component of </w:t>
      </w:r>
      <w:r w:rsidR="00307AD3">
        <w:t xml:space="preserve">the </w:t>
      </w:r>
      <w:r>
        <w:t xml:space="preserve">human diet and </w:t>
      </w:r>
      <w:r w:rsidR="00494050">
        <w:t xml:space="preserve">high consumption </w:t>
      </w:r>
      <w:r w:rsidR="00EE171F">
        <w:t>is</w:t>
      </w:r>
      <w:r>
        <w:t xml:space="preserve"> a risk factor for </w:t>
      </w:r>
      <w:r w:rsidR="002F3A00">
        <w:t xml:space="preserve">many </w:t>
      </w:r>
      <w:r w:rsidR="001152F7">
        <w:t xml:space="preserve">non-communicable </w:t>
      </w:r>
      <w:r>
        <w:t xml:space="preserve">diseases, </w:t>
      </w:r>
      <w:r w:rsidR="002F3A00">
        <w:t xml:space="preserve">including </w:t>
      </w:r>
      <w:r>
        <w:t>type 2 diabetes (T2D)</w:t>
      </w:r>
      <w:r w:rsidR="00D47385">
        <w:t xml:space="preserve"> </w:t>
      </w:r>
      <w:r w:rsidR="00220647">
        <w:fldChar w:fldCharType="begin" w:fldLock="1"/>
      </w:r>
      <w:r w:rsidR="003D41CF">
        <w:instrText>ADDIN CSL_CITATION {"citationItems":[{"id":"ITEM-1","itemData":{"DOI":"10.1016/S0140-6736(19)31786-6","ISSN":"1474547X","PMID":"31609228","abstract":"Frailty is an emerging global health burden, with major implications for clinical practice and public health. The prevalence of frailty is expected to rise alongside rapid growth in the ageing population. The course of frailty is characterised by a decline in functioning across multiple physiological systems, accompanied by an increased vulnerability to stressors. Having frailty places a person at increased risk of adverse outcomes, including falls, hospitalisation, and mortality. Studies have shown a clear pattern of increased health-care costs and use associated with frailty. All older adults are at risk of developing frailty, although risk levels are substantially higher among those with comorbidities, low socioeconomic position, poor diet, and sedentary lifestyles. Lifestyle and clinical risk factors are potentially modifiable by specific interventions and preventive actions. The concept of frailty is increasingly being used in primary, acute, and specialist care. However, despite efforts over the past three decades, agreement on a standard instrument to identify frailty has not yet been achieved. In this Series paper, we provide an overview of the global impact and burden of frailty, the usefulness of the frailty concept in clinical practice, potential targets for frailty prevention, and directions that need to be explored in the future.","author":[{"dropping-particle":"","family":"Hoogendijk","given":"Emiel O.","non-dropping-particle":"","parse-names":false,"suffix":""},{"dropping-particle":"","family":"Afilalo","given":"Jonathan","non-dropping-particle":"","parse-names":false,"suffix":""},{"dropping-particle":"","family":"Ensrud","given":"Kristine E.","non-dropping-particle":"","parse-names":false,"suffix":""},{"dropping-particle":"","family":"Kowal","given":"Paul","non-dropping-particle":"","parse-names":false,"suffix":""},{"dropping-particle":"","family":"Onder","given":"Graziano","non-dropping-particle":"","parse-names":false,"suffix":""},{"dropping-particle":"","family":"Fried","given":"Linda P.","non-dropping-particle":"","parse-names":false,"suffix":""}],"container-title":"The Lancet","id":"ITEM-1","issue":"10206","issued":{"date-parts":[["2019","10","12"]]},"page":"1365-1375","publisher":"Lancet Publishing Group","title":"Frailty: implications for clinical practice and public health","type":"article","volume":"394"},"uris":["http://www.mendeley.com/documents/?uuid=38c7504b-eb5f-3f4b-9154-2ddfc9a551ec"]},{"id":"ITEM-2","itemData":{"DOI":"10.1126/science.aam5324","ISSN":"1095-9203 (Electronic) 0036-8075 (Linking)","abstract":"Both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sciences.","author":[{"dropping-particle":"","family":"Godfray","given":"H C J","non-dropping-particle":"","parse-names":false,"suffix":""},{"dropping-particle":"","family":"Aveyard","given":"P","non-dropping-particle":"","parse-names":false,"suffix":""},{"dropping-particle":"","family":"Garnett","given":"T","non-dropping-particle":"","parse-names":false,"suffix":""},{"dropping-particle":"","family":"Hall","given":"J W","non-dropping-particle":"","parse-names":false,"suffix":""},{"dropping-particle":"","family":"Key","given":"T J","non-dropping-particle":"","parse-names":false,"suffix":""},{"dropping-particle":"","family":"Lorimer","given":"J","non-dropping-particle":"","parse-names":false,"suffix":""},{"dropping-particle":"","family":"Pierrehumbert","given":"R T","non-dropping-particle":"","parse-names":false,"suffix":""},{"dropping-particle":"","family":"Scarborough","given":"P","non-dropping-particle":"","parse-names":false,"suffix":""},{"dropping-particle":"","family":"Springmann","given":"M","non-dropping-particle":"","parse-names":false,"suffix":""},{"dropping-particle":"","family":"Jebb","given":"S A","non-dropping-particle":"","parse-names":false,"suffix":""}],"container-title":"Science","id":"ITEM-2","issue":"6399","issued":{"date-parts":[["2018"]]},"note":"Godfray, H Charles J\nAveyard, Paul\nGarnett, Tara\nHall, Jim W\nKey, Timothy J\nLorimer, Jamie\nPierrehumbert, Ray T\nScarborough, Peter\nSpringmann, Marco\nJebb, Susan A\neng\nWellcome Trust/United Kingdom\nResearch Support, Non-U.S. Gov't\nReview\nNew York, N.Y.\n2018/07/22 06:00\nScience. 2018 Jul 20;361(6399). pii: 361/6399/eaam5324. doi: 10.1126/science.aam5324.","publisher-place":"Oxford Martin Programme on the Future of Food, Oxford Martin School, University of Oxford, 34 Broad Street, Oxford OX1 3BD, UK. charles.godfray@oxfordmartin.ox.ac.uk. Department of Zoology, University of Oxford, South Parks Road, Oxford OX1 3PS, UK. Oxfor","title":"Meat consumption, health, and the environment","type":"article-journal","volume":"361"},"uris":["http://www.mendeley.com/documents/?uuid=c4bd8d17-2851-48dc-ac1c-f89f40646dcb"]},{"id":"ITEM-3","itemData":{"DOI":"10.1016/j.diabet.2020.03.004","ISSN":"18781780","PMID":"32302686","abstract":"Aims: This meta-analysis aimed to quantitatively examine the possible associations between total meat, red meat, processed meat, poultry and fish intakes and type 2 diabetes (T2D). Methods: Relevant articles were identified in PubMed, Embase and Web of Science databases using a search time up to January 2019. Generalized least-squares trend estimations and restricted cubic spline regression models were used for analysis. Results: Twenty-eight articles were included in the analysis. When comparing the highest with the lowest category of meat intake, the summary relative risk of T2D was 1.33 (95% CI: 1.16–1.52) for total meat, 1.22 (95% CI: 1.16–1.28) for red meat, 1.25 (95% CI: 1.13–1.37) for processed meat, 1.00 (95% CI: 0.93–1.07) for poultry and 1.01 (95% CI: 0.93–1.10) for fish. In the dose–response analysis, each additional 100 g/day of total and red meat, and 50 g/day of processed meat, were found to be associated with a 36% (95% CI: 1.23–1.49), 31% (95% CI: 1.19–1.45) and 46% (95% CI: 1.26–1.69) increased risk of T2D, respectively. In addition, there was evidence of a non-linear dose–response association between processed meat and T2D (P = 0.004), with the risk increasing by 30% with increasing intakes up to 30 g/day. Conclusion: Our meta-analysis has shown a linear dose–response relationship between total meat, red meat and processed meat intakes and T2D risk. In addition, a non-linear relationship of intake of processed meat with risk of T2D was detected.","author":[{"dropping-particle":"","family":"Yang","given":"Xiu","non-dropping-particle":"","parse-names":false,"suffix":""},{"dropping-particle":"","family":"Li","given":"Yuqian","non-dropping-particle":"","parse-names":false,"suffix":""},{"dropping-particle":"","family":"Wang","given":"Chongjian","non-dropping-particle":"","parse-names":false,"suffix":""},{"dropping-particle":"","family":"Mao","given":"Zhenxing","non-dropping-particle":"","parse-names":false,"suffix":""},{"dropping-particle":"","family":"Zhou","given":"Wen","non-dropping-particle":"","parse-names":false,"suffix":""},{"dropping-particle":"","family":"Zhang","given":"Lulu","non-dropping-particle":"","parse-names":false,"suffix":""},{"dropping-particle":"","family":"Fan","given":"Mengying","non-dropping-particle":"","parse-names":false,"suffix":""},{"dropping-particle":"","family":"Cui","given":"Songyang","non-dropping-particle":"","parse-names":false,"suffix":""},{"dropping-particle":"","family":"Li","given":"Linlin","non-dropping-particle":"","parse-names":false,"suffix":""}],"container-title":"Diabetes and Metabolism","id":"ITEM-3","issue":"5","issued":{"date-parts":[["2020","10","1"]]},"page":"345-352","publisher":"Elsevier Masson s.r.l.","title":"Meat and fish intake and type 2 diabetes: Dose–response meta-analysis of prospective cohort studies","type":"article","volume":"46"},"uris":["http://www.mendeley.com/documents/?uuid=a6f445e4-5c11-34ae-b2c3-ab4e1a5f1f44"]},{"id":"ITEM-4","itemData":{"DOI":"10.1136/bmj.l2368","ISSN":"1756-1833 (Electronic) 0959-8138 (Linking)","abstract":"OBJECTIVE: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author":[{"dropping-particle":"","family":"Neuenschwander","given":"M","non-dropping-particle":"","parse-names":false,"suffix":""},{"dropping-particle":"","family":"Ballon","given":"A","non-dropping-particle":"","parse-names":false,"suffix":""},{"dropping-particle":"","family":"Weber","given":"K S","non-dropping-particle":"","parse-names":false,"suffix":""},{"dropping-particle":"","family":"Norat","given":"T","non-dropping-particle":"","parse-names":false,"suffix":""},{"dropping-particle":"","family":"Aune","given":"D","non-dropping-particle":"","parse-names":false,"suffix":""},{"dropping-particle":"","family":"Schwingshackl","given":"L","non-dropping-particle":"","parse-names":false,"suffix":""},{"dropping-particle":"","family":"Schlesinger","given":"S","non-dropping-particle":"","parse-names":false,"suffix":""}],"container-title":"BMJ","id":"ITEM-4","issued":{"date-parts":[["2019"]]},"note":"Neuenschwander, Manuela\nBallon, Aurelie\nWeber, Katharina S\nNorat, Teresa\nAune, Dagfinn\nSchwingshackl, Lukas\nSchlesinger, Sabrina\neng\nMeta-Analysis\nReview\nEngland\nClinical research ed.\n2019/07/05 06:00\nBMJ. 2019 Jul 3;366:l2368. doi: 10.1136/bmj.l2368.","page":"l2368","publisher-place":"Institute for Biometrics and Epidemiology, German Diabetes Centre, Leibniz Centre for Diabetes Research at Heinrich Heine University Dusseldorf, Auf'm Hennekamp 65, D-40225 Dusseldorf, Germany. Institute for Clinical Diabetology, German Diabetes Centre, L","title":"Role of diet in type 2 diabetes incidence: umbrella review of meta-analyses of prospective observational studies","type":"article-journal","volume":"366"},"uris":["http://www.mendeley.com/documents/?uuid=8310e461-6978-4579-a0d4-d5cec20eb1ef"]},{"id":"ITEM-5","itemData":{"DOI":"10.1016/S1470-2045(15)00444-1","ISSN":"1470-2045","author":[{"dropping-particle":"","family":"Bouvard","given":"Véronique","non-dropping-particle":"","parse-names":false,"suffix":""},{"dropping-particle":"","family":"Loomis","given":"Dana","non-dropping-particle":"","parse-names":false,"suffix":""},{"dropping-particle":"","family":"Guyton","given":"Kathryn Z.","non-dropping-particle":"","parse-names":false,"suffix":""},{"dropping-particle":"","family":"Grosse","given":"Yann","non-dropping-particle":"","parse-names":false,"suffix":""},{"dropping-particle":"El","family":"Ghissassi","given":"Fatiha","non-dropping-particle":"","parse-names":false,"suffix":""},{"dropping-particle":"","family":"Benbrahim-Tallaa","given":"Lamia","non-dropping-particle":"","parse-names":false,"suffix":""},{"dropping-particle":"","family":"Guha","given":"Neela","non-dropping-particle":"","parse-names":false,"suffix":""},{"dropping-particle":"","family":"Mattock","given":"Heidi","non-dropping-particle":"","parse-names":false,"suffix":""},{"dropping-particle":"","family":"Straif","given":"Kurt","non-dropping-particle":"","parse-names":false,"suffix":""},{"dropping-particle":"","family":"Stewart","given":"B. W.","non-dropping-particle":"","parse-names":false,"suffix":""},{"dropping-particle":"","family":"Smet","given":"S. D.","non-dropping-particle":"","parse-names":false,"suffix":""},{"dropping-particle":"","family":"Corpet","given":"D.","non-dropping-particle":"","parse-names":false,"suffix":""},{"dropping-particle":"","family":"Meurillon","given":"M.","non-dropping-particle":"","parse-names":false,"suffix":""},{"dropping-particle":"","family":"Caderni","given":"Giovanna","non-dropping-particle":"","parse-names":false,"suffix":""},{"dropping-particle":"","family":"Rohrmann","given":"S.","non-dropping-particle":"","parse-names":false,"suffix":""},{"dropping-particle":"","family":"Verger","given":"P.","non-dropping-particle":"","parse-names":false,"suffix":""},{"dropping-particle":"","family":"Sasazuki","given":"S.","non-dropping-particle":"","parse-names":false,"suffix":""},{"dropping-particle":"","family":"Wakabayashi","given":"K.","non-dropping-particle":"","parse-names":false,"suffix":""},{"dropping-particle":"","family":"Weijenberg","given":"M. P.","non-dropping-particle":"","parse-names":false,"suffix":""},{"dropping-particle":"","family":"Wolk","given":"A.","non-dropping-particle":"","parse-names":false,"suffix":""},{"dropping-particle":"","family":"Cantwell","given":"M.","non-dropping-particle":"","parse-names":false,"suffix":""},{"dropping-particle":"","family":"Norat","given":"T.","non-dropping-particle":"","parse-names":false,"suffix":""},{"dropping-particle":"","family":"Vineis","given":"P.","non-dropping-particle":"","parse-names":false,"suffix":""},{"dropping-particle":"","family":"Beland","given":"F. A.","non-dropping-particle":"","parse-names":false,"suffix":""},{"dropping-particle":"","family":"Cho","given":"E.","non-dropping-particle":"","parse-names":false,"suffix":""},{"dropping-particle":"","family":"Klurfeld","given":"D. M.","non-dropping-particle":"","parse-names":false,"suffix":""},{"dropping-particle":"","family":"Marchand","given":"L. L.","non-dropping-particle":"","parse-names":false,"suffix":""},{"dropping-particle":"","family":"Sinha","given":"R.","non-dropping-particle":"","parse-names":false,"suffix":""},{"dropping-particle":"","family":"Stern","given":"M.","non-dropping-particle":"","parse-names":false,"suffix":""},{"dropping-particle":"","family":"Turesky","given":"R.","non-dropping-particle":"","parse-names":false,"suffix":""},{"dropping-particle":"","family":"Wu","given":"K.","non-dropping-particle":"","parse-names":false,"suffix":""}],"container-title":"The Lancet Oncology","id":"ITEM-5","issue":"16","issued":{"date-parts":[["2015","12","1"]]},"page":"1599-1600","publisher":"Elsevier","title":"Carcinogenicity of consumption of red and processed meat","type":"article-journal","volume":"16"},"uris":["http://www.mendeley.com/documents/?uuid=a211ce61-5be2-3b0f-b1ce-68966bea84b5"]}],"mendeley":{"formattedCitation":"(1–5)","plainTextFormattedCitation":"(1–5)","previouslyFormattedCitation":"(1–5)"},"properties":{"noteIndex":0},"schema":"https://github.com/citation-style-language/schema/raw/master/csl-citation.json"}</w:instrText>
      </w:r>
      <w:r w:rsidR="00220647">
        <w:fldChar w:fldCharType="separate"/>
      </w:r>
      <w:r w:rsidR="00AB1D57" w:rsidRPr="00AB1D57">
        <w:rPr>
          <w:noProof/>
        </w:rPr>
        <w:t>(1–5)</w:t>
      </w:r>
      <w:r w:rsidR="00220647">
        <w:fldChar w:fldCharType="end"/>
      </w:r>
      <w:r>
        <w:t>.</w:t>
      </w:r>
      <w:r w:rsidR="002F3A00">
        <w:t xml:space="preserve"> </w:t>
      </w:r>
      <w:r w:rsidR="00C106EC">
        <w:t>However,</w:t>
      </w:r>
      <w:r w:rsidR="00EE171F">
        <w:t xml:space="preserve"> meat consumption is a heterogeneous exposure and</w:t>
      </w:r>
      <w:r w:rsidR="00C106EC">
        <w:t xml:space="preserve"> assessing </w:t>
      </w:r>
      <w:r w:rsidR="00EE171F">
        <w:t xml:space="preserve">total </w:t>
      </w:r>
      <w:r w:rsidR="00F737F6">
        <w:t>meat intake</w:t>
      </w:r>
      <w:r w:rsidR="00EE171F">
        <w:t xml:space="preserve"> and specific subtypes such as red meat</w:t>
      </w:r>
      <w:r w:rsidR="00FC0D4F">
        <w:t>, processed meat and poultry</w:t>
      </w:r>
      <w:r w:rsidR="00EE171F">
        <w:t xml:space="preserve"> in</w:t>
      </w:r>
      <w:r w:rsidR="00CF4880">
        <w:t xml:space="preserve"> epidemiological</w:t>
      </w:r>
      <w:r w:rsidR="00EE171F">
        <w:t xml:space="preserve"> studies that evaluate</w:t>
      </w:r>
      <w:r>
        <w:t xml:space="preserve"> </w:t>
      </w:r>
      <w:r w:rsidR="002F3A00">
        <w:t xml:space="preserve">its </w:t>
      </w:r>
      <w:r w:rsidR="00C106EC">
        <w:t xml:space="preserve">influence </w:t>
      </w:r>
      <w:r>
        <w:t>on health outcomes</w:t>
      </w:r>
      <w:r w:rsidR="00C106EC">
        <w:t xml:space="preserve"> remains challenging</w:t>
      </w:r>
      <w:r w:rsidR="002F3A00">
        <w:t>.</w:t>
      </w:r>
    </w:p>
    <w:p w14:paraId="5C57E38D" w14:textId="79134E3D" w:rsidR="00DD05A4" w:rsidRDefault="00DD05A4" w:rsidP="007A6724"/>
    <w:p w14:paraId="352923FC" w14:textId="79086722" w:rsidR="00D313AB" w:rsidRPr="0043405B" w:rsidRDefault="00C106EC" w:rsidP="007A6724">
      <w:pPr>
        <w:rPr>
          <w:color w:val="C00000"/>
        </w:rPr>
      </w:pPr>
      <w:r w:rsidRPr="0043405B">
        <w:t>M</w:t>
      </w:r>
      <w:r w:rsidR="00FC6C08" w:rsidRPr="0043405B">
        <w:t>etabolite profil</w:t>
      </w:r>
      <w:r w:rsidRPr="0043405B">
        <w:t>ing</w:t>
      </w:r>
      <w:r w:rsidR="00FC6C08" w:rsidRPr="0043405B">
        <w:t xml:space="preserve"> </w:t>
      </w:r>
      <w:r w:rsidR="00DD05A4">
        <w:t>is</w:t>
      </w:r>
      <w:r w:rsidR="00FC6C08" w:rsidRPr="0043405B">
        <w:t xml:space="preserve"> a promising approach </w:t>
      </w:r>
      <w:r w:rsidR="00DD05A4">
        <w:t>for</w:t>
      </w:r>
      <w:r w:rsidR="00FC6C08" w:rsidRPr="0043405B">
        <w:t xml:space="preserve"> quantify</w:t>
      </w:r>
      <w:r w:rsidR="00DD05A4">
        <w:t>ing</w:t>
      </w:r>
      <w:r w:rsidR="00FC6C08" w:rsidRPr="0043405B">
        <w:t xml:space="preserve"> </w:t>
      </w:r>
      <w:r w:rsidR="00CE7B34" w:rsidRPr="0043405B">
        <w:t xml:space="preserve">habitual </w:t>
      </w:r>
      <w:r w:rsidR="00FC6C08" w:rsidRPr="0043405B">
        <w:t xml:space="preserve">meat intake and can </w:t>
      </w:r>
      <w:r w:rsidR="00DD05A4">
        <w:t>be</w:t>
      </w:r>
      <w:r w:rsidR="00FC6C08" w:rsidRPr="0043405B">
        <w:t xml:space="preserve"> a complementary approach </w:t>
      </w:r>
      <w:r w:rsidR="00DD05A4">
        <w:t xml:space="preserve">to self-reported </w:t>
      </w:r>
      <w:r w:rsidR="00CE7B34" w:rsidRPr="00C106EC">
        <w:t xml:space="preserve">dietary </w:t>
      </w:r>
      <w:r w:rsidR="00DD05A4">
        <w:t xml:space="preserve">assessment methods </w:t>
      </w:r>
      <w:r w:rsidR="00CE7B34" w:rsidRPr="00C106EC">
        <w:t>(e.g.</w:t>
      </w:r>
      <w:r w:rsidR="00164243">
        <w:t>,</w:t>
      </w:r>
      <w:r w:rsidR="00CE7B34" w:rsidRPr="00C106EC">
        <w:t xml:space="preserve"> food frequency questionnaires</w:t>
      </w:r>
      <w:r w:rsidR="00AE7C91">
        <w:t xml:space="preserve"> (FFQs)</w:t>
      </w:r>
      <w:r w:rsidR="00164243">
        <w:t xml:space="preserve"> or </w:t>
      </w:r>
      <w:r w:rsidR="00CE7B34" w:rsidRPr="00C106EC">
        <w:t>dietary records)</w:t>
      </w:r>
      <w:r w:rsidR="00D47385">
        <w:t xml:space="preserve"> </w:t>
      </w:r>
      <w:r w:rsidR="00BC4118" w:rsidRPr="00C106EC">
        <w:fldChar w:fldCharType="begin" w:fldLock="1"/>
      </w:r>
      <w:r w:rsidR="003D41CF">
        <w:instrText>ADDIN CSL_CITATION {"citationItems":[{"id":"ITEM-1","itemData":{"DOI":"10.1038/nature11708","ISSN":"00280836","PMID":"23151581","abstract":"Metabolic phenotyping involves the comprehensive analysis of biological fluids or tissue samples. This analysis allows biochemical classification of a person's physiological or pathological states that relate to disease diagnosis or prognosis at the individual level and to disease risk factors at the population level. These approaches are currently being implemented in hospital environments and in regional phenotyping centres worldwide. The ultimate aim of such work is to generate information on patient biology using techniques such as patient stratification to better inform clinicians on factors that will enhance diagnosis or the choice of therapy. There have been many reports of direct applications of metabolic phenotyping in a clinical setting. © 2012 Macmillan Publishers Limited. All rights reserved.","author":[{"dropping-particle":"","family":"Nicholson","given":"Jeremy K.","non-dropping-particle":"","parse-names":false,"suffix":""},{"dropping-particle":"","family":"Holmes","given":"Elaine","non-dropping-particle":"","parse-names":false,"suffix":""},{"dropping-particle":"","family":"Kinross","given":"James M.","non-dropping-particle":"","parse-names":false,"suffix":""},{"dropping-particle":"","family":"Darzi","given":"Ara W.","non-dropping-particle":"","parse-names":false,"suffix":""},{"dropping-particle":"","family":"Takats","given":"Zoltan","non-dropping-particle":"","parse-names":false,"suffix":""},{"dropping-particle":"","family":"Lindon","given":"John C.","non-dropping-particle":"","parse-names":false,"suffix":""}],"container-title":"Nature","id":"ITEM-1","issue":"7424","issued":{"date-parts":[["2012","11","15"]]},"page":"384-392","publisher":"Nature Publishing Group","title":"Metabolic phenotyping in clinical and surgical environments","type":"article","volume":"491"},"uris":["http://www.mendeley.com/documents/?uuid=0675c3ad-7cdd-3dc9-a9e1-9beda2cd2f2d"]},{"id":"ITEM-2","itemData":{"DOI":"10.1038/s41586-020-2896-2","ISSN":"14764687","PMID":"33177712","abstract":"The serum metabolome contains a plethora of biomarkers and causative agents of various diseases, some of which are endogenously produced and some that have been taken up from the environment1. The origins of specific compounds are known, including metabolites that are highly heritable2,3, or those that are influenced by the gut microbiome4, by lifestyle choices such as smoking5, or by diet6. However, the key determinants of most metabolites are still poorly understood. Here we measured the levels of 1,251 metabolites in serum samples from a unique and deeply phenotyped healthy human cohort of 491 individuals. We applied machine-learning algorithms to predict metabolite levels in held-out individuals on the basis of host genetics, gut microbiome, clinical parameters, diet, lifestyle and anthropometric measurements, and obtained statistically significant predictions for more than 76% of the profiled metabolites. Diet and microbiome had the strongest predictive power, and each explained hundreds of metabolites—in some cases, explaining more than 50% of the observed variance. We further validated microbiome-related predictions by showing a high replication rate in two geographically independent cohorts7,8 that were not available to us when we trained the algorithms. We used feature attribution analysis9 to reveal specific dietary and bacterial interactions. We further demonstrate that some of these interactions might be causal, as some metabolites that we predicted to be positively associated with bread were found to increase after a randomized clinical trial of bread intervention. Overall, our results reveal potential determinants of more than 800 metabolites, paving the way towards a mechanistic understanding of alterations in metabolites under different conditions and to designing interventions for manipulating the levels of circulating metabolites.","author":[{"dropping-particle":"","family":"Bar","given":"Noam","non-dropping-particle":"","parse-names":false,"suffix":""},{"dropping-particle":"","family":"Korem","given":"Tal","non-dropping-particle":"","parse-names":false,"suffix":""},{"dropping-particle":"","family":"Weissbrod","given":"Omer","non-dropping-particle":"","parse-names":false,"suffix":""},{"dropping-particle":"","family":"Zeevi","given":"David","non-dropping-particle":"","parse-names":false,"suffix":""},{"dropping-particle":"","family":"Rothschild","given":"Daphna","non-dropping-particle":"","parse-names":false,"suffix":""},{"dropping-particle":"","family":"Leviatan","given":"Sigal","non-dropping-particle":"","parse-names":false,"suffix":""},{"dropping-particle":"","family":"Kosower","given":"Noa","non-dropping-particle":"","parse-names":false,"suffix":""},{"dropping-particle":"","family":"Lotan-Pompan","given":"Maya","non-dropping-particle":"","parse-names":false,"suffix":""},{"dropping-particle":"","family":"Weinberger","given":"Adina","non-dropping-particle":"","parse-names":false,"suffix":""},{"dropping-particle":"","family":"Roy","given":"Caroline I.","non-dropping-particle":"Le","parse-names":false,"suffix":""},{"dropping-particle":"","family":"Menni","given":"Cristina","non-dropping-particle":"","parse-names":false,"suffix":""},{"dropping-particle":"","family":"Visconti","given":"Alessia","non-dropping-particle":"","parse-names":false,"suffix":""},{"dropping-particle":"","family":"Falchi","given":"Mario","non-dropping-particle":"","parse-names":false,"suffix":""},{"dropping-particle":"","family":"Spector","given":"Tim D.","non-dropping-particle":"","parse-names":false,"suffix":""},{"dropping-particle":"","family":"Vestergaard","given":"Henrik","non-dropping-particle":"","parse-names":false,"suffix":""},{"dropping-particle":"","family":"Arumugam","given":"Manimozhiyan","non-dropping-particle":"","parse-names":false,"suffix":""},{"dropping-particle":"","family":"Hansen","given":"Torben","non-dropping-particle":"","parse-names":false,"suffix":""},{"dropping-particle":"","family":"Allin","given":"Kristine","non-dropping-particle":"","parse-names":false,"suffix":""},{"dropping-particle":"","family":"Hansen","given":"Tue","non-dropping-particle":"","parse-names":false,"suffix":""},{"dropping-particle":"","family":"Hong","given":"Mun Gwan","non-dropping-particle":"","parse-names":false,"suffix":""},{"dropping-particle":"","family":"Schwenk","given":"Jochen","non-dropping-particle":"","parse-names":false,"suffix":""},{"dropping-particle":"","family":"Haussler","given":"Ragna","non-dropping-particle":"","parse-names":false,"suffix":""},{"dropping-particle":"","family":"Dale","given":"Matilda","non-dropping-particle":"","parse-names":false,"suffix":""},{"dropping-particle":"","family":"Giorgino","given":"Toni","non-dropping-particle":"","parse-names":false,"suffix":""},{"dropping-particle":"","family":"Rodriquez","given":"Marianne","non-dropping-particle":"","parse-names":false,"suffix":""},{"dropping-particle":"","family":"Perry","given":"Mandy","non-dropping-particle":"","parse-names":false,"suffix":""},{"dropping-particle":"","family":"Nice","given":"Rachel","non-dropping-particle":"","parse-names":false,"suffix":""},{"dropping-particle":"","family":"McDonald","given":"Timothy","non-dropping-particle":"","parse-names":false,"suffix":""},{"dropping-particle":"","family":"Hattersley","given":"Andrew","non-dropping-particle":"","parse-names":false,"suffix":""},{"dropping-particle":"","family":"Jones","given":"Angus","non-dropping-particle":"","parse-names":false,"suffix":""},{"dropping-particle":"","family":"Graefe-Mody","given":"Ulrike","non-dropping-particle":"","parse-names":false,"suffix":""},{"dropping-particle":"","family":"Baum","given":"Patrick","non-dropping-particle":"","parse-names":false,"suffix":""},{"dropping-particle":"","family":"Grempler","given":"Rolf","non-dropping-particle":"","parse-names":false,"suffix":""},{"dropping-particle":"","family":"Thomas","given":"Cecilia Engel","non-dropping-particle":"","parse-names":false,"suffix":""},{"dropping-particle":"De","family":"Masi","given":"Federico","non-dropping-particle":"","parse-names":false,"suffix":""},{"dropping-particle":"","family":"Brorsson","given":"Caroline Anna","non-dropping-particle":"","parse-names":false,"suffix":""},{"dropping-particle":"","family":"Mazzoni","given":"Gianluca","non-dropping-particle":"","parse-names":false,"suffix":""},{"dropping-particle":"","family":"Allesøe","given":"Rosa","non-dropping-particle":"","parse-names":false,"suffix":""},{"dropping-particle":"","family":"Rasmussen","given":"Simon","non-dropping-particle":"","parse-names":false,"suffix":""},{"dropping-particle":"","family":"Gudmundsdóttir","given":"Valborg","non-dropping-particle":"","parse-names":false,"suffix":""},{"dropping-particle":"","family":"Nielsen","given":"Agnes Martine","non-dropping-particle":"","parse-names":false,"suffix":""},{"dropping-particle":"","family":"Banasik","given":"Karina","non-dropping-particle":"","parse-names":false,"suffix":""},{"dropping-particle":"","family":"Tsirigos","given":"Konstantinos","non-dropping-particle":"","parse-names":false,"suffix":""},{"dropping-particle":"","family":"Nilsson","given":"Birgitte","non-dropping-particle":"","parse-names":false,"suffix":""},{"dropping-particle":"","family":"Pedersen","given":"Helle","non-dropping-particle":"","parse-names":false,"suffix":""},{"dropping-particle":"","family":"Brunak","given":"Søren","non-dropping-particle":"","parse-names":false,"suffix":""},{"dropping-particle":"","family":"Karaderi","given":"Tugce","non-dropping-particle":"","parse-names":false,"suffix":""},{"dropping-particle":"","family":"Lundgaard","given":"Agnete Troen","non-dropping-particle":"","parse-names":false,"suffix":""},{"dropping-particle":"","family":"Johansen","given":"Joachim","non-dropping-particle":"","parse-names":false,"suffix":""},{"dropping-particle":"","family":"Gupta","given":"Ramneek","non-dropping-particle":"","parse-names":false,"suffix":""},{"dropping-particle":"","family":"Sackett","given":"Peter Wad","non-dropping-particle":"","parse-names":false,"suffix":""},{"dropping-particle":"","family":"Tillner","given":"Joachim","non-dropping-particle":"","parse-names":false,"suffix":""},{"dropping-particle":"","family":"Lehr","given":"Thorsten","non-dropping-particle":"","parse-names":false,"suffix":""},{"dropping-particle":"","family":"Scherer","given":"Nina","non-dropping-particle":"","parse-names":false,"suffix":""},{"dropping-particle":"","family":"Dings","given":"Christiane","non-dropping-particle":"","parse-names":false,"suffix":""},{"dropping-particle":"","family":"Sihinevich","given":"Iryna","non-dropping-particle":"","parse-names":false,"suffix":""},{"dropping-particle":"","family":"Loftus","given":"Heather","non-dropping-particle":"","parse-names":false,"suffix":""},{"dropping-particle":"","family":"Cabrelli","given":"Louise","non-dropping-particle":"","parse-names":false,"suffix":""},{"dropping-particle":"","family":"McEvoy","given":"Donna","non-dropping-particle":"","parse-names":false,"suffix":""},{"dropping-particle":"","family":"Mari","given":"Andrea","non-dropping-particle":"","parse-names":false,"suffix":""},{"dropping-particle":"","family":"Bizzotto","given":"Roberto","non-dropping-particle":"","parse-names":false,"suffix":""},{"dropping-particle":"","family":"Tura","given":"Andrea","non-dropping-particle":"","parse-names":false,"suffix":""},{"dropping-particle":"","family":"’t Hart","given":"Leen","non-dropping-particle":"","parse-names":false,"suffix":""},{"dropping-particle":"","family":"Dekkers","given":"Koen","non-dropping-particle":"","parse-names":false,"suffix":""},{"dropping-particle":"van","family":"Leeuwen","given":"Nienke","non-dropping-particle":"","parse-names":false,"suffix":""},{"dropping-particle":"","family":"Slieker","given":"Roderick","non-dropping-particle":"","parse-names":false,"suffix":""},{"dropping-particle":"","family":"Rutters","given":"Femke","non-dropping-particle":"","parse-names":false,"suffix":""},{"dropping-particle":"","family":"Beulens","given":"Joline","non-dropping-particle":"","parse-names":false,"suffix":""},{"dropping-particle":"","family":"Nijpels","given":"Giel","non-dropping-particle":"","parse-names":false,"suffix":""},{"dropping-particle":"","family":"Koopman","given":"Anitra","non-dropping-particle":"","parse-names":false,"suffix":""},{"dropping-particle":"van","family":"Oort","given":"Sabine","non-dropping-particle":"","parse-names":false,"suffix":""},{"dropping-particle":"","family":"Groeneveld","given":"Lenka","non-dropping-particle":"","parse-names":false,"suffix":""},{"dropping-particle":"","family":"Groop","given":"Leif","non-dropping-particle":"","parse-names":false,"suffix":""},{"dropping-particle":"","family":"Elders","given":"Petra","non-dropping-particle":"","parse-names":false,"suffix":""},{"dropping-particle":"","family":"Viñuela","given":"Ana","non-dropping-particle":"","parse-names":false,"suffix":""},{"dropping-particle":"","family":"Ramisch","given":"Anna","non-dropping-particle":"","parse-names":false,"suffix":""},{"dropping-particle":"","family":"Dermitzakis","given":"Emmanouil","non-dropping-particle":"","parse-names":false,"suffix":""},{"dropping-particle":"","family":"Ehrhardt","given":"Beate","non-dropping-particle":"","parse-names":false,"suffix":""},{"dropping-particle":"","family":"Jennison","given":"Christopher","non-dropping-particle":"","parse-names":false,"suffix":""},{"dropping-particle":"","family":"Froguel","given":"Philippe","non-dropping-particle":"","parse-names":false,"suffix":""},{"dropping-particle":"","family":"Canouil","given":"Mickaël","non-dropping-particle":"","parse-names":false,"suffix":""},{"dropping-particle":"","family":"Boneford","given":"Amélie","non-dropping-particle":"","parse-names":false,"suffix":""},{"dropping-particle":"","family":"McVittie","given":"Ian","non-dropping-particle":"","parse-names":false,"suffix":""},{"dropping-particle":"","family":"Wake","given":"Dianne","non-dropping-particle":"","parse-names":false,"suffix":""},{"dropping-particle":"","family":"Frau","given":"Francesca","non-dropping-particle":"","parse-names":false,"suffix":""},{"dropping-particle":"","family":"Staerfeldt","given":"Hans Henrik","non-dropping-particle":"","parse-names":false,"suffix":""},{"dropping-particle":"","family":"Adragni","given":"Kofi","non-dropping-particle":"","parse-names":false,"suffix":""},{"dropping-particle":"","family":"Thomas","given":"Melissa","non-dropping-particle":"","parse-names":false,"suffix":""},{"dropping-particle":"","family":"Wu","given":"Han","non-dropping-particle":"","parse-names":false,"suffix":""},{"dropping-particle":"","family":"Pavo","given":"Imre","non-dropping-particle":"","parse-names":false,"suffix":""},{"dropping-particle":"","family":"Steckel-Hamann","given":"Birgit","non-dropping-particle":"","parse-names":false,"suffix":""},{"dropping-particle":"","family":"Thomsen","given":"Henrik","non-dropping-particle":"","parse-names":false,"suffix":""},{"dropping-particle":"","family":"Giordano","given":"Giuseppe Nicola","non-dropping-particle":"","parse-names":false,"suffix":""},{"dropping-particle":"","family":"Fitipaldi","given":"Hugo","non-dropping-particle":"","parse-names":false,"suffix":""},{"dropping-particle":"","family":"Ridderstråle","given":"Martin","non-dropping-particle":"","parse-names":false,"suffix":""},{"dropping-particle":"","family":"Kurbasic","given":"Azra","non-dropping-particle":"","parse-names":false,"suffix":""},{"dropping-particle":"","family":"Pasdar","given":"Naeimeh Atabaki","non-dropping-particle":"","parse-names":false,"suffix":""},{"dropping-particle":"","family":"Pomares-Millan","given":"Hugo","non-dropping-particle":"","parse-names":false,"suffix":""},{"dropping-particle":"","family":"Mutie","given":"Pascal","non-dropping-particle":"","parse-names":false,"suffix":""},{"dropping-particle":"","family":"Koivula","given":"Robert","non-dropping-particle":"","parse-names":false,"suffix":""},{"dropping-particle":"","family":"McRobert","given":"Nicky","non-dropping-particle":"","parse-names":false,"suffix":""},{"dropping-particle":"","family":"McCarthy","given":"Mark","non-dropping-particle":"","parse-names":false,"suffix":""},{"dropping-particle":"","family":"Wesolowska-Andersen","given":"Agata","non-dropping-particle":"","parse-names":false,"suffix":""},{"dropping-particle":"","family":"Mahajan","given":"Anubha","non-dropping-particle":"","parse-names":false,"suffix":""},{"dropping-particle":"","family":"Abdalla","given":"Moustafa","non-dropping-particle":"","parse-names":false,"suffix":""},{"dropping-particle":"","family":"Fernandez","given":"Juan","non-dropping-particle":"","parse-names":false,"suffix":""},{"dropping-particle":"","family":"Holl","given":"Reinhard","non-dropping-particle":"","parse-names":false,"suffix":""},{"dropping-particle":"","family":"Heggie","given":"Alison","non-dropping-particle":"","parse-names":false,"suffix":""},{"dropping-particle":"","family":"Deshmukh","given":"Harshal","non-dropping-particle":"","parse-names":false,"suffix":""},{"dropping-particle":"","family":"Hennige","given":"Anita","non-dropping-particle":"","parse-names":false,"suffix":""},{"dropping-particle":"","family":"Bianzano","given":"Susanna","non-dropping-particle":"","parse-names":false,"suffix":""},{"dropping-particle":"","family":"Thorand","given":"Barbara","non-dropping-particle":"","parse-names":false,"suffix":""},{"dropping-particle":"","family":"Sharma","given":"Sapna","non-dropping-particle":"","parse-names":false,"suffix":""},{"dropping-particle":"","family":"Grallert","given":"Harald","non-dropping-particle":"","parse-names":false,"suffix":""},{"dropping-particle":"","family":"Adam","given":"Jonathan","non-dropping-particle":"","parse-names":false,"suffix":""},{"dropping-particle":"","family":"Troll","given":"Martina","non-dropping-particle":"","parse-names":false,"suffix":""},{"dropping-particle":"","family":"Fritsche","given":"Andreas","non-dropping-particle":"","parse-names":false,"suffix":""},{"dropping-particle":"","family":"Hill","given":"Anita","non-dropping-particle":"","parse-names":false,"suffix":""},{"dropping-particle":"","family":"Thorne","given":"Claire","non-dropping-particle":"","parse-names":false,"suffix":""},{"dropping-particle":"","family":"Hudson","given":"Michelle","non-dropping-particle":"","parse-names":false,"suffix":""},{"dropping-particle":"","family":"Kuulasmaa","given":"Teemu","non-dropping-particle":"","parse-names":false,"suffix":""},{"dropping-particle":"","family":"Vangipurapu","given":"Jagadish","non-dropping-particle":"","parse-names":false,"suffix":""},{"dropping-particle":"","family":"Laakso","given":"Markku","non-dropping-particle":"","parse-names":false,"suffix":""},{"dropping-particle":"","family":"Cederberg","given":"Henna","non-dropping-particle":"","parse-names":false,"suffix":""},{"dropping-particle":"","family":"Kokkola","given":"Tarja","non-dropping-particle":"","parse-names":false,"suffix":""},{"dropping-particle":"","family":"Jiao","given":"Yunlong","non-dropping-particle":"","parse-names":false,"suffix":""},{"dropping-particle":"","family":"Gough","given":"Stephen","non-dropping-particle":"","parse-names":false,"suffix":""},{"dropping-particle":"","family":"Robertson","given":"Neil","non-dropping-particle":"","parse-names":false,"suffix":""},{"dropping-particle":"","family":"Verkindt","given":"Helene","non-dropping-particle":"","parse-names":false,"suffix":""},{"dropping-particle":"","family":"Raverdi","given":"Violeta","non-dropping-particle":"","parse-names":false,"suffix":""},{"dropping-particle":"","family":"Caiazzo","given":"Robert","non-dropping-particle":"","parse-names":false,"suffix":""},{"dropping-particle":"","family":"Pattou","given":"Francois","non-dropping-particle":"","parse-names":false,"suffix":""},{"dropping-particle":"","family":"White","given":"Margaret","non-dropping-particle":"","parse-names":false,"suffix":""},{"dropping-particle":"","family":"Donnelly","given":"Louise","non-dropping-particle":"","parse-names":false,"suffix":""},{"dropping-particle":"","family":"Brown","given":"Andrew","non-dropping-particle":"","parse-names":false,"suffix":""},{"dropping-particle":"","family":"Palmer","given":"Colin","non-dropping-particle":"","parse-names":false,"suffix":""},{"dropping-particle":"","family":"Davtian","given":"David","non-dropping-particle":"","parse-names":false,"suffix":""},{"dropping-particle":"","family":"Dawed","given":"Adem","non-dropping-particle":"","parse-names":false,"suffix":""},{"dropping-particle":"","family":"Forgie","given":"Ian","non-dropping-particle":"","parse-names":false,"suffix":""},{"dropping-particle":"","family":"Pearson","given":"Ewan","non-dropping-particle":"","parse-names":false,"suffix":""},{"dropping-particle":"","family":"Ruetten","given":"Hartmut","non-dropping-particle":"","parse-names":false,"suffix":""},{"dropping-particle":"","family":"Musholt","given":"Petra","non-dropping-particle":"","parse-names":false,"suffix":""},{"dropping-particle":"","family":"Bell","given":"Jimmy","non-dropping-particle":"","parse-names":false,"suffix":""},{"dropping-particle":"","family":"Thomas","given":"Elizabeth Louise","non-dropping-particle":"","parse-names":false,"suffix":""},{"dropping-particle":"","family":"Whitcher","given":"Brandon","non-dropping-particle":"","parse-names":false,"suffix":""},{"dropping-particle":"","family":"Haid","given":"Mark","non-dropping-particle":"","parse-names":false,"suffix":""},{"dropping-particle":"","family":"Nicolay","given":"Claudia","non-dropping-particle":"","parse-names":false,"suffix":""},{"dropping-particle":"","family":"Mourby","given":"Miranda","non-dropping-particle":"","parse-names":false,"suffix":""},{"dropping-particle":"","family":"Kaye","given":"Jane","non-dropping-particle":"","parse-names":false,"suffix":""},{"dropping-particle":"","family":"Shah","given":"Nisha","non-dropping-particle":"","parse-names":false,"suffix":""},{"dropping-particle":"","family":"Teare","given":"Harriet","non-dropping-particle":"","parse-names":false,"suffix":""},{"dropping-particle":"","family":"Frost","given":"Gary","non-dropping-particle":"","parse-names":false,"suffix":""},{"dropping-particle":"","family":"Jablonka","given":"Bernd","non-dropping-particle":"","parse-names":false,"suffix":""},{"dropping-particle":"","family":"Uhlen","given":"Mathias","non-dropping-particle":"","parse-names":false,"suffix":""},{"dropping-particle":"","family":"Eriksen","given":"Rebeca","non-dropping-particle":"","parse-names":false,"suffix":""},{"dropping-particle":"","family":"Vogt","given":"Josef","non-dropping-particle":"","parse-names":false,"suffix":""},{"dropping-particle":"","family":"Dutta","given":"Avirup","non-dropping-particle":"","parse-names":false,"suffix":""},{"dropping-particle":"","family":"Jonsson","given":"Anna","non-dropping-particle":"","parse-names":false,"suffix":""},{"dropping-particle":"","family":"Engelbrechtsen","given":"Line","non-dropping-particle":"","parse-names":false,"suffix":""},{"dropping-particle":"","family":"Forman","given":"Annemette","non-dropping-particle":"","parse-names":false,"suffix":""},{"dropping-particle":"","family":"Sondertoft","given":"Nadja","non-dropping-particle":"","parse-names":false,"suffix":""},{"dropping-particle":"","family":"Preville","given":"Nathalie","non-dropping-particle":"de","parse-names":false,"suffix":""},{"dropping-particle":"","family":"Baltauss","given":"Tania","non-dropping-particle":"","parse-names":false,"suffix":""},{"dropping-particle":"","family":"Walker","given":"Mark","non-dropping-particle":"","parse-names":false,"suffix":""},{"dropping-particle":"","family":"Gassenhuber","given":"Johann","non-dropping-particle":"","parse-names":false,"suffix":""},{"dropping-particle":"","family":"Klintenberg","given":"Maria","non-dropping-particle":"","parse-names":false,"suffix":""},{"dropping-particle":"","family":"Bergstrom","given":"Margit","non-dropping-particle":"","parse-names":false,"suffix":""},{"dropping-particle":"","family":"Ferrer","given":"Jorge","non-dropping-particle":"","parse-names":false,"suffix":""},{"dropping-particle":"","family":"Adamski","given":"Jerzy","non-dropping-particle":"","parse-names":false,"suffix":""},{"dropping-particle":"","family":"Franks","given":"Paul W.","non-dropping-particle":"","parse-names":false,"suffix":""},{"dropping-particle":"","family":"Pedersen","given":"Oluf","non-dropping-particle":"","parse-names":false,"suffix":""},{"dropping-particle":"","family":"Segal","given":"Eran","non-dropping-particle":"","parse-names":false,"suffix":""}],"container-title":"Nature","id":"ITEM-2","issue":"7836","issued":{"date-parts":[["2020"]]},"page":"135-140","title":"A reference map of potential determinants for the human serum metabolome","type":"article-journal","volume":"588"},"uris":["http://www.mendeley.com/documents/?uuid=17c1e6ac-c1e5-46c2-8f1c-4b322e600d58"]}],"mendeley":{"formattedCitation":"(6,7)","plainTextFormattedCitation":"(6,7)","previouslyFormattedCitation":"(6,7)"},"properties":{"noteIndex":0},"schema":"https://github.com/citation-style-language/schema/raw/master/csl-citation.json"}</w:instrText>
      </w:r>
      <w:r w:rsidR="00BC4118" w:rsidRPr="00C106EC">
        <w:rPr>
          <w:vertAlign w:val="superscript"/>
        </w:rPr>
        <w:fldChar w:fldCharType="separate"/>
      </w:r>
      <w:r w:rsidR="00AB1D57" w:rsidRPr="00AB1D57">
        <w:rPr>
          <w:noProof/>
        </w:rPr>
        <w:t>(6,7)</w:t>
      </w:r>
      <w:r w:rsidR="00BC4118" w:rsidRPr="00C106EC">
        <w:fldChar w:fldCharType="end"/>
      </w:r>
      <w:r w:rsidR="00F43560" w:rsidRPr="00C106EC">
        <w:t>.</w:t>
      </w:r>
      <w:r w:rsidR="00CB4E0A" w:rsidRPr="00C106EC">
        <w:t xml:space="preserve"> </w:t>
      </w:r>
      <w:r w:rsidR="003D3FE0">
        <w:t xml:space="preserve">Diet is an important determinant of the plasma metabolome and one study estimated that it </w:t>
      </w:r>
      <w:r w:rsidR="001942D6">
        <w:t xml:space="preserve">accounts for </w:t>
      </w:r>
      <w:r w:rsidR="00A419EF">
        <w:t xml:space="preserve">50% of </w:t>
      </w:r>
      <w:r w:rsidR="00307AD3">
        <w:t xml:space="preserve">the </w:t>
      </w:r>
      <w:r w:rsidR="00D111E0">
        <w:t xml:space="preserve">explainable </w:t>
      </w:r>
      <w:r w:rsidR="00A419EF">
        <w:t xml:space="preserve">variance, </w:t>
      </w:r>
      <w:r w:rsidR="00A5539C">
        <w:t>compared to</w:t>
      </w:r>
      <w:r w:rsidR="00A419EF" w:rsidRPr="00C2517A">
        <w:t xml:space="preserve"> </w:t>
      </w:r>
      <w:r w:rsidR="00A419EF">
        <w:t>2</w:t>
      </w:r>
      <w:r w:rsidR="00A419EF" w:rsidRPr="00C2517A">
        <w:t>%</w:t>
      </w:r>
      <w:r w:rsidR="00A419EF">
        <w:t xml:space="preserve"> </w:t>
      </w:r>
      <w:r w:rsidR="00D111E0">
        <w:t xml:space="preserve">of the variance explained </w:t>
      </w:r>
      <w:r w:rsidR="00A5539C">
        <w:t>by lifestyle factors</w:t>
      </w:r>
      <w:r w:rsidR="00240FE2">
        <w:t>, including smoking status, exercise time, etc.</w:t>
      </w:r>
      <w:r w:rsidR="00D47385">
        <w:t xml:space="preserve"> </w:t>
      </w:r>
      <w:r w:rsidR="00C25C2A">
        <w:fldChar w:fldCharType="begin" w:fldLock="1"/>
      </w:r>
      <w:r w:rsidR="003D41CF">
        <w:instrText>ADDIN CSL_CITATION {"citationItems":[{"id":"ITEM-1","itemData":{"DOI":"10.1038/s41586-020-2896-2","ISSN":"14764687","PMID":"33177712","abstract":"The serum metabolome contains a plethora of biomarkers and causative agents of various diseases, some of which are endogenously produced and some that have been taken up from the environment1. The origins of specific compounds are known, including metabolites that are highly heritable2,3, or those that are influenced by the gut microbiome4, by lifestyle choices such as smoking5, or by diet6. However, the key determinants of most metabolites are still poorly understood. Here we measured the levels of 1,251 metabolites in serum samples from a unique and deeply phenotyped healthy human cohort of 491 individuals. We applied machine-learning algorithms to predict metabolite levels in held-out individuals on the basis of host genetics, gut microbiome, clinical parameters, diet, lifestyle and anthropometric measurements, and obtained statistically significant predictions for more than 76% of the profiled metabolites. Diet and microbiome had the strongest predictive power, and each explained hundreds of metabolites—in some cases, explaining more than 50% of the observed variance. We further validated microbiome-related predictions by showing a high replication rate in two geographically independent cohorts7,8 that were not available to us when we trained the algorithms. We used feature attribution analysis9 to reveal specific dietary and bacterial interactions. We further demonstrate that some of these interactions might be causal, as some metabolites that we predicted to be positively associated with bread were found to increase after a randomized clinical trial of bread intervention. Overall, our results reveal potential determinants of more than 800 metabolites, paving the way towards a mechanistic understanding of alterations in metabolites under different conditions and to designing interventions for manipulating the levels of circulating metabolites.","author":[{"dropping-particle":"","family":"Bar","given":"Noam","non-dropping-particle":"","parse-names":false,"suffix":""},{"dropping-particle":"","family":"Korem","given":"Tal","non-dropping-particle":"","parse-names":false,"suffix":""},{"dropping-particle":"","family":"Weissbrod","given":"Omer","non-dropping-particle":"","parse-names":false,"suffix":""},{"dropping-particle":"","family":"Zeevi","given":"David","non-dropping-particle":"","parse-names":false,"suffix":""},{"dropping-particle":"","family":"Rothschild","given":"Daphna","non-dropping-particle":"","parse-names":false,"suffix":""},{"dropping-particle":"","family":"Leviatan","given":"Sigal","non-dropping-particle":"","parse-names":false,"suffix":""},{"dropping-particle":"","family":"Kosower","given":"Noa","non-dropping-particle":"","parse-names":false,"suffix":""},{"dropping-particle":"","family":"Lotan-Pompan","given":"Maya","non-dropping-particle":"","parse-names":false,"suffix":""},{"dropping-particle":"","family":"Weinberger","given":"Adina","non-dropping-particle":"","parse-names":false,"suffix":""},{"dropping-particle":"","family":"Roy","given":"Caroline I.","non-dropping-particle":"Le","parse-names":false,"suffix":""},{"dropping-particle":"","family":"Menni","given":"Cristina","non-dropping-particle":"","parse-names":false,"suffix":""},{"dropping-particle":"","family":"Visconti","given":"Alessia","non-dropping-particle":"","parse-names":false,"suffix":""},{"dropping-particle":"","family":"Falchi","given":"Mario","non-dropping-particle":"","parse-names":false,"suffix":""},{"dropping-particle":"","family":"Spector","given":"Tim D.","non-dropping-particle":"","parse-names":false,"suffix":""},{"dropping-particle":"","family":"Vestergaard","given":"Henrik","non-dropping-particle":"","parse-names":false,"suffix":""},{"dropping-particle":"","family":"Arumugam","given":"Manimozhiyan","non-dropping-particle":"","parse-names":false,"suffix":""},{"dropping-particle":"","family":"Hansen","given":"Torben","non-dropping-particle":"","parse-names":false,"suffix":""},{"dropping-particle":"","family":"Allin","given":"Kristine","non-dropping-particle":"","parse-names":false,"suffix":""},{"dropping-particle":"","family":"Hansen","given":"Tue","non-dropping-particle":"","parse-names":false,"suffix":""},{"dropping-particle":"","family":"Hong","given":"Mun Gwan","non-dropping-particle":"","parse-names":false,"suffix":""},{"dropping-particle":"","family":"Schwenk","given":"Jochen","non-dropping-particle":"","parse-names":false,"suffix":""},{"dropping-particle":"","family":"Haussler","given":"Ragna","non-dropping-particle":"","parse-names":false,"suffix":""},{"dropping-particle":"","family":"Dale","given":"Matilda","non-dropping-particle":"","parse-names":false,"suffix":""},{"dropping-particle":"","family":"Giorgino","given":"Toni","non-dropping-particle":"","parse-names":false,"suffix":""},{"dropping-particle":"","family":"Rodriquez","given":"Marianne","non-dropping-particle":"","parse-names":false,"suffix":""},{"dropping-particle":"","family":"Perry","given":"Mandy","non-dropping-particle":"","parse-names":false,"suffix":""},{"dropping-particle":"","family":"Nice","given":"Rachel","non-dropping-particle":"","parse-names":false,"suffix":""},{"dropping-particle":"","family":"McDonald","given":"Timothy","non-dropping-particle":"","parse-names":false,"suffix":""},{"dropping-particle":"","family":"Hattersley","given":"Andrew","non-dropping-particle":"","parse-names":false,"suffix":""},{"dropping-particle":"","family":"Jones","given":"Angus","non-dropping-particle":"","parse-names":false,"suffix":""},{"dropping-particle":"","family":"Graefe-Mody","given":"Ulrike","non-dropping-particle":"","parse-names":false,"suffix":""},{"dropping-particle":"","family":"Baum","given":"Patrick","non-dropping-particle":"","parse-names":false,"suffix":""},{"dropping-particle":"","family":"Grempler","given":"Rolf","non-dropping-particle":"","parse-names":false,"suffix":""},{"dropping-particle":"","family":"Thomas","given":"Cecilia Engel","non-dropping-particle":"","parse-names":false,"suffix":""},{"dropping-particle":"De","family":"Masi","given":"Federico","non-dropping-particle":"","parse-names":false,"suffix":""},{"dropping-particle":"","family":"Brorsson","given":"Caroline Anna","non-dropping-particle":"","parse-names":false,"suffix":""},{"dropping-particle":"","family":"Mazzoni","given":"Gianluca","non-dropping-particle":"","parse-names":false,"suffix":""},{"dropping-particle":"","family":"Allesøe","given":"Rosa","non-dropping-particle":"","parse-names":false,"suffix":""},{"dropping-particle":"","family":"Rasmussen","given":"Simon","non-dropping-particle":"","parse-names":false,"suffix":""},{"dropping-particle":"","family":"Gudmundsdóttir","given":"Valborg","non-dropping-particle":"","parse-names":false,"suffix":""},{"dropping-particle":"","family":"Nielsen","given":"Agnes Martine","non-dropping-particle":"","parse-names":false,"suffix":""},{"dropping-particle":"","family":"Banasik","given":"Karina","non-dropping-particle":"","parse-names":false,"suffix":""},{"dropping-particle":"","family":"Tsirigos","given":"Konstantinos","non-dropping-particle":"","parse-names":false,"suffix":""},{"dropping-particle":"","family":"Nilsson","given":"Birgitte","non-dropping-particle":"","parse-names":false,"suffix":""},{"dropping-particle":"","family":"Pedersen","given":"Helle","non-dropping-particle":"","parse-names":false,"suffix":""},{"dropping-particle":"","family":"Brunak","given":"Søren","non-dropping-particle":"","parse-names":false,"suffix":""},{"dropping-particle":"","family":"Karaderi","given":"Tugce","non-dropping-particle":"","parse-names":false,"suffix":""},{"dropping-particle":"","family":"Lundgaard","given":"Agnete Troen","non-dropping-particle":"","parse-names":false,"suffix":""},{"dropping-particle":"","family":"Johansen","given":"Joachim","non-dropping-particle":"","parse-names":false,"suffix":""},{"dropping-particle":"","family":"Gupta","given":"Ramneek","non-dropping-particle":"","parse-names":false,"suffix":""},{"dropping-particle":"","family":"Sackett","given":"Peter Wad","non-dropping-particle":"","parse-names":false,"suffix":""},{"dropping-particle":"","family":"Tillner","given":"Joachim","non-dropping-particle":"","parse-names":false,"suffix":""},{"dropping-particle":"","family":"Lehr","given":"Thorsten","non-dropping-particle":"","parse-names":false,"suffix":""},{"dropping-particle":"","family":"Scherer","given":"Nina","non-dropping-particle":"","parse-names":false,"suffix":""},{"dropping-particle":"","family":"Dings","given":"Christiane","non-dropping-particle":"","parse-names":false,"suffix":""},{"dropping-particle":"","family":"Sihinevich","given":"Iryna","non-dropping-particle":"","parse-names":false,"suffix":""},{"dropping-particle":"","family":"Loftus","given":"Heather","non-dropping-particle":"","parse-names":false,"suffix":""},{"dropping-particle":"","family":"Cabrelli","given":"Louise","non-dropping-particle":"","parse-names":false,"suffix":""},{"dropping-particle":"","family":"McEvoy","given":"Donna","non-dropping-particle":"","parse-names":false,"suffix":""},{"dropping-particle":"","family":"Mari","given":"Andrea","non-dropping-particle":"","parse-names":false,"suffix":""},{"dropping-particle":"","family":"Bizzotto","given":"Roberto","non-dropping-particle":"","parse-names":false,"suffix":""},{"dropping-particle":"","family":"Tura","given":"Andrea","non-dropping-particle":"","parse-names":false,"suffix":""},{"dropping-particle":"","family":"’t Hart","given":"Leen","non-dropping-particle":"","parse-names":false,"suffix":""},{"dropping-particle":"","family":"Dekkers","given":"Koen","non-dropping-particle":"","parse-names":false,"suffix":""},{"dropping-particle":"van","family":"Leeuwen","given":"Nienke","non-dropping-particle":"","parse-names":false,"suffix":""},{"dropping-particle":"","family":"Slieker","given":"Roderick","non-dropping-particle":"","parse-names":false,"suffix":""},{"dropping-particle":"","family":"Rutters","given":"Femke","non-dropping-particle":"","parse-names":false,"suffix":""},{"dropping-particle":"","family":"Beulens","given":"Joline","non-dropping-particle":"","parse-names":false,"suffix":""},{"dropping-particle":"","family":"Nijpels","given":"Giel","non-dropping-particle":"","parse-names":false,"suffix":""},{"dropping-particle":"","family":"Koopman","given":"Anitra","non-dropping-particle":"","parse-names":false,"suffix":""},{"dropping-particle":"van","family":"Oort","given":"Sabine","non-dropping-particle":"","parse-names":false,"suffix":""},{"dropping-particle":"","family":"Groeneveld","given":"Lenka","non-dropping-particle":"","parse-names":false,"suffix":""},{"dropping-particle":"","family":"Groop","given":"Leif","non-dropping-particle":"","parse-names":false,"suffix":""},{"dropping-particle":"","family":"Elders","given":"Petra","non-dropping-particle":"","parse-names":false,"suffix":""},{"dropping-particle":"","family":"Viñuela","given":"Ana","non-dropping-particle":"","parse-names":false,"suffix":""},{"dropping-particle":"","family":"Ramisch","given":"Anna","non-dropping-particle":"","parse-names":false,"suffix":""},{"dropping-particle":"","family":"Dermitzakis","given":"Emmanouil","non-dropping-particle":"","parse-names":false,"suffix":""},{"dropping-particle":"","family":"Ehrhardt","given":"Beate","non-dropping-particle":"","parse-names":false,"suffix":""},{"dropping-particle":"","family":"Jennison","given":"Christopher","non-dropping-particle":"","parse-names":false,"suffix":""},{"dropping-particle":"","family":"Froguel","given":"Philippe","non-dropping-particle":"","parse-names":false,"suffix":""},{"dropping-particle":"","family":"Canouil","given":"Mickaël","non-dropping-particle":"","parse-names":false,"suffix":""},{"dropping-particle":"","family":"Boneford","given":"Amélie","non-dropping-particle":"","parse-names":false,"suffix":""},{"dropping-particle":"","family":"McVittie","given":"Ian","non-dropping-particle":"","parse-names":false,"suffix":""},{"dropping-particle":"","family":"Wake","given":"Dianne","non-dropping-particle":"","parse-names":false,"suffix":""},{"dropping-particle":"","family":"Frau","given":"Francesca","non-dropping-particle":"","parse-names":false,"suffix":""},{"dropping-particle":"","family":"Staerfeldt","given":"Hans Henrik","non-dropping-particle":"","parse-names":false,"suffix":""},{"dropping-particle":"","family":"Adragni","given":"Kofi","non-dropping-particle":"","parse-names":false,"suffix":""},{"dropping-particle":"","family":"Thomas","given":"Melissa","non-dropping-particle":"","parse-names":false,"suffix":""},{"dropping-particle":"","family":"Wu","given":"Han","non-dropping-particle":"","parse-names":false,"suffix":""},{"dropping-particle":"","family":"Pavo","given":"Imre","non-dropping-particle":"","parse-names":false,"suffix":""},{"dropping-particle":"","family":"Steckel-Hamann","given":"Birgit","non-dropping-particle":"","parse-names":false,"suffix":""},{"dropping-particle":"","family":"Thomsen","given":"Henrik","non-dropping-particle":"","parse-names":false,"suffix":""},{"dropping-particle":"","family":"Giordano","given":"Giuseppe Nicola","non-dropping-particle":"","parse-names":false,"suffix":""},{"dropping-particle":"","family":"Fitipaldi","given":"Hugo","non-dropping-particle":"","parse-names":false,"suffix":""},{"dropping-particle":"","family":"Ridderstråle","given":"Martin","non-dropping-particle":"","parse-names":false,"suffix":""},{"dropping-particle":"","family":"Kurbasic","given":"Azra","non-dropping-particle":"","parse-names":false,"suffix":""},{"dropping-particle":"","family":"Pasdar","given":"Naeimeh Atabaki","non-dropping-particle":"","parse-names":false,"suffix":""},{"dropping-particle":"","family":"Pomares-Millan","given":"Hugo","non-dropping-particle":"","parse-names":false,"suffix":""},{"dropping-particle":"","family":"Mutie","given":"Pascal","non-dropping-particle":"","parse-names":false,"suffix":""},{"dropping-particle":"","family":"Koivula","given":"Robert","non-dropping-particle":"","parse-names":false,"suffix":""},{"dropping-particle":"","family":"McRobert","given":"Nicky","non-dropping-particle":"","parse-names":false,"suffix":""},{"dropping-particle":"","family":"McCarthy","given":"Mark","non-dropping-particle":"","parse-names":false,"suffix":""},{"dropping-particle":"","family":"Wesolowska-Andersen","given":"Agata","non-dropping-particle":"","parse-names":false,"suffix":""},{"dropping-particle":"","family":"Mahajan","given":"Anubha","non-dropping-particle":"","parse-names":false,"suffix":""},{"dropping-particle":"","family":"Abdalla","given":"Moustafa","non-dropping-particle":"","parse-names":false,"suffix":""},{"dropping-particle":"","family":"Fernandez","given":"Juan","non-dropping-particle":"","parse-names":false,"suffix":""},{"dropping-particle":"","family":"Holl","given":"Reinhard","non-dropping-particle":"","parse-names":false,"suffix":""},{"dropping-particle":"","family":"Heggie","given":"Alison","non-dropping-particle":"","parse-names":false,"suffix":""},{"dropping-particle":"","family":"Deshmukh","given":"Harshal","non-dropping-particle":"","parse-names":false,"suffix":""},{"dropping-particle":"","family":"Hennige","given":"Anita","non-dropping-particle":"","parse-names":false,"suffix":""},{"dropping-particle":"","family":"Bianzano","given":"Susanna","non-dropping-particle":"","parse-names":false,"suffix":""},{"dropping-particle":"","family":"Thorand","given":"Barbara","non-dropping-particle":"","parse-names":false,"suffix":""},{"dropping-particle":"","family":"Sharma","given":"Sapna","non-dropping-particle":"","parse-names":false,"suffix":""},{"dropping-particle":"","family":"Grallert","given":"Harald","non-dropping-particle":"","parse-names":false,"suffix":""},{"dropping-particle":"","family":"Adam","given":"Jonathan","non-dropping-particle":"","parse-names":false,"suffix":""},{"dropping-particle":"","family":"Troll","given":"Martina","non-dropping-particle":"","parse-names":false,"suffix":""},{"dropping-particle":"","family":"Fritsche","given":"Andreas","non-dropping-particle":"","parse-names":false,"suffix":""},{"dropping-particle":"","family":"Hill","given":"Anita","non-dropping-particle":"","parse-names":false,"suffix":""},{"dropping-particle":"","family":"Thorne","given":"Claire","non-dropping-particle":"","parse-names":false,"suffix":""},{"dropping-particle":"","family":"Hudson","given":"Michelle","non-dropping-particle":"","parse-names":false,"suffix":""},{"dropping-particle":"","family":"Kuulasmaa","given":"Teemu","non-dropping-particle":"","parse-names":false,"suffix":""},{"dropping-particle":"","family":"Vangipurapu","given":"Jagadish","non-dropping-particle":"","parse-names":false,"suffix":""},{"dropping-particle":"","family":"Laakso","given":"Markku","non-dropping-particle":"","parse-names":false,"suffix":""},{"dropping-particle":"","family":"Cederberg","given":"Henna","non-dropping-particle":"","parse-names":false,"suffix":""},{"dropping-particle":"","family":"Kokkola","given":"Tarja","non-dropping-particle":"","parse-names":false,"suffix":""},{"dropping-particle":"","family":"Jiao","given":"Yunlong","non-dropping-particle":"","parse-names":false,"suffix":""},{"dropping-particle":"","family":"Gough","given":"Stephen","non-dropping-particle":"","parse-names":false,"suffix":""},{"dropping-particle":"","family":"Robertson","given":"Neil","non-dropping-particle":"","parse-names":false,"suffix":""},{"dropping-particle":"","family":"Verkindt","given":"Helene","non-dropping-particle":"","parse-names":false,"suffix":""},{"dropping-particle":"","family":"Raverdi","given":"Violeta","non-dropping-particle":"","parse-names":false,"suffix":""},{"dropping-particle":"","family":"Caiazzo","given":"Robert","non-dropping-particle":"","parse-names":false,"suffix":""},{"dropping-particle":"","family":"Pattou","given":"Francois","non-dropping-particle":"","parse-names":false,"suffix":""},{"dropping-particle":"","family":"White","given":"Margaret","non-dropping-particle":"","parse-names":false,"suffix":""},{"dropping-particle":"","family":"Donnelly","given":"Louise","non-dropping-particle":"","parse-names":false,"suffix":""},{"dropping-particle":"","family":"Brown","given":"Andrew","non-dropping-particle":"","parse-names":false,"suffix":""},{"dropping-particle":"","family":"Palmer","given":"Colin","non-dropping-particle":"","parse-names":false,"suffix":""},{"dropping-particle":"","family":"Davtian","given":"David","non-dropping-particle":"","parse-names":false,"suffix":""},{"dropping-particle":"","family":"Dawed","given":"Adem","non-dropping-particle":"","parse-names":false,"suffix":""},{"dropping-particle":"","family":"Forgie","given":"Ian","non-dropping-particle":"","parse-names":false,"suffix":""},{"dropping-particle":"","family":"Pearson","given":"Ewan","non-dropping-particle":"","parse-names":false,"suffix":""},{"dropping-particle":"","family":"Ruetten","given":"Hartmut","non-dropping-particle":"","parse-names":false,"suffix":""},{"dropping-particle":"","family":"Musholt","given":"Petra","non-dropping-particle":"","parse-names":false,"suffix":""},{"dropping-particle":"","family":"Bell","given":"Jimmy","non-dropping-particle":"","parse-names":false,"suffix":""},{"dropping-particle":"","family":"Thomas","given":"Elizabeth Louise","non-dropping-particle":"","parse-names":false,"suffix":""},{"dropping-particle":"","family":"Whitcher","given":"Brandon","non-dropping-particle":"","parse-names":false,"suffix":""},{"dropping-particle":"","family":"Haid","given":"Mark","non-dropping-particle":"","parse-names":false,"suffix":""},{"dropping-particle":"","family":"Nicolay","given":"Claudia","non-dropping-particle":"","parse-names":false,"suffix":""},{"dropping-particle":"","family":"Mourby","given":"Miranda","non-dropping-particle":"","parse-names":false,"suffix":""},{"dropping-particle":"","family":"Kaye","given":"Jane","non-dropping-particle":"","parse-names":false,"suffix":""},{"dropping-particle":"","family":"Shah","given":"Nisha","non-dropping-particle":"","parse-names":false,"suffix":""},{"dropping-particle":"","family":"Teare","given":"Harriet","non-dropping-particle":"","parse-names":false,"suffix":""},{"dropping-particle":"","family":"Frost","given":"Gary","non-dropping-particle":"","parse-names":false,"suffix":""},{"dropping-particle":"","family":"Jablonka","given":"Bernd","non-dropping-particle":"","parse-names":false,"suffix":""},{"dropping-particle":"","family":"Uhlen","given":"Mathias","non-dropping-particle":"","parse-names":false,"suffix":""},{"dropping-particle":"","family":"Eriksen","given":"Rebeca","non-dropping-particle":"","parse-names":false,"suffix":""},{"dropping-particle":"","family":"Vogt","given":"Josef","non-dropping-particle":"","parse-names":false,"suffix":""},{"dropping-particle":"","family":"Dutta","given":"Avirup","non-dropping-particle":"","parse-names":false,"suffix":""},{"dropping-particle":"","family":"Jonsson","given":"Anna","non-dropping-particle":"","parse-names":false,"suffix":""},{"dropping-particle":"","family":"Engelbrechtsen","given":"Line","non-dropping-particle":"","parse-names":false,"suffix":""},{"dropping-particle":"","family":"Forman","given":"Annemette","non-dropping-particle":"","parse-names":false,"suffix":""},{"dropping-particle":"","family":"Sondertoft","given":"Nadja","non-dropping-particle":"","parse-names":false,"suffix":""},{"dropping-particle":"","family":"Preville","given":"Nathalie","non-dropping-particle":"de","parse-names":false,"suffix":""},{"dropping-particle":"","family":"Baltauss","given":"Tania","non-dropping-particle":"","parse-names":false,"suffix":""},{"dropping-particle":"","family":"Walker","given":"Mark","non-dropping-particle":"","parse-names":false,"suffix":""},{"dropping-particle":"","family":"Gassenhuber","given":"Johann","non-dropping-particle":"","parse-names":false,"suffix":""},{"dropping-particle":"","family":"Klintenberg","given":"Maria","non-dropping-particle":"","parse-names":false,"suffix":""},{"dropping-particle":"","family":"Bergstrom","given":"Margit","non-dropping-particle":"","parse-names":false,"suffix":""},{"dropping-particle":"","family":"Ferrer","given":"Jorge","non-dropping-particle":"","parse-names":false,"suffix":""},{"dropping-particle":"","family":"Adamski","given":"Jerzy","non-dropping-particle":"","parse-names":false,"suffix":""},{"dropping-particle":"","family":"Franks","given":"Paul W.","non-dropping-particle":"","parse-names":false,"suffix":""},{"dropping-particle":"","family":"Pedersen","given":"Oluf","non-dropping-particle":"","parse-names":false,"suffix":""},{"dropping-particle":"","family":"Segal","given":"Eran","non-dropping-particle":"","parse-names":false,"suffix":""}],"container-title":"Nature","id":"ITEM-1","issue":"7836","issued":{"date-parts":[["2020"]]},"page":"135-140","title":"A reference map of potential determinants for the human serum metabolome","type":"article-journal","volume":"588"},"uris":["http://www.mendeley.com/documents/?uuid=17c1e6ac-c1e5-46c2-8f1c-4b322e600d58"]}],"mendeley":{"formattedCitation":"(7)","plainTextFormattedCitation":"(7)","previouslyFormattedCitation":"(7)"},"properties":{"noteIndex":0},"schema":"https://github.com/citation-style-language/schema/raw/master/csl-citation.json"}</w:instrText>
      </w:r>
      <w:r w:rsidR="00C25C2A">
        <w:fldChar w:fldCharType="separate"/>
      </w:r>
      <w:r w:rsidR="00AB1D57" w:rsidRPr="00AB1D57">
        <w:rPr>
          <w:noProof/>
        </w:rPr>
        <w:t>(7)</w:t>
      </w:r>
      <w:r w:rsidR="00C25C2A">
        <w:fldChar w:fldCharType="end"/>
      </w:r>
      <w:r w:rsidR="00A419EF">
        <w:t xml:space="preserve">. </w:t>
      </w:r>
      <w:r w:rsidR="00DD05A4">
        <w:t xml:space="preserve">Measurement </w:t>
      </w:r>
      <w:r w:rsidRPr="0043405B">
        <w:t xml:space="preserve">of </w:t>
      </w:r>
      <w:r w:rsidR="0033668F" w:rsidRPr="0043405B">
        <w:t xml:space="preserve">metabolites </w:t>
      </w:r>
      <w:r w:rsidRPr="0043405B">
        <w:t xml:space="preserve">as </w:t>
      </w:r>
      <w:r w:rsidR="00DD05A4">
        <w:t xml:space="preserve">a </w:t>
      </w:r>
      <w:r w:rsidRPr="0043405B">
        <w:t>complement</w:t>
      </w:r>
      <w:r w:rsidR="00DD05A4">
        <w:t xml:space="preserve"> to self-reported assessment methods has </w:t>
      </w:r>
      <w:r w:rsidR="0033668F" w:rsidRPr="0043405B">
        <w:t xml:space="preserve">other </w:t>
      </w:r>
      <w:r w:rsidR="00783746">
        <w:t xml:space="preserve">theoretical </w:t>
      </w:r>
      <w:r w:rsidR="0033668F" w:rsidRPr="0043405B">
        <w:t xml:space="preserve">advantages, including </w:t>
      </w:r>
      <w:r w:rsidR="00553CBD">
        <w:t>diminishing</w:t>
      </w:r>
      <w:r w:rsidR="00A92F2F" w:rsidRPr="0043405B">
        <w:t xml:space="preserve"> social</w:t>
      </w:r>
      <w:r w:rsidR="00DD05A4">
        <w:t xml:space="preserve"> </w:t>
      </w:r>
      <w:r w:rsidR="00A92F2F" w:rsidRPr="0043405B">
        <w:t>desirability bias</w:t>
      </w:r>
      <w:r w:rsidR="0048108D" w:rsidRPr="0043405B">
        <w:t xml:space="preserve"> and </w:t>
      </w:r>
      <w:r w:rsidR="00A92F2F" w:rsidRPr="0043405B">
        <w:t>recall bias,</w:t>
      </w:r>
      <w:r w:rsidR="0048108D" w:rsidRPr="0043405B">
        <w:t xml:space="preserve"> </w:t>
      </w:r>
      <w:r w:rsidR="0043405B" w:rsidRPr="0043405B">
        <w:t xml:space="preserve">and </w:t>
      </w:r>
      <w:r w:rsidR="00DD05A4">
        <w:t xml:space="preserve">greater </w:t>
      </w:r>
      <w:r w:rsidR="0043405B" w:rsidRPr="0043405B">
        <w:t>comparability</w:t>
      </w:r>
      <w:r w:rsidR="008E5757">
        <w:t xml:space="preserve"> </w:t>
      </w:r>
      <w:r w:rsidR="00A5539C" w:rsidRPr="0043405B">
        <w:t>across populations</w:t>
      </w:r>
      <w:r w:rsidR="00D47385">
        <w:t xml:space="preserve"> </w:t>
      </w:r>
      <w:r w:rsidR="001A5D96">
        <w:fldChar w:fldCharType="begin" w:fldLock="1"/>
      </w:r>
      <w:r w:rsidR="003D41CF">
        <w:instrText>ADDIN CSL_CITATION {"citationItems":[{"id":"ITEM-1","itemData":{"DOI":"10.4178/epih/e2014009","abstract":"Diet is a major lifestyle-related risk factor of various chronic diseases. Dietary intake can be assessed by subjective report and objective observation. Subjective assessment is possible using open-ended surveys such as dietary recalls or records, or using closed-ended surveys including food frequency questionnaires. Each method has inherent strengths and limitations. Continued efforts to improve the accuracy of dietary intake assessment and enhance its feasibility in epidemiological studies have been made. This article reviews common dietary assessment methods and their feasibility in epidemiological studies.","author":[{"dropping-particle":"","family":"Shim","given":"Jee-Seon","non-dropping-particle":"","parse-names":false,"suffix":""},{"dropping-particle":"","family":"Oh","given":"Kyungwon","non-dropping-particle":"","parse-names":false,"suffix":""},{"dropping-particle":"","family":"Kim","given":"Hyeon Chang","non-dropping-particle":"","parse-names":false,"suffix":""}],"container-title":"Epidemiology and Health","id":"ITEM-1","issued":{"date-parts":[["0"]]},"page":"36","title":"Dietary assessment methods in epidemiologic studies","type":"article-journal"},"uris":["http://www.mendeley.com/documents/?uuid=44f9c4ad-9acb-37cf-b831-d8c882c8273d"]},{"id":"ITEM-2","itemData":{"DOI":"10.1373/clinchem.2017.272344","ISSN":"0009-9147","abstract":"BACKGROUND: Nutritional metabolomics is rapidly evolving to integrate nutrition with complex metabolomics data to discover new biomarkers of nutritional exposure and status. CONTENT: The purpose of this review is to provide a broad overview of the measurement techniques, study designs, and statistical approaches used in nutrition metabolomics, as well as to describe the current knowledge from epidemiologic studies identifying metabolite profiles associated with the intake of individual nutrients, foods, and dietary patterns. SUMMARY: A wide range of technologies, databases, and computational tools are available to integrate nutritional metabolomics with dietary and phenotypic information. Biomarkers identified with the use of high-throughput metabolomics techniques include amino acids, acylcarnitines, carbohydrates, bile acids, purine and pyrimidine metabolites, and lipid classes. The most extensively studied food groups include fruits, vegetables, meat, fish, bread, whole grain cereals, nuts, wine, coffee, tea, cocoa, and chocolate. We identified 16 studies that evaluated metabolite signatures associated with dietary patterns. Dietary patterns examined included vegetarian and lactovegetarian diets, omnivorous diet, Western dietary patterns, prudent dietary patterns, Nordic diet, and Mediterranean diet. Although many metabolite biomarkers of individual foods and dietary patterns have been identified, those biomarkers may not be sensitive or specific to dietary intakes. Some biomarkers represent short-term intakes rather than long-term dietary habits. Nonetheless, nutritional metabolomics holds promise for the development of a robust and unbiased strategy for measuring diet. Still, this technology is intended to be complementary, rather than a replacement, to traditional well-validated dietary assessment methods such as food frequency questionnaires that can measure usual diet, the most relevant exposure in nutritional epidemiologic studies. (c) 2017 American Association for Clinical Chemistry","author":[{"dropping-particle":"","family":"Guasch-Ferre","given":"M","non-dropping-particle":"","parse-names":false,"suffix":""},{"dropping-particle":"","family":"Bhupathiraju","given":"S N","non-dropping-particle":"","parse-names":false,"suffix":""},{"dropping-particle":"","family":"Hu","given":"F B","non-dropping-particle":"","parse-names":false,"suffix":""}],"container-title":"Clinical Chemistry","id":"ITEM-2","issue":"1","issued":{"date-parts":[["2018"]]},"language":"English","note":"Fr5qo\nTimes Cited:10\nCited References Count:80","page":"82-98","publisher-place":"Harvard TH Chan Sch Publ Hlth, Dept Nutr, 655 Huntington Ave, Boston, MA 02115 USA Brigham &amp; Womens Hosp, Dept Med, Channing Div Network Med, 75 Francis St, Boston, MA 02115 USA Harvard Med Sch, Boston, MA USA Harvard TH Chan Sch Publ Hlth, Dept Epidemiol","title":"Use of Metabolomics in Improving Assessment of Dietary Intake","type":"article-journal","volume":"64"},"uris":["http://www.mendeley.com/documents/?uuid=2d403916-7fcd-42de-b447-90edf4b7d0a6"]}],"mendeley":{"formattedCitation":"(8,9)","plainTextFormattedCitation":"(8,9)","previouslyFormattedCitation":"(8,9)"},"properties":{"noteIndex":0},"schema":"https://github.com/citation-style-language/schema/raw/master/csl-citation.json"}</w:instrText>
      </w:r>
      <w:r w:rsidR="001A5D96">
        <w:fldChar w:fldCharType="separate"/>
      </w:r>
      <w:r w:rsidR="00AB1D57" w:rsidRPr="00AB1D57">
        <w:rPr>
          <w:noProof/>
        </w:rPr>
        <w:t>(8,9)</w:t>
      </w:r>
      <w:r w:rsidR="001A5D96">
        <w:fldChar w:fldCharType="end"/>
      </w:r>
      <w:r w:rsidR="001A5D96">
        <w:t>.</w:t>
      </w:r>
    </w:p>
    <w:p w14:paraId="6908B3DF" w14:textId="77777777" w:rsidR="00DD05A4" w:rsidRDefault="00DD05A4" w:rsidP="00670129"/>
    <w:p w14:paraId="43022F48" w14:textId="2948AED1" w:rsidR="003B1EDC" w:rsidRDefault="00CE7B34" w:rsidP="00670129">
      <w:r>
        <w:t>Several</w:t>
      </w:r>
      <w:r w:rsidR="00670129">
        <w:t xml:space="preserve"> </w:t>
      </w:r>
      <w:r w:rsidR="00DD05A4">
        <w:t xml:space="preserve">individual </w:t>
      </w:r>
      <w:r w:rsidR="00670129">
        <w:t xml:space="preserve">metabolites </w:t>
      </w:r>
      <w:r w:rsidR="00DD05A4">
        <w:t xml:space="preserve">have previously been reported to be </w:t>
      </w:r>
      <w:r w:rsidR="00670129">
        <w:t>significantly associated with</w:t>
      </w:r>
      <w:r w:rsidR="003B3688">
        <w:t xml:space="preserve"> different types of</w:t>
      </w:r>
      <w:r w:rsidR="00670129">
        <w:t xml:space="preserve"> meat consumption</w:t>
      </w:r>
      <w:r w:rsidR="00D47385">
        <w:t xml:space="preserve"> </w:t>
      </w:r>
      <w:r w:rsidR="001A5D96">
        <w:fldChar w:fldCharType="begin" w:fldLock="1"/>
      </w:r>
      <w:r w:rsidR="003D41CF">
        <w:instrText>ADDIN CSL_CITATION {"citationItems":[{"id":"ITEM-1","itemData":{"DOI":"10.3945/ajcn.116.146639","ISSN":"0002-9165","abstract":"Background: Meat and fish intakes have been associated with various chronic diseases. The use of specific biomarkers may help to assess meat and fish intake and improve subject classification according to the amount and type of meat or fish consumed. Objective: A metabolomic approach was applied to search for biomarkers of meat and fish intake in a dietary intervention study and in free-living subjects from the European Prospective Investigation into Cancer and Nutrition (EPIC) study. Design: In the dietary intervention study, 4 groups of 10 subjects consumed increasing quantities of chicken, red meat, processed meat, and fish over 3 successive weeks. Twenty-four-hour urine samples were collected during each period and analyzed by high-resolution liquid chromatography-mass spectrometry. Signals characteristic of meat or fish intake were replicated in 50 EPIC subjects for whom a 24-h urine sample and 24-h dietary recall were available and who were selected for their exclusive intake or no intake of any of the 4 same foods. Results: A total of 249 mass spectrometric features showed a positive dose-dependent response to meat or fish intake in the intervention study. Eighteen of these features best predicted intake of the 4 food groups in the EPIC urine samples on the basis of partial receiver operator curve analyses with permutation testing (areas under the curve ranging between 0.61 and 1.0). Of these signals, 8 metabolites were identified. Anserine was found to be specific for chicken intake, whereas trimethylamine-N-oxide showed good specificity for fish. Carnosine and 3 acylcarnitines (acetylcarnitine, propionylcarnitine, and 2-methylbutyrylcarnitine) appeared to be more generic indicators of meat and meat and fish intake, respectively. Conclusion: The meat and fish biomarkers identified in this work may be used to study associations between meat and fish intake and disease risk in epidemiologic studies.","author":[{"dropping-particle":"","family":"Cheung","given":"W","non-dropping-particle":"","parse-names":false,"suffix":""},{"dropping-particle":"","family":"Keski-Rahkonen","given":"P","non-dropping-particle":"","parse-names":false,"suffix":""},{"dropping-particle":"","family":"Assi","given":"N","non-dropping-particle":"","parse-names":false,"suffix":""},{"dropping-particle":"","family":"Ferrari","given":"P","non-dropping-particle":"","parse-names":false,"suffix":""},{"dropping-particle":"","family":"Freisling","given":"H","non-dropping-particle":"","parse-names":false,"suffix":""},{"dropping-particle":"","family":"Rinaldi","given":"S","non-dropping-particle":"","parse-names":false,"suffix":""},{"dropping-particle":"","family":"Slimani","given":"N","non-dropping-particle":"","parse-names":false,"suffix":""},{"dropping-particle":"","family":"Zamora-Ros","given":"R","non-dropping-particle":"","parse-names":false,"suffix":""},{"dropping-particle":"","family":"Rundle","given":"M","non-dropping-particle":"","parse-names":false,"suffix":""},{"dropping-particle":"","family":"Frost","given":"G","non-dropping-particle":"","parse-names":false,"suffix":""},{"dropping-particle":"","family":"Gibbons","given":"H","non-dropping-particle":"","parse-names":false,"suffix":""},{"dropping-particle":"","family":"Carr","given":"E","non-dropping-particle":"","parse-names":false,"suffix":""},{"dropping-particle":"","family":"Brennan","given":"L","non-dropping-particle":"","parse-names":false,"suffix":""},{"dropping-particle":"","family":"Cross","given":"A J","non-dropping-particle":"","parse-names":false,"suffix":""},{"dropping-particle":"","family":"Pala","given":"V","non-dropping-particle":"","parse-names":false,"suffix":""},{"dropping-particle":"","family":"Panico","given":"S","non-dropping-particle":"","parse-names":false,"suffix":""},{"dropping-particle":"","family":"Sacerdote","given":"C","non-dropping-particle":"","parse-names":false,"suffix":""},{"dropping-particle":"","family":"Palli","given":"D","non-dropping-particle":"","parse-names":false,"suffix":""},{"dropping-particle":"","family":"Tumino","given":"R","non-dropping-particle":"","parse-names":false,"suffix":""},{"dropping-particle":"","family":"Kuehn","given":"T","non-dropping-particle":"","parse-names":false,"suffix":""},{"dropping-particle":"","family":"Kaaks","given":"R","non-dropping-particle":"","parse-names":false,"suffix":""},{"dropping-particle":"","family":"Boeing","given":"H","non-dropping-particle":"","parse-names":false,"suffix":""},{"dropping-particle":"","family":"Floegel","given":"A","non-dropping-particle":"","parse-names":false,"suffix":""},{"dropping-particle":"","family":"Mancini","given":"F","non-dropping-particle":"","parse-names":false,"suffix":""},{"dropping-particle":"","family":"Boutron-Ruault","given":"M C","non-dropping-particle":"","parse-names":false,"suffix":""},{"dropping-particle":"","family":"Baglietto","given":"L","non-dropping-particle":"","parse-names":false,"suffix":""},{"dropping-particle":"","family":"Trichopoulou","given":"A","non-dropping-particle":"","parse-names":false,"suffix":""},{"dropping-particle":"","family":"Naska","given":"A","non-dropping-particle":"","parse-names":false,"suffix":""},{"dropping-particle":"","family":"Orfanos","given":"P","non-dropping-particle":"","parse-names":false,"suffix":""},{"dropping-particle":"","family":"Scalbert","given":"A","non-dropping-particle":"","parse-names":false,"suffix":""}],"container-title":"American Journal of Clinical Nutrition","id":"ITEM-1","issue":"3","issued":{"date-parts":[["2017"]]},"language":"English","note":"Er6qn\nTimes Cited:18\nCited References Count:53","page":"600-608","publisher-place":"Int Agcy Res Canc, Lyon, France Imperial Coll London, Sch Publ Hlth, Nutr &amp; Dietet Res Grp, Div Endocrinol &amp; Metab, London, England Imperial Coll London, Sch Publ Hlth, Dept Epidemiol &amp; Biostat, London, England Univ Coll Dublin, Sch Agr &amp; Food Sci, Inst F","title":"A metabolomic study of biomarkers of meat and fish intake","type":"article-journal","volume":"105"},"uris":["http://www.mendeley.com/documents/?uuid=4cb3896d-efc2-4cf3-aa61-5b235aaa348a"]},{"id":"ITEM-2","itemData":{"DOI":"10.1093/ajcn/nqaa140","ISSN":"19383207","PMID":"32492168","abstract":"Background: Acylcarnitines (ACs) play a major role in fatty acid metabolism and are potential markers of metabolic dysfunction with higher blood concentrations reported in obese and diabetic individuals. Diet, and in particular red and processed meat intake, has been shown to influence AC concentrations but data on the effect of meat consumption on AC concentrations is limited. Objectives: To investigate the effect of red and processed meat intake on AC concentrations in plasma and urine using a randomized controlled trial with replication in an observational cohort. Methods: In the randomized crossover trial, 12 volunteers successively consumed 2 different diets containing either pork or tofu for 3 d each. A panel of 44 ACs including several oxidized ACs was analyzed by LC-MS in plasma and urine samples collected after the 3-d period. ACs that were associated with pork intake were then measured in urine (n = 474) and serum samples (n = 451) from the European Prospective Investigation into Cancer and nutrition (EPIC) study and tested for associations with habitual red and processed meat intake derived from dietary questionnaires. Results: In urine samples from the intervention study, pork intake was positively associated with concentrations of 18 short- and medium-chain ACs. Eleven of these were also positively associated with habitual red and processed meat intake in the EPIC cross-sectional study. In blood, C18:0 was positively associated with red meat intake in both the intervention study (q = 0.004, Student's t-test) and the cross-sectional study (q = 0.033, linear regression). Conclusions: AC concentrations in urine and blood were associated with red meat intake in both a highly controlled intervention study and in subjects of a cross-sectional study. Our data on the role of meat intake on this important pathway of fatty acid and energy metabolism may help understanding the role of red meat consumption in the etiology of some chronic diseases. This trial was registered at clinicaltrials.gov as NCT03354130. Am J Clin Nutr 2020;112:381-388.","author":[{"dropping-particle":"","family":"Wedekind","given":"Roland","non-dropping-particle":"","parse-names":false,"suffix":""},{"dropping-particle":"","family":"Kiss","given":"Agneta","non-dropping-particle":"","parse-names":false,"suffix":""},{"dropping-particle":"","family":"Keski-Rahkonen","given":"Pekka","non-dropping-particle":"","parse-names":false,"suffix":""},{"dropping-particle":"","family":"Viallon","given":"Vivian","non-dropping-particle":"","parse-names":false,"suffix":""},{"dropping-particle":"","family":"Rothwell","given":"Joseph A.","non-dropping-particle":"","parse-names":false,"suffix":""},{"dropping-particle":"","family":"Cross","given":"Amanda J.","non-dropping-particle":"","parse-names":false,"suffix":""},{"dropping-particle":"","family":"Rostgaard-Hansen","given":"Agnetha Linn","non-dropping-particle":"","parse-names":false,"suffix":""},{"dropping-particle":"","family":"Sandanger","given":"Torkjel M.","non-dropping-particle":"","parse-names":false,"suffix":""},{"dropping-particle":"","family":"Jakszyn","given":"Paula","non-dropping-particle":"","parse-names":false,"suffix":""},{"dropping-particle":"","family":"Schmidt","given":"Julie A.","non-dropping-particle":"","parse-names":false,"suffix":""},{"dropping-particle":"","family":"Pala","given":"Valeria","non-dropping-particle":"","parse-names":false,"suffix":""},{"dropping-particle":"","family":"Vermeulen","given":"Roel","non-dropping-particle":"","parse-names":false,"suffix":""},{"dropping-particle":"","family":"Schulze","given":"Matthias B.","non-dropping-particle":"","parse-names":false,"suffix":""},{"dropping-particle":"","family":"Kühn","given":"Tilman","non-dropping-particle":"","parse-names":false,"suffix":""},{"dropping-particle":"","family":"Johnson","given":"Theron","non-dropping-particle":"","parse-names":false,"suffix":""},{"dropping-particle":"","family":"Trichopoulou","given":"Antonia","non-dropping-particle":"","parse-names":false,"suffix":""},{"dropping-particle":"","family":"Peppa","given":"Eleni","non-dropping-particle":"","parse-names":false,"suffix":""},{"dropping-particle":"La","family":"Vechia","given":"Carlo","non-dropping-particle":"","parse-names":false,"suffix":""},{"dropping-particle":"","family":"Masala","given":"Giovanna","non-dropping-particle":"","parse-names":false,"suffix":""},{"dropping-particle":"","family":"Tumino","given":"Rosario","non-dropping-particle":"","parse-names":false,"suffix":""},{"dropping-particle":"","family":"Sacerdote","given":"Carlotta","non-dropping-particle":"","parse-names":false,"suffix":""},{"dropping-particle":"","family":"Wittenbecher","given":"Clemens","non-dropping-particle":"","parse-names":false,"suffix":""},{"dropping-particle":"","family":"Magistris","given":"Maria Santucci","non-dropping-particle":"de","parse-names":false,"suffix":""},{"dropping-particle":"","family":"Dahm","given":"Christina C.","non-dropping-particle":"","parse-names":false,"suffix":""},{"dropping-particle":"","family":"Severi","given":"Gianluca","non-dropping-particle":"","parse-names":false,"suffix":""},{"dropping-particle":"","family":"Mancini","given":"Francesca Romana","non-dropping-particle":"","parse-names":false,"suffix":""},{"dropping-particle":"","family":"Weiderpass","given":"Elisabete","non-dropping-particle":"","parse-names":false,"suffix":""},{"dropping-particle":"","family":"Gunter","given":"Marc J.","non-dropping-particle":"","parse-names":false,"suffix":""},{"dropping-particle":"","family":"Huybrechts","given":"Inge","non-dropping-particle":"","parse-names":false,"suffix":""},{"dropping-particle":"","family":"Scalbert","given":"Augustin","non-dropping-particle":"","parse-names":false,"suffix":""}],"container-title":"American Journal of Clinical Nutrition","id":"ITEM-2","issue":"2","issued":{"date-parts":[["2020"]]},"page":"381-388","title":"A metabolomic study of red and processed meat intake and acylcarnitine concentrations in human urine and blood","type":"article-journal","volume":"112"},"uris":["http://www.mendeley.com/documents/?uuid=7ec26679-7da3-41f0-bc9e-f392d206931f"]},{"id":"ITEM-3","itemData":{"DOI":"10.1002/mnfr.201900106","ISSN":"1613-4133 (Electronic) 1613-4125 (Linking)","abstract":"SCOPE: Biomarkers of red meat may clarify the relationship between meat intake and health. This paper explores the discovery of biomarkers of intake for three types of meat with varying heme iron content. Candidate biomarkers for red and general meat are further evaluated based on defined validation criteria. METHODS AND RESULTS: In a randomized cross-over meal study, healthy volunteers consume a randomized sequence of four test meals: chicken, pork, beef, and a control made of egg white and pea. Fasting and postprandial urine samples are collected to cover 48 h and profiled by untargeted LC-ESI-qTOF-MS metabolomics. The profiles following the meal challenges are explored by univariate and multivariate analyses. Nine red, four white, and eight general meat biomarkers are selected as putative biomarkers, originating from collagen degradation, flavour compounds, and amino acid metabolism. Heme-related metabolites are masked by the chlorophyll content of the control meal. The candidate biomarkers are confirmed in an independent meal study and validated for plausibility, robustness, time-response, and prediction performance. Combinations of biomarkers are more efficient than single markers in predicting meat intake. CONCLUSION: New combinations of partially validated biomarkers are proposed to assess terrestrial meat intake and thus help disentangle the effects of meat consumption on human health.","author":[{"dropping-particle":"","family":"Cuparencu","given":"C","non-dropping-particle":"","parse-names":false,"suffix":""},{"dropping-particle":"","family":"Rinnan","given":"A","non-dropping-particle":"","parse-names":false,"suffix":""},{"dropping-particle":"","family":"Dragsted","given":"L O","non-dropping-particle":"","parse-names":false,"suffix":""}],"container-title":"Mol Nutr Food Res","id":"ITEM-3","issued":{"date-parts":[["2019"]]},"note":"Cuparencu, Catalina\nRinnan, Asmund\nDragsted, Lars O\neng\nDanish Innovation Foundation\nGermany\n2019/05/30 06:00\nMol Nutr Food Res. 2019 May 29:e1900106. doi: 10.1002/mnfr.201900106.","page":"e1900106","publisher-place":"Department of Nutrition, Exercise and Sports, Faculty of Science, University of Copenhagen, 1958, Frederiksberg, Denmark. Department of Food Science, Faculty of Science, University of Copenhagen, 1958, Frederiksberg, Denmark.","title":"Combined Markers to Assess Meat Intake-Human Metabolomic Studies of Discovery and Validation","type":"article-journal"},"uris":["http://www.mendeley.com/documents/?uuid=c1378293-175c-44d0-86d5-1e1bca525ad0"]},{"id":"ITEM-4","itemData":{"DOI":"10.1038/s41430-018-0248-1","ISSN":"1476-5640 (Electronic) 0954-3007 (Linking)","abstract":"BACKGROUND/OBJECTIVES: Dietary intake of red and processed meat has been associated with disease risk. Since dietary intake assessment methods are prone to measurement errors, identifying biomarkers of meat intake in bio-samples could provide more valid intake estimates. We examined associations of habitual red and processed meat, poultry, fish, and dairy products consumption with plasma concentrations of anserine, carnosine, pi-methylhistidine (Pi-MH), tau-methylhistidine (T-MH), and the ratio of T-MH to Pi-MH in a cross-sectional study. SUBJECTS/METHODS: Plasma anserine, carnosine, Pi-MH, and T-MH concentrations were measured using ion-pair LC-MS/MS in 294 participants in the second Bavarian Food Consumption Survey (BVS II). Habitual food consumption was assessed using three 24-h dietary recalls. Associations between plasma metabolites concentrations and meat, fish, eggs, and dairy products consumption were assessed by fitting generalized linear model, adjusted for age, sex, and BMI. RESULTS: Total meat intake was associated with plasma concentrations of anserine, carnosine, Pi-MH and, the ratio of T-MH to Pi-MH. Red meat intake was related to carnosine (p-trend = 0.0028) and Pi-MH plasma levels (p-trend = 0.0493). Poultry (p-trend = 0.0006) and chicken (p-trend = 0.0003) intake were associated with Pi-MH. The highest anserine concentrations were observed in individuals consuming processed meat or turkey. For T-MH we did not observe any association with meat intake. CONCLUSIONS: Our results indicate an association between habitual meat consumption and plasma concentrations of anserine, carnosine, Pi-MH and the ratio of T-MH to Pi-MH. Intervention studies should clarify whether the analyzed plasma metabolites are indicative for a specific type of meat before proposing them as biomarkers of habitual meat intake in epidemiologic studies.","author":[{"dropping-particle":"","family":"Mitry","given":"P","non-dropping-particle":"","parse-names":false,"suffix":""},{"dropping-particle":"","family":"Wawro","given":"N","non-dropping-particle":"","parse-names":false,"suffix":""},{"dropping-particle":"","family":"Rohrmann","given":"S","non-dropping-particle":"","parse-names":false,"suffix":""},{"dropping-particle":"","family":"Giesbertz","given":"P","non-dropping-particle":"","parse-names":false,"suffix":""},{"dropping-particle":"","family":"Daniel","given":"H","non-dropping-particle":"","parse-names":false,"suffix":""},{"dropping-particle":"","family":"Linseisen","given":"J","non-dropping-particle":"","parse-names":false,"suffix":""}],"container-title":"Eur J Clin Nutr","id":"ITEM-4","issued":{"date-parts":[["2018"]]},"note":"Mitry, Patricia\nWawro, Nina\nRohrmann, Sabine\nGiesbertz, Pieter\nDaniel, Hannelore\nLinseisen, Jakob\neng\nFK 2814ERA02E/Bundesministerium fur Bildung und Forschung (Federal Ministry of Education and Research)\nEngland\n2018/07/19 06:00\nEur J Clin Nutr. 2018 Jul 17. pii: 10.1038/s41430-018-0248-1. doi: 10.1038/s41430-018-0248-1.","publisher-place":"Independent Research Group Clinical Epidemiology, Helmholtz Center Munich, German Research Center for Environmental Health (GmbH), Ingolstaedter Landstr. 1, 85764, Neuherberg, Germany. Institute of Epidemiology II, Helmholtz Center Munich, German Research","title":"Plasma concentrations of anserine, carnosine and pi-methylhistidine as biomarkers of habitual meat consumption","type":"article-journal"},"uris":["http://www.mendeley.com/documents/?uuid=6fd4dea7-e4ae-48a4-8113-d10238100b77"]}],"mendeley":{"formattedCitation":"(10–13)","plainTextFormattedCitation":"(10–13)","previouslyFormattedCitation":"(10–13)"},"properties":{"noteIndex":0},"schema":"https://github.com/citation-style-language/schema/raw/master/csl-citation.json"}</w:instrText>
      </w:r>
      <w:r w:rsidR="001A5D96">
        <w:rPr>
          <w:vertAlign w:val="superscript"/>
        </w:rPr>
        <w:fldChar w:fldCharType="separate"/>
      </w:r>
      <w:r w:rsidR="00AB1D57" w:rsidRPr="00AB1D57">
        <w:rPr>
          <w:noProof/>
        </w:rPr>
        <w:t>(10–13)</w:t>
      </w:r>
      <w:r w:rsidR="001A5D96">
        <w:fldChar w:fldCharType="end"/>
      </w:r>
      <w:r w:rsidR="001A5D96">
        <w:t xml:space="preserve">. </w:t>
      </w:r>
      <w:r w:rsidR="00670129">
        <w:t xml:space="preserve">However, </w:t>
      </w:r>
      <w:r w:rsidR="00DD05A4">
        <w:t xml:space="preserve">few studies have examined how combinations of metabolites can predict meat consumption. </w:t>
      </w:r>
      <w:proofErr w:type="spellStart"/>
      <w:r w:rsidR="0042459F">
        <w:t>Cuparencu</w:t>
      </w:r>
      <w:proofErr w:type="spellEnd"/>
      <w:r w:rsidR="0042459F" w:rsidRPr="0042459F">
        <w:t xml:space="preserve"> </w:t>
      </w:r>
      <w:r w:rsidR="0042459F" w:rsidRPr="000B74C0">
        <w:rPr>
          <w:i/>
        </w:rPr>
        <w:t>et al</w:t>
      </w:r>
      <w:r w:rsidR="0042459F">
        <w:t xml:space="preserve"> </w:t>
      </w:r>
      <w:r w:rsidR="00DD05A4">
        <w:t xml:space="preserve">reported </w:t>
      </w:r>
      <w:r w:rsidR="0042459F" w:rsidRPr="0042459F">
        <w:t xml:space="preserve">that </w:t>
      </w:r>
      <w:r w:rsidR="00DD05A4">
        <w:t xml:space="preserve">a </w:t>
      </w:r>
      <w:r w:rsidR="00C377BD">
        <w:t>combin</w:t>
      </w:r>
      <w:r w:rsidR="00DD05A4">
        <w:t xml:space="preserve">ation of six </w:t>
      </w:r>
      <w:r w:rsidR="00AF2716">
        <w:t>metabolite</w:t>
      </w:r>
      <w:r w:rsidR="0085483E">
        <w:t xml:space="preserve"> </w:t>
      </w:r>
      <w:r w:rsidR="00C377BD">
        <w:t xml:space="preserve">biomarkers </w:t>
      </w:r>
      <w:r w:rsidR="00DD05A4">
        <w:t xml:space="preserve">were able to </w:t>
      </w:r>
      <w:r w:rsidR="00783746">
        <w:t xml:space="preserve">assign </w:t>
      </w:r>
      <w:r w:rsidR="00DD05A4">
        <w:t xml:space="preserve">people </w:t>
      </w:r>
      <w:r w:rsidR="00783746">
        <w:t xml:space="preserve">to </w:t>
      </w:r>
      <w:r w:rsidR="00DD05A4">
        <w:t>a binary</w:t>
      </w:r>
      <w:r w:rsidR="002D346E">
        <w:t xml:space="preserve"> </w:t>
      </w:r>
      <w:r w:rsidR="00DD05A4">
        <w:t xml:space="preserve">classification of </w:t>
      </w:r>
      <w:r w:rsidR="00B25DC4">
        <w:t xml:space="preserve">red </w:t>
      </w:r>
      <w:r w:rsidR="002D346E">
        <w:t>meat consum</w:t>
      </w:r>
      <w:r w:rsidR="00DD05A4">
        <w:t>ption</w:t>
      </w:r>
      <w:r w:rsidR="002D346E">
        <w:t xml:space="preserve"> in a 2</w:t>
      </w:r>
      <w:r w:rsidR="00B87365">
        <w:t>-</w:t>
      </w:r>
      <w:r w:rsidR="002D346E">
        <w:t>day feeding trial</w:t>
      </w:r>
      <w:r w:rsidR="00DD05A4">
        <w:t xml:space="preserve">. However, the study was small and </w:t>
      </w:r>
      <w:r w:rsidR="00DA11B7">
        <w:t>the</w:t>
      </w:r>
      <w:r w:rsidR="00664ADC">
        <w:t xml:space="preserve"> result </w:t>
      </w:r>
      <w:r w:rsidR="00DD05A4">
        <w:t xml:space="preserve">may be liable </w:t>
      </w:r>
      <w:r w:rsidR="00F072F6">
        <w:t xml:space="preserve">to </w:t>
      </w:r>
      <w:r w:rsidR="00DA11B7">
        <w:t>overfitting</w:t>
      </w:r>
      <w:r w:rsidR="00D47385">
        <w:t xml:space="preserve"> </w:t>
      </w:r>
      <w:r w:rsidR="001A5D96">
        <w:fldChar w:fldCharType="begin" w:fldLock="1"/>
      </w:r>
      <w:r w:rsidR="003D41CF">
        <w:instrText>ADDIN CSL_CITATION {"citationItems":[{"id":"ITEM-1","itemData":{"DOI":"10.1002/mnfr.201900106","ISSN":"1613-4133 (Electronic) 1613-4125 (Linking)","abstract":"SCOPE: Biomarkers of red meat may clarify the relationship between meat intake and health. This paper explores the discovery of biomarkers of intake for three types of meat with varying heme iron content. Candidate biomarkers for red and general meat are further evaluated based on defined validation criteria. METHODS AND RESULTS: In a randomized cross-over meal study, healthy volunteers consume a randomized sequence of four test meals: chicken, pork, beef, and a control made of egg white and pea. Fasting and postprandial urine samples are collected to cover 48 h and profiled by untargeted LC-ESI-qTOF-MS metabolomics. The profiles following the meal challenges are explored by univariate and multivariate analyses. Nine red, four white, and eight general meat biomarkers are selected as putative biomarkers, originating from collagen degradation, flavour compounds, and amino acid metabolism. Heme-related metabolites are masked by the chlorophyll content of the control meal. The candidate biomarkers are confirmed in an independent meal study and validated for plausibility, robustness, time-response, and prediction performance. Combinations of biomarkers are more efficient than single markers in predicting meat intake. CONCLUSION: New combinations of partially validated biomarkers are proposed to assess terrestrial meat intake and thus help disentangle the effects of meat consumption on human health.","author":[{"dropping-particle":"","family":"Cuparencu","given":"C","non-dropping-particle":"","parse-names":false,"suffix":""},{"dropping-particle":"","family":"Rinnan","given":"A","non-dropping-particle":"","parse-names":false,"suffix":""},{"dropping-particle":"","family":"Dragsted","given":"L O","non-dropping-particle":"","parse-names":false,"suffix":""}],"container-title":"Mol Nutr Food Res","id":"ITEM-1","issued":{"date-parts":[["2019"]]},"note":"Cuparencu, Catalina\nRinnan, Asmund\nDragsted, Lars O\neng\nDanish Innovation Foundation\nGermany\n2019/05/30 06:00\nMol Nutr Food Res. 2019 May 29:e1900106. doi: 10.1002/mnfr.201900106.","page":"e1900106","publisher-place":"Department of Nutrition, Exercise and Sports, Faculty of Science, University of Copenhagen, 1958, Frederiksberg, Denmark. Department of Food Science, Faculty of Science, University of Copenhagen, 1958, Frederiksberg, Denmark.","title":"Combined Markers to Assess Meat Intake-Human Metabolomic Studies of Discovery and Validation","type":"article-journal"},"uris":["http://www.mendeley.com/documents/?uuid=c1378293-175c-44d0-86d5-1e1bca525ad0"]}],"mendeley":{"formattedCitation":"(12)","plainTextFormattedCitation":"(12)","previouslyFormattedCitation":"(12)"},"properties":{"noteIndex":0},"schema":"https://github.com/citation-style-language/schema/raw/master/csl-citation.json"}</w:instrText>
      </w:r>
      <w:r w:rsidR="001A5D96">
        <w:fldChar w:fldCharType="separate"/>
      </w:r>
      <w:r w:rsidR="00AB1D57" w:rsidRPr="00AB1D57">
        <w:rPr>
          <w:noProof/>
        </w:rPr>
        <w:t>(12)</w:t>
      </w:r>
      <w:r w:rsidR="001A5D96">
        <w:fldChar w:fldCharType="end"/>
      </w:r>
      <w:r w:rsidR="00664ADC">
        <w:t>.</w:t>
      </w:r>
    </w:p>
    <w:p w14:paraId="2E932468" w14:textId="77777777" w:rsidR="00DD05A4" w:rsidRDefault="00DD05A4" w:rsidP="00F43560"/>
    <w:p w14:paraId="2B3BD3F6" w14:textId="21EC6907" w:rsidR="00F43560" w:rsidRDefault="007A2F11" w:rsidP="00F43560">
      <w:r>
        <w:t>In</w:t>
      </w:r>
      <w:r w:rsidR="00553CBD">
        <w:t xml:space="preserve"> the current</w:t>
      </w:r>
      <w:r>
        <w:t xml:space="preserve"> study</w:t>
      </w:r>
      <w:r w:rsidRPr="005F04F5">
        <w:t>, w</w:t>
      </w:r>
      <w:r w:rsidR="00F43560" w:rsidRPr="005F04F5">
        <w:t>e aimed to develop and test</w:t>
      </w:r>
      <w:r w:rsidRPr="005F04F5">
        <w:t xml:space="preserve"> </w:t>
      </w:r>
      <w:r w:rsidR="00AF2716">
        <w:t>metabolite</w:t>
      </w:r>
      <w:r w:rsidR="00F43560" w:rsidRPr="005F04F5">
        <w:t xml:space="preserve"> score</w:t>
      </w:r>
      <w:r w:rsidR="00342771" w:rsidRPr="005F04F5">
        <w:t>s</w:t>
      </w:r>
      <w:r w:rsidR="00F43560" w:rsidRPr="005F04F5">
        <w:t xml:space="preserve"> for </w:t>
      </w:r>
      <w:r w:rsidR="001C18B1">
        <w:t xml:space="preserve">different </w:t>
      </w:r>
      <w:r w:rsidR="00553CBD">
        <w:t xml:space="preserve">types </w:t>
      </w:r>
      <w:r w:rsidR="001C18B1">
        <w:t xml:space="preserve">of </w:t>
      </w:r>
      <w:r w:rsidR="00664ADC" w:rsidRPr="005F04F5">
        <w:lastRenderedPageBreak/>
        <w:t xml:space="preserve">meat consumption by </w:t>
      </w:r>
      <w:r w:rsidR="00F0576D" w:rsidRPr="005F04F5">
        <w:t xml:space="preserve">combining </w:t>
      </w:r>
      <w:r w:rsidR="00F52DF3">
        <w:t>781</w:t>
      </w:r>
      <w:r w:rsidR="00F52DF3" w:rsidRPr="005F04F5">
        <w:t xml:space="preserve"> </w:t>
      </w:r>
      <w:r w:rsidR="00D07005">
        <w:t xml:space="preserve">blood </w:t>
      </w:r>
      <w:r w:rsidR="0033668F" w:rsidRPr="005F04F5">
        <w:t>metabolites</w:t>
      </w:r>
      <w:r w:rsidR="00F43560" w:rsidRPr="005F04F5">
        <w:t xml:space="preserve"> in the </w:t>
      </w:r>
      <w:r w:rsidR="00922973">
        <w:t xml:space="preserve">European Prospective Investigation into Cancer and Nutrition-Norfolk (EPIC-Norfolk) </w:t>
      </w:r>
      <w:r w:rsidRPr="005F04F5">
        <w:t>cohort</w:t>
      </w:r>
      <w:r w:rsidR="001C18B1">
        <w:t xml:space="preserve"> and then to take forward the </w:t>
      </w:r>
      <w:r w:rsidR="001152F7">
        <w:t xml:space="preserve">red </w:t>
      </w:r>
      <w:r w:rsidR="001C18B1">
        <w:t xml:space="preserve">meat </w:t>
      </w:r>
      <w:r w:rsidR="00AF2716">
        <w:t>metabolite</w:t>
      </w:r>
      <w:r w:rsidR="001C18B1">
        <w:t xml:space="preserve"> score to </w:t>
      </w:r>
      <w:r w:rsidR="00D600D6">
        <w:t>potential replication</w:t>
      </w:r>
      <w:r w:rsidR="001C18B1">
        <w:t xml:space="preserve"> in a short-term randomi</w:t>
      </w:r>
      <w:r w:rsidR="001C3E9B">
        <w:t>z</w:t>
      </w:r>
      <w:r w:rsidR="001C18B1">
        <w:t xml:space="preserve">ed controlled trial (RCT) </w:t>
      </w:r>
      <w:r w:rsidR="00053862">
        <w:t xml:space="preserve">that </w:t>
      </w:r>
      <w:r w:rsidR="00D600D6">
        <w:t>measured metabolites after a red meat and a non-meat diet</w:t>
      </w:r>
      <w:r w:rsidR="001C18B1">
        <w:t>. Finally we tested</w:t>
      </w:r>
      <w:r w:rsidR="00783746">
        <w:t xml:space="preserve"> whether</w:t>
      </w:r>
      <w:r w:rsidR="001C18B1">
        <w:t xml:space="preserve"> the meat </w:t>
      </w:r>
      <w:r w:rsidR="00AF2716">
        <w:t>metabolite</w:t>
      </w:r>
      <w:r w:rsidR="007575C2">
        <w:t xml:space="preserve"> score</w:t>
      </w:r>
      <w:r w:rsidR="00783746">
        <w:t xml:space="preserve"> </w:t>
      </w:r>
      <w:r w:rsidR="009430BC">
        <w:t xml:space="preserve">was </w:t>
      </w:r>
      <w:r w:rsidR="00783746">
        <w:t>associated</w:t>
      </w:r>
      <w:r w:rsidR="007575C2">
        <w:t xml:space="preserve"> </w:t>
      </w:r>
      <w:r w:rsidR="0055649C">
        <w:t xml:space="preserve">with </w:t>
      </w:r>
      <w:r w:rsidR="009379EF">
        <w:t xml:space="preserve">the </w:t>
      </w:r>
      <w:r w:rsidR="0055649C">
        <w:t>risk of incident</w:t>
      </w:r>
      <w:r w:rsidR="009379EF">
        <w:t xml:space="preserve"> T2D and other </w:t>
      </w:r>
      <w:r w:rsidR="001152F7">
        <w:t>non-communicable</w:t>
      </w:r>
      <w:r w:rsidR="001152F7" w:rsidDel="001152F7">
        <w:t xml:space="preserve"> </w:t>
      </w:r>
      <w:r w:rsidR="009379EF">
        <w:t>diseases</w:t>
      </w:r>
      <w:r w:rsidR="00695AD4">
        <w:t xml:space="preserve"> to explore the potential </w:t>
      </w:r>
      <w:r w:rsidR="00C139F0">
        <w:t xml:space="preserve">utility </w:t>
      </w:r>
      <w:r w:rsidR="00695AD4">
        <w:t xml:space="preserve">of the score in </w:t>
      </w:r>
      <w:r w:rsidR="0085483E">
        <w:t>understanding disease risk</w:t>
      </w:r>
      <w:r w:rsidR="001C18B1">
        <w:t>.</w:t>
      </w:r>
      <w:r>
        <w:t xml:space="preserve"> </w:t>
      </w:r>
    </w:p>
    <w:p w14:paraId="50E65E69" w14:textId="0585EDCA" w:rsidR="00AD120E" w:rsidRDefault="00965AD7" w:rsidP="00735627">
      <w:pPr>
        <w:pStyle w:val="Heading1"/>
      </w:pPr>
      <w:r>
        <w:t>Method</w:t>
      </w:r>
      <w:r w:rsidR="00BD2608">
        <w:t>s</w:t>
      </w:r>
      <w:r>
        <w:t xml:space="preserve"> (</w:t>
      </w:r>
      <w:r w:rsidR="001E0F06">
        <w:t>1</w:t>
      </w:r>
      <w:r w:rsidR="00B12134">
        <w:t>7</w:t>
      </w:r>
      <w:r w:rsidR="00633B8C">
        <w:t>04</w:t>
      </w:r>
      <w:r w:rsidR="001E0F06">
        <w:t xml:space="preserve"> </w:t>
      </w:r>
      <w:r w:rsidR="00AD120E">
        <w:t>words)</w:t>
      </w:r>
    </w:p>
    <w:p w14:paraId="30C0CCEB" w14:textId="2678F0C0" w:rsidR="00AD120E" w:rsidRDefault="00AD120E" w:rsidP="00EF3667">
      <w:pPr>
        <w:pStyle w:val="Heading2"/>
      </w:pPr>
      <w:r w:rsidRPr="00052B50">
        <w:t>Data source and study design</w:t>
      </w:r>
    </w:p>
    <w:p w14:paraId="29004517" w14:textId="3C9ABEDD" w:rsidR="00D0408A" w:rsidRDefault="00D0408A" w:rsidP="003925AE">
      <w:r>
        <w:t>The overall design of the project includes a derivation</w:t>
      </w:r>
      <w:r w:rsidR="00F92AF4">
        <w:t xml:space="preserve"> </w:t>
      </w:r>
      <w:r w:rsidR="00B0229E">
        <w:t xml:space="preserve">and validation </w:t>
      </w:r>
      <w:r>
        <w:t>phase in an observational study, a test of change in a</w:t>
      </w:r>
      <w:r w:rsidR="00922973">
        <w:t>n</w:t>
      </w:r>
      <w:r>
        <w:t xml:space="preserve"> RCT and a test of association with incident health outcomes in a prospective study </w:t>
      </w:r>
      <w:r w:rsidR="00B0229E">
        <w:t>as</w:t>
      </w:r>
      <w:r>
        <w:t xml:space="preserve"> shown in </w:t>
      </w:r>
      <w:r w:rsidRPr="002301A3">
        <w:rPr>
          <w:b/>
          <w:i/>
        </w:rPr>
        <w:t>Figure 1</w:t>
      </w:r>
      <w:r>
        <w:t>.</w:t>
      </w:r>
    </w:p>
    <w:p w14:paraId="7E00D946" w14:textId="77777777" w:rsidR="00833105" w:rsidRPr="00A941F3" w:rsidRDefault="00833105" w:rsidP="003925AE"/>
    <w:p w14:paraId="0C22B4C7" w14:textId="4818A834" w:rsidR="009A2231" w:rsidRPr="00C97492" w:rsidRDefault="009A2231" w:rsidP="00EF3667">
      <w:pPr>
        <w:pStyle w:val="Heading2"/>
      </w:pPr>
      <w:r w:rsidRPr="00C97492">
        <w:t xml:space="preserve">Observational </w:t>
      </w:r>
      <w:r w:rsidR="00C65AF8" w:rsidRPr="00C97492">
        <w:t>data</w:t>
      </w:r>
      <w:r w:rsidR="006D1B13">
        <w:t xml:space="preserve"> for the derivation and </w:t>
      </w:r>
      <w:r w:rsidR="00ED7D42">
        <w:t xml:space="preserve">validation </w:t>
      </w:r>
      <w:r w:rsidR="006D1B13">
        <w:t xml:space="preserve">of the </w:t>
      </w:r>
      <w:r w:rsidR="00AF2716">
        <w:t>metabolite</w:t>
      </w:r>
      <w:r w:rsidR="006D1B13">
        <w:t xml:space="preserve"> scores</w:t>
      </w:r>
      <w:r w:rsidR="009F0551">
        <w:t>: the EPIC-Norfolk study</w:t>
      </w:r>
    </w:p>
    <w:p w14:paraId="21DDC4CA" w14:textId="7E00135B" w:rsidR="00C95794" w:rsidRDefault="001F6111" w:rsidP="00AD4658">
      <w:r>
        <w:t xml:space="preserve">We developed and </w:t>
      </w:r>
      <w:r w:rsidR="00735CD8">
        <w:t xml:space="preserve">validated </w:t>
      </w:r>
      <w:r>
        <w:t xml:space="preserve">the </w:t>
      </w:r>
      <w:r w:rsidR="00AF2716">
        <w:t>metabolite</w:t>
      </w:r>
      <w:r>
        <w:t xml:space="preserve"> scores for</w:t>
      </w:r>
      <w:r w:rsidR="00695AD4">
        <w:t xml:space="preserve"> three </w:t>
      </w:r>
      <w:r w:rsidR="00B0229E">
        <w:t xml:space="preserve">types of meat consumption </w:t>
      </w:r>
      <w:r w:rsidR="00695AD4">
        <w:t>(red meat, processed meat and poultry)</w:t>
      </w:r>
      <w:r w:rsidR="00B0229E">
        <w:t>,</w:t>
      </w:r>
      <w:r w:rsidR="00A1402E">
        <w:t xml:space="preserve"> </w:t>
      </w:r>
      <w:r>
        <w:t xml:space="preserve">using </w:t>
      </w:r>
      <w:r w:rsidR="00EC411D">
        <w:t xml:space="preserve">baseline </w:t>
      </w:r>
      <w:r>
        <w:t>data from</w:t>
      </w:r>
      <w:r w:rsidR="002F6204">
        <w:t xml:space="preserve"> </w:t>
      </w:r>
      <w:r w:rsidR="00EC411D">
        <w:t xml:space="preserve">the </w:t>
      </w:r>
      <w:r w:rsidR="00922973">
        <w:t xml:space="preserve">EPIC-Norfolk study </w:t>
      </w:r>
      <w:r w:rsidR="00A1402E">
        <w:t>which originally</w:t>
      </w:r>
      <w:r w:rsidR="00C56D1F">
        <w:t xml:space="preserve"> </w:t>
      </w:r>
      <w:r w:rsidR="002F6204">
        <w:t>recruited</w:t>
      </w:r>
      <w:r w:rsidR="00AD120E">
        <w:t xml:space="preserve"> 25,639 men and women aged 40</w:t>
      </w:r>
      <w:r w:rsidR="00783746">
        <w:t>-</w:t>
      </w:r>
      <w:r w:rsidR="00AD120E">
        <w:t>79 years</w:t>
      </w:r>
      <w:r w:rsidR="002F6204">
        <w:t xml:space="preserve"> </w:t>
      </w:r>
      <w:r w:rsidR="00783746">
        <w:t xml:space="preserve">between </w:t>
      </w:r>
      <w:r w:rsidR="002F6204">
        <w:t>1993</w:t>
      </w:r>
      <w:r w:rsidR="00783746">
        <w:t xml:space="preserve"> and 1998 </w:t>
      </w:r>
      <w:r w:rsidR="002F6204">
        <w:t>i</w:t>
      </w:r>
      <w:r w:rsidR="00AD120E">
        <w:t>n the United Kingdom. Details of the recruitment procedures and data collection have been described previously</w:t>
      </w:r>
      <w:r w:rsidR="00D47385">
        <w:t xml:space="preserve"> </w:t>
      </w:r>
      <w:r w:rsidR="002562A5">
        <w:fldChar w:fldCharType="begin" w:fldLock="1"/>
      </w:r>
      <w:r w:rsidR="003D41CF">
        <w:instrText>ADDIN CSL_CITATION {"citationItems":[{"id":"ITEM-1","itemData":{"ISSN":"0007-0920 (Print) 0007-0920 (Linking)","author":[{"dropping-particle":"","family":"Day","given":"N","non-dropping-particle":"","parse-names":false,"suffix":""},{"dropping-particle":"","family":"Oakes","given":"S","non-dropping-particle":"","parse-names":false,"suffix":""},{"dropping-particle":"","family":"Luben","given":"R","non-dropping-particle":"","parse-names":false,"suffix":""},{"dropping-particle":"","family":"Khaw","given":"K T","non-dropping-particle":"","parse-names":false,"suffix":""},{"dropping-particle":"","family":"Bingham","given":"S","non-dropping-particle":"","parse-names":false,"suffix":""},{"dropping-particle":"","family":"Welch","given":"A","non-dropping-particle":"","parse-names":false,"suffix":""},{"dropping-particle":"","family":"Wareham","given":"N","non-dropping-particle":"","parse-names":false,"suffix":""}],"container-title":"Br J Cancer","edition":"1999/08/31","id":"ITEM-1","issued":{"date-parts":[["1999"]]},"note":"Day, N\nOakes, S\nLuben, R\nKhaw, K T\nBingham, S\nWelch, A\nWareham, N\neng\nResearch Support, Non-U.S. Gov't\nEngland\nBr J Cancer. 1999 Jul;80 Suppl 1:95-103.","page":"95-103","publisher-place":"Department of Community Medicine, University of Cambridge, Medical Research Council, UK.","title":"EPIC-Norfolk: study design and characteristics of the cohort. European Prospective Investigation of Cancer","type":"article-journal","volume":"80 Suppl 1"},"uris":["http://www.mendeley.com/documents/?uuid=f6936a70-35ae-4fe9-a0fe-b65eca212d78"]}],"mendeley":{"formattedCitation":"(14)","plainTextFormattedCitation":"(14)","previouslyFormattedCitation":"(14)"},"properties":{"noteIndex":0},"schema":"https://github.com/citation-style-language/schema/raw/master/csl-citation.json"}</w:instrText>
      </w:r>
      <w:r w:rsidR="002562A5">
        <w:rPr>
          <w:vertAlign w:val="superscript"/>
        </w:rPr>
        <w:fldChar w:fldCharType="separate"/>
      </w:r>
      <w:r w:rsidR="00AB1D57" w:rsidRPr="00AB1D57">
        <w:rPr>
          <w:noProof/>
        </w:rPr>
        <w:t>(14)</w:t>
      </w:r>
      <w:r w:rsidR="002562A5">
        <w:fldChar w:fldCharType="end"/>
      </w:r>
      <w:r w:rsidR="00AD120E">
        <w:t xml:space="preserve">. Briefly, baseline characteristics </w:t>
      </w:r>
      <w:r w:rsidR="00BC0FB2">
        <w:t xml:space="preserve">for all </w:t>
      </w:r>
      <w:r w:rsidR="00AD120E">
        <w:t>participants</w:t>
      </w:r>
      <w:r w:rsidR="00C65AF8">
        <w:t xml:space="preserve"> were collected</w:t>
      </w:r>
      <w:r w:rsidR="00C97492">
        <w:t>,</w:t>
      </w:r>
      <w:r w:rsidR="00AD120E">
        <w:t xml:space="preserve"> including soci</w:t>
      </w:r>
      <w:r w:rsidR="00A1402E">
        <w:t>o</w:t>
      </w:r>
      <w:r w:rsidR="00AD120E">
        <w:t xml:space="preserve">-demographic factors (age, sex, and education level), </w:t>
      </w:r>
      <w:r w:rsidR="00A1402E">
        <w:t xml:space="preserve">health </w:t>
      </w:r>
      <w:r w:rsidR="001C3E9B">
        <w:t>behaviors</w:t>
      </w:r>
      <w:r w:rsidR="00AD120E">
        <w:t xml:space="preserve"> (smoking status, alcohol drinking, and physical activity), </w:t>
      </w:r>
      <w:r w:rsidR="00A82FF5">
        <w:t>and dietary</w:t>
      </w:r>
      <w:r w:rsidR="00AD120E">
        <w:t xml:space="preserve"> measures</w:t>
      </w:r>
      <w:r w:rsidR="00BC0FB2">
        <w:t>.</w:t>
      </w:r>
      <w:r w:rsidR="003925AE">
        <w:t xml:space="preserve"> </w:t>
      </w:r>
      <w:r w:rsidR="00ED7D42">
        <w:t>Blood</w:t>
      </w:r>
      <w:r w:rsidR="00A1402E">
        <w:t xml:space="preserve"> </w:t>
      </w:r>
      <w:r w:rsidR="00AD120E">
        <w:t>samples</w:t>
      </w:r>
      <w:r w:rsidR="00BC0FB2">
        <w:t xml:space="preserve"> were collected </w:t>
      </w:r>
      <w:r w:rsidR="00FE51CE">
        <w:t xml:space="preserve">at baseline </w:t>
      </w:r>
      <w:r w:rsidR="00BC0FB2">
        <w:t xml:space="preserve">and stored in </w:t>
      </w:r>
      <w:r w:rsidR="00A1402E">
        <w:t>liquid nitrogen at</w:t>
      </w:r>
      <w:r w:rsidR="003F1AEB">
        <w:t xml:space="preserve"> -1</w:t>
      </w:r>
      <w:r w:rsidR="00AF2716">
        <w:t>75</w:t>
      </w:r>
      <w:r w:rsidR="00FE51CE" w:rsidRPr="00DF3D57">
        <w:rPr>
          <w:vertAlign w:val="superscript"/>
        </w:rPr>
        <w:t>o</w:t>
      </w:r>
      <w:r w:rsidR="00FE51CE">
        <w:t>C</w:t>
      </w:r>
      <w:r w:rsidR="00AD120E">
        <w:t xml:space="preserve">. </w:t>
      </w:r>
      <w:r w:rsidR="003D3FE0" w:rsidRPr="00465F80">
        <w:t xml:space="preserve">The EPIC-Norfolk </w:t>
      </w:r>
      <w:r w:rsidR="003D3FE0" w:rsidRPr="00465F80">
        <w:lastRenderedPageBreak/>
        <w:t>study was approved by the Norwich Local Ethics Committee (REC Ref: 98CN01); all participants gave their informed written consent before entering the study</w:t>
      </w:r>
      <w:r w:rsidR="00FA6C30">
        <w:t>.</w:t>
      </w:r>
    </w:p>
    <w:p w14:paraId="53E0FA89" w14:textId="77777777" w:rsidR="00833105" w:rsidRDefault="00833105" w:rsidP="00AD4658"/>
    <w:p w14:paraId="223038E9" w14:textId="2CC1A5F0" w:rsidR="00FA6C30" w:rsidRDefault="00A1402E" w:rsidP="00AD4658">
      <w:r>
        <w:t>We</w:t>
      </w:r>
      <w:r w:rsidR="003A51F2">
        <w:t xml:space="preserve"> developed </w:t>
      </w:r>
      <w:r w:rsidR="00AF2716">
        <w:t>metabolite</w:t>
      </w:r>
      <w:r w:rsidR="003A51F2">
        <w:t xml:space="preserve"> scores for </w:t>
      </w:r>
      <w:r>
        <w:t xml:space="preserve">different </w:t>
      </w:r>
      <w:r w:rsidR="00ED7D42">
        <w:t xml:space="preserve">types </w:t>
      </w:r>
      <w:r>
        <w:t xml:space="preserve">of </w:t>
      </w:r>
      <w:r w:rsidR="003A51F2">
        <w:t>meat consumption in</w:t>
      </w:r>
      <w:r w:rsidR="00FA6C30">
        <w:t xml:space="preserve"> </w:t>
      </w:r>
      <w:r>
        <w:t>an</w:t>
      </w:r>
      <w:r w:rsidR="00FA6C30">
        <w:t xml:space="preserve"> exploratory set</w:t>
      </w:r>
      <w:r>
        <w:t xml:space="preserve"> which</w:t>
      </w:r>
      <w:r w:rsidR="005A0CE6">
        <w:t xml:space="preserve"> </w:t>
      </w:r>
      <w:r w:rsidR="00FA6C30">
        <w:t>included</w:t>
      </w:r>
      <w:r w:rsidR="00BE4921">
        <w:t xml:space="preserve"> </w:t>
      </w:r>
      <w:r w:rsidR="009542A6">
        <w:t>11</w:t>
      </w:r>
      <w:r>
        <w:t>,</w:t>
      </w:r>
      <w:r w:rsidR="009542A6">
        <w:t xml:space="preserve">432 </w:t>
      </w:r>
      <w:r w:rsidR="00FA6C30">
        <w:t xml:space="preserve">participants </w:t>
      </w:r>
      <w:r>
        <w:t>who had</w:t>
      </w:r>
      <w:r w:rsidR="00FA6C30">
        <w:t xml:space="preserve"> both untargeted metabolomics and dietary data</w:t>
      </w:r>
      <w:r>
        <w:t xml:space="preserve">. We excluded from this exploratory dataset </w:t>
      </w:r>
      <w:r w:rsidR="003A51F2">
        <w:t>individuals</w:t>
      </w:r>
      <w:r w:rsidR="00FA6C30">
        <w:t xml:space="preserve"> who were </w:t>
      </w:r>
      <w:r>
        <w:t xml:space="preserve">part of a </w:t>
      </w:r>
      <w:r w:rsidR="00FA6C30">
        <w:t>nested case-cohort</w:t>
      </w:r>
      <w:r>
        <w:t xml:space="preserve"> study for incident </w:t>
      </w:r>
      <w:r w:rsidR="00922973">
        <w:t>T2D</w:t>
      </w:r>
      <w:r w:rsidR="009542A6">
        <w:t>; those</w:t>
      </w:r>
      <w:r w:rsidR="003A51F2">
        <w:t xml:space="preserve"> </w:t>
      </w:r>
      <w:r w:rsidR="00FA6C30">
        <w:t xml:space="preserve">with extreme energy intake measures </w:t>
      </w:r>
      <w:r w:rsidR="00ED7D42">
        <w:t>(</w:t>
      </w:r>
      <w:r w:rsidR="00ED7D42">
        <w:rPr>
          <w:rFonts w:cs="Times New Roman"/>
        </w:rPr>
        <w:t>&lt;</w:t>
      </w:r>
      <w:r w:rsidR="00ED7D42" w:rsidRPr="00AB161C">
        <w:rPr>
          <w:rFonts w:cs="Times New Roman"/>
        </w:rPr>
        <w:t xml:space="preserve"> </w:t>
      </w:r>
      <w:r w:rsidR="00FA6C30" w:rsidRPr="00AB161C">
        <w:rPr>
          <w:rFonts w:cs="Times New Roman"/>
        </w:rPr>
        <w:t xml:space="preserve">500 </w:t>
      </w:r>
      <w:r w:rsidR="00FA6C30">
        <w:rPr>
          <w:rFonts w:cs="Times New Roman"/>
        </w:rPr>
        <w:t xml:space="preserve">and </w:t>
      </w:r>
      <w:r w:rsidR="00ED7D42">
        <w:rPr>
          <w:rFonts w:cs="Times New Roman"/>
        </w:rPr>
        <w:t xml:space="preserve">&gt; </w:t>
      </w:r>
      <w:r w:rsidR="00FA6C30" w:rsidRPr="00AB161C">
        <w:rPr>
          <w:rFonts w:cs="Times New Roman"/>
        </w:rPr>
        <w:t xml:space="preserve">3500 </w:t>
      </w:r>
      <w:r w:rsidR="00FA6C30">
        <w:rPr>
          <w:rFonts w:cs="Times New Roman"/>
        </w:rPr>
        <w:t>k</w:t>
      </w:r>
      <w:r w:rsidR="00FA6C30" w:rsidRPr="00AB161C">
        <w:rPr>
          <w:rFonts w:cs="Times New Roman"/>
        </w:rPr>
        <w:t>cal/d for women</w:t>
      </w:r>
      <w:r w:rsidR="00FA6C30">
        <w:rPr>
          <w:rFonts w:cs="Times New Roman"/>
        </w:rPr>
        <w:t xml:space="preserve">, </w:t>
      </w:r>
      <w:r w:rsidR="00ED7D42">
        <w:rPr>
          <w:rFonts w:cs="Times New Roman"/>
        </w:rPr>
        <w:t xml:space="preserve">&lt; </w:t>
      </w:r>
      <w:r w:rsidR="00FA6C30" w:rsidRPr="00AB161C">
        <w:rPr>
          <w:rFonts w:cs="Times New Roman"/>
        </w:rPr>
        <w:t xml:space="preserve">800 </w:t>
      </w:r>
      <w:r w:rsidR="00FA6C30">
        <w:rPr>
          <w:rFonts w:cs="Times New Roman"/>
        </w:rPr>
        <w:t xml:space="preserve">and </w:t>
      </w:r>
      <w:r w:rsidR="00ED7D42">
        <w:rPr>
          <w:rFonts w:cs="Times New Roman"/>
        </w:rPr>
        <w:t xml:space="preserve">&gt; </w:t>
      </w:r>
      <w:r w:rsidR="00FA6C30" w:rsidRPr="00AB161C">
        <w:rPr>
          <w:rFonts w:cs="Times New Roman"/>
        </w:rPr>
        <w:t xml:space="preserve">4200 </w:t>
      </w:r>
      <w:r w:rsidR="00FA6C30">
        <w:rPr>
          <w:rFonts w:cs="Times New Roman"/>
        </w:rPr>
        <w:t>k</w:t>
      </w:r>
      <w:r w:rsidR="00FA6C30" w:rsidRPr="00AB161C">
        <w:rPr>
          <w:rFonts w:cs="Times New Roman"/>
        </w:rPr>
        <w:t>cal/d for men</w:t>
      </w:r>
      <w:r w:rsidR="003A51F2">
        <w:t>);</w:t>
      </w:r>
      <w:r w:rsidR="00FA6C30">
        <w:t xml:space="preserve"> </w:t>
      </w:r>
      <w:r w:rsidR="00134B62">
        <w:t>or those with prevalent diabetes at baseline.</w:t>
      </w:r>
    </w:p>
    <w:p w14:paraId="095FFAB4" w14:textId="77777777" w:rsidR="00833105" w:rsidRDefault="00833105" w:rsidP="00AD4658"/>
    <w:p w14:paraId="25D34292" w14:textId="29D7DEC4" w:rsidR="005A0CE6" w:rsidRDefault="00783746" w:rsidP="00AD4658">
      <w:r>
        <w:t xml:space="preserve">Participants from the </w:t>
      </w:r>
      <w:proofErr w:type="spellStart"/>
      <w:r>
        <w:t>subcohort</w:t>
      </w:r>
      <w:proofErr w:type="spellEnd"/>
      <w:r>
        <w:t xml:space="preserve"> of an independent nested T2D case-cohort study</w:t>
      </w:r>
      <w:r w:rsidR="00D47385">
        <w:t xml:space="preserve"> </w:t>
      </w:r>
      <w:r w:rsidR="004E256E">
        <w:fldChar w:fldCharType="begin" w:fldLock="1"/>
      </w:r>
      <w:r w:rsidR="003D41CF">
        <w:instrText>ADDIN CSL_CITATION {"citationItems":[{"id":"ITEM-1","itemData":{"DOI":"10.1007/s00125-012-2544-y","abstract":"Aims/hypothesis Epidemiological evidence is suggestive, but limited, for an association between circulating 25-hydroxyvitamin D (25[OH]D) and risk of type 2 diabetes. We conducted a systematic review and meta-analysis that included new data from previously unpublished studies. Methods Using a nested case-cohort design in the European Prospective Investigation into Cancer (EPIC)-Norfolk study, we identified a random subcohort and incident type 2 diabetes cases occurring between baseline (1993-1997) and 2006. In the Ely prospective study we identified incident type 2 diabetes cases between 1990 and 2003. We conducted a systematic review of prospective studies on 25 (OH)D and type 2 diabetes published in MEDLINE or EMBASE until 31 January 2012, and performed a random-effects meta-analysis combining available evidence with results from the EPIC-Norfolk and Ely studies. Results In EPIC-Norfolk, baseline 25(OH)D was lower among incident type 2 diabetes cases (mean [SD] 61.6 [22.4] nmol/l; n0621) vs non-case subcohort participants (mean 65.3 [23.9] nmol/l; n0826). There was an inverse association between baseline 25(OH)D and incident type 2 diabetes in multivariable-adjusted analyses: HR (95% CI) 0.66 (0.45, 0.97), 0.53 (0.34, 0.82), 0.50 (0.32, 0.76), p trend &lt;0.001, comparing consecutive increasing 25(OH)D quartiles with the lowest. In Ely, 37 incident type 2 diabetes cases were identified among 777 participants. In meta-analysis, the combined RR of type 2 diabetes comparing the highest with lowest quartile of 25(OH)D was 0.59 (0.52, 0.67), with little heterogeneity (I 2 02.7%, p00.42) between the 11 studies included (3,612 cases and 55,713 non-cases). Conclusions/interpretation These findings demonstrate an inverse association between circulating 25(OH)D and incident type 2 diabetes. However, causal inference should be addressed through adequately dosed randomised trials of vitamin D supplementation or genetic Mendelian random-isation experiments.","author":[{"dropping-particle":"","family":"Forouhi","given":"N G","non-dropping-particle":"","parse-names":false,"suffix":""},{"dropping-particle":"","family":"Ye","given":"Z","non-dropping-particle":"","parse-names":false,"suffix":""},{"dropping-particle":"","family":"Rickard","given":"A P","non-dropping-particle":"","parse-names":false,"suffix":""},{"dropping-particle":"","family":"Khaw","given":"K T","non-dropping-particle":"","parse-names":false,"suffix":""},{"dropping-particle":"","family":"Luben","given":"R","non-dropping-particle":"","parse-names":false,"suffix":""},{"dropping-particle":"","family":"Langenberg","given":"C","non-dropping-particle":"","parse-names":false,"suffix":""},{"dropping-particle":"","family":"Wareham","given":"N J","non-dropping-particle":"","parse-names":false,"suffix":""}],"id":"ITEM-1","issued":{"date-parts":[["0"]]},"title":"Circulating 25-hydroxyvitamin D concentration and the risk of type 2 diabetes: results from the European Prospective Investigation into Cancer (EPIC)-Norfolk cohort and updated meta-analysis of prospective studies","type":"article-journal"},"uris":["http://www.mendeley.com/documents/?uuid=ad3f8294-ad2b-3be5-96b9-9323903be9f6"]}],"mendeley":{"formattedCitation":"(15)","plainTextFormattedCitation":"(15)","previouslyFormattedCitation":"(15)"},"properties":{"noteIndex":0},"schema":"https://github.com/citation-style-language/schema/raw/master/csl-citation.json"}</w:instrText>
      </w:r>
      <w:r w:rsidR="004E256E">
        <w:fldChar w:fldCharType="separate"/>
      </w:r>
      <w:r w:rsidR="00AB1D57" w:rsidRPr="00AB1D57">
        <w:rPr>
          <w:noProof/>
        </w:rPr>
        <w:t>(15)</w:t>
      </w:r>
      <w:r w:rsidR="004E256E">
        <w:fldChar w:fldCharType="end"/>
      </w:r>
      <w:r w:rsidR="004E256E">
        <w:t xml:space="preserve"> </w:t>
      </w:r>
      <w:r>
        <w:t>were used as a validation set</w:t>
      </w:r>
      <w:r w:rsidR="004E256E">
        <w:t xml:space="preserve">, which included </w:t>
      </w:r>
      <w:r w:rsidR="003F17DF">
        <w:t>853 participants</w:t>
      </w:r>
      <w:r w:rsidR="004E256E">
        <w:t xml:space="preserve"> after exclusions</w:t>
      </w:r>
      <w:r w:rsidR="00FA6C30">
        <w:t>.</w:t>
      </w:r>
    </w:p>
    <w:p w14:paraId="5571A7AD" w14:textId="7498CB85" w:rsidR="009F0551" w:rsidRDefault="009F0551" w:rsidP="00AD4658"/>
    <w:p w14:paraId="1E87B8AA" w14:textId="7C733EA7" w:rsidR="009F0551" w:rsidRPr="00D826A4" w:rsidRDefault="009F0551" w:rsidP="009B24C6">
      <w:pPr>
        <w:pStyle w:val="Heading3"/>
      </w:pPr>
      <w:r w:rsidRPr="00D826A4">
        <w:t>Metabolomics measurement</w:t>
      </w:r>
      <w:r w:rsidR="001C5AB2">
        <w:t xml:space="preserve"> and data processing</w:t>
      </w:r>
      <w:r w:rsidRPr="00D826A4">
        <w:t xml:space="preserve"> in the EPIC-Norfolk study </w:t>
      </w:r>
    </w:p>
    <w:p w14:paraId="0A15E9FF" w14:textId="63F37401" w:rsidR="00603988" w:rsidRDefault="009F0551" w:rsidP="00AF260E">
      <w:r>
        <w:t xml:space="preserve">We measured untargeted metabolomics using ultra-performance liquid chromatography-tandem mass spectrometry (UPLC MS/MS) on the Metabolon DiscoveryHD4® platform from plasma samples collected at baseline. </w:t>
      </w:r>
      <w:r w:rsidR="00603988">
        <w:t>The measurement of metabolites was performed</w:t>
      </w:r>
      <w:r w:rsidR="0025580E">
        <w:t xml:space="preserve"> </w:t>
      </w:r>
      <w:r w:rsidR="00603988">
        <w:t>in three subsets</w:t>
      </w:r>
      <w:r w:rsidR="0025580E">
        <w:t xml:space="preserve"> in </w:t>
      </w:r>
      <w:r w:rsidR="0025580E" w:rsidRPr="00465F80">
        <w:t>March 2015, January 2016 and March 2017</w:t>
      </w:r>
      <w:r w:rsidR="0025580E">
        <w:t xml:space="preserve"> successively. The data quality control and processing methods have been described previously</w:t>
      </w:r>
      <w:r w:rsidR="00D47385">
        <w:t xml:space="preserve"> </w:t>
      </w:r>
      <w:r w:rsidR="0025580E">
        <w:fldChar w:fldCharType="begin" w:fldLock="1"/>
      </w:r>
      <w:r w:rsidR="003D41CF">
        <w:instrText>ADDIN CSL_CITATION {"citationItems":[{"id":"ITEM-1","itemData":{"DOI":"10.1038/s41591-021-01266-0","ISSN":"1078-8956","abstract":"D eep molecular profiling of human blood has the potential to identify new pathways to diseases, improve risk prediction and enable stratified prevention and management 1. Prospective studies have shown the promise of deep phenotypic profiling for precision medicine 2,3 but these were very-small-scale and focused on single diseases 4,5. Many pathways are shared across different diseases and one in four patients now presents with two or more chronic conditions at the same time, referred to as mul-timorbidity 6,7. The incidence of NCD multimorbidity is increasing not only in high-income 8,9 but also in middle-and low-income countries 7,10 , which poses major challenges for health-care systems globally. The co-occurrence of conditions, such as type 2 diabetes (T2D) and cardiovascular diseases, is common and previous work has shown a high degree of interconnectivity with other diseases 11. The lack of horizontal integration between specialities delivering care for patients with coexisting diseases means that multimorbidity is more likely to be seen as a random assortment of individual conditions. There is now a call by public health authorities and policymakers for a shift to recognizing multimorbidity as an accumulation of largely predictable clusters of diseases in the same person 12. However, knowledge about shared etiologies of less obviously related diseases is sparse. Molecular profiling has the potential to identify pathways simultaneously and systematically across many different incident diseases assessed objectively and at scale. Research into the determinants of NCD multimorbidity is a high priority 12 but, to our knowledge, investigations of in-depth molecular profiles in large prospective cohorts with comprehensive, long-term clinical follow-up have not been previously undertaken. Detailed information on modifiable factors that underlie and drive shared risk, which is required to establish actionable insights for the prevention and management of multimorbidity 13 , is also lacking. The human blood metabolome provides a comprehensive read-out of human physiology obtained through untargeted assessment of hundreds of small circulating molecules, which reflect the influences and interactions of genetics, lifestyle, environment, medical treatment and microbial activity 14. We investigated the associations between baseline levels of 1,014 metabolites assessed through untargeted profiling of plasma samples and the onset of 27 NCDs, all-cause mortality …","author":[{"dropping-particle":"","family":"Pietzner","given":"Maik","non-dropping-particle":"","parse-names":false,"suffix":""},{"dropping-particle":"","family":"Stewart","given":"Isobel D.","non-dropping-particle":"","parse-names":false,"suffix":""},{"dropping-particle":"","family":"Raffler","given":"Johannes","non-dropping-particle":"","parse-names":false,"suffix":""},{"dropping-particle":"","family":"Khaw","given":"Kay-Tee","non-dropping-particle":"","parse-names":false,"suffix":""},{"dropping-particle":"","family":"Michelotti","given":"Gregory A.","non-dropping-particle":"","parse-names":false,"suffix":""},{"dropping-particle":"","family":"Kastenmüller","given":"Gabi","non-dropping-particle":"","parse-names":false,"suffix":""},{"dropping-particle":"","family":"Wareham","given":"Nicholas J.","non-dropping-particle":"","parse-names":false,"suffix":""},{"dropping-particle":"","family":"Langenberg","given":"Claudia","non-dropping-particle":"","parse-names":false,"suffix":""}],"container-title":"Nature Medicine","id":"ITEM-1","issued":{"date-parts":[["2021","3","11"]]},"page":"1-9","publisher":"Nature Publishing Group","title":"Plasma metabolites to profile pathways in noncommunicable disease multimorbidity","type":"article-journal"},"uris":["http://www.mendeley.com/documents/?uuid=fe66a087-2fb1-380c-952f-30645b615ed8"]}],"mendeley":{"formattedCitation":"(16)","plainTextFormattedCitation":"(16)","previouslyFormattedCitation":"(16)"},"properties":{"noteIndex":0},"schema":"https://github.com/citation-style-language/schema/raw/master/csl-citation.json"}</w:instrText>
      </w:r>
      <w:r w:rsidR="0025580E">
        <w:rPr>
          <w:vertAlign w:val="superscript"/>
        </w:rPr>
        <w:fldChar w:fldCharType="separate"/>
      </w:r>
      <w:r w:rsidR="00AB1D57" w:rsidRPr="00AB1D57">
        <w:rPr>
          <w:noProof/>
        </w:rPr>
        <w:t>(16)</w:t>
      </w:r>
      <w:r w:rsidR="0025580E">
        <w:fldChar w:fldCharType="end"/>
      </w:r>
      <w:r w:rsidR="0025580E">
        <w:t xml:space="preserve"> and are </w:t>
      </w:r>
      <w:r w:rsidR="001C3E9B">
        <w:t>summarized</w:t>
      </w:r>
      <w:r w:rsidR="0025580E">
        <w:t xml:space="preserve"> in the </w:t>
      </w:r>
      <w:r w:rsidR="0025580E" w:rsidRPr="002A0100">
        <w:rPr>
          <w:i/>
        </w:rPr>
        <w:t>Supplementary methods</w:t>
      </w:r>
      <w:r w:rsidR="0025580E">
        <w:t xml:space="preserve">. </w:t>
      </w:r>
      <w:r w:rsidR="00603988">
        <w:t xml:space="preserve">After </w:t>
      </w:r>
      <w:r w:rsidR="00B020AB">
        <w:t xml:space="preserve">data </w:t>
      </w:r>
      <w:r w:rsidR="00603988">
        <w:t>quality control</w:t>
      </w:r>
      <w:r w:rsidR="00B020AB">
        <w:t xml:space="preserve"> and data management,</w:t>
      </w:r>
      <w:r w:rsidR="00603988">
        <w:t xml:space="preserve"> three subsets included 1503, 599</w:t>
      </w:r>
      <w:r w:rsidR="00B020AB">
        <w:t>2</w:t>
      </w:r>
      <w:r w:rsidR="00603988">
        <w:t xml:space="preserve"> and 5980 individuals, in which 944, 1168 and 1219 metabolites were measured, respectively, and 781 metabolites were identical across all subsets.</w:t>
      </w:r>
    </w:p>
    <w:p w14:paraId="09E91EBE" w14:textId="77777777" w:rsidR="00991828" w:rsidRDefault="00991828" w:rsidP="00AF260E"/>
    <w:p w14:paraId="04388C31" w14:textId="567186B9" w:rsidR="00AF260E" w:rsidRDefault="009F0551" w:rsidP="00AF260E">
      <w:r>
        <w:t>Before analysis,</w:t>
      </w:r>
      <w:r w:rsidR="00932544">
        <w:t xml:space="preserve"> we undertook</w:t>
      </w:r>
      <w:r>
        <w:t xml:space="preserve"> </w:t>
      </w:r>
      <w:r w:rsidR="00932544">
        <w:t>the following steps for</w:t>
      </w:r>
      <w:r>
        <w:t xml:space="preserve"> each metabolite </w:t>
      </w:r>
      <w:r w:rsidR="00721FE1" w:rsidRPr="00721FE1">
        <w:t>within each subset:</w:t>
      </w:r>
      <w:r>
        <w:t xml:space="preserve"> log-transform</w:t>
      </w:r>
      <w:r w:rsidR="00721FE1">
        <w:t>ation</w:t>
      </w:r>
      <w:r>
        <w:t xml:space="preserve">, </w:t>
      </w:r>
      <w:r w:rsidR="00721FE1" w:rsidRPr="00721FE1">
        <w:t xml:space="preserve">replacement of outliers </w:t>
      </w:r>
      <w:r w:rsidR="00161A9D">
        <w:t xml:space="preserve">with </w:t>
      </w:r>
      <w:r w:rsidR="00721FE1" w:rsidRPr="00721FE1">
        <w:t>5 standard deviations (SD</w:t>
      </w:r>
      <w:r w:rsidR="00161A9D">
        <w:t>s</w:t>
      </w:r>
      <w:r w:rsidR="00721FE1" w:rsidRPr="00721FE1">
        <w:t>) from the mean (</w:t>
      </w:r>
      <w:proofErr w:type="spellStart"/>
      <w:r w:rsidR="00932544">
        <w:t>W</w:t>
      </w:r>
      <w:r w:rsidR="00721FE1" w:rsidRPr="00721FE1">
        <w:t>insorization</w:t>
      </w:r>
      <w:proofErr w:type="spellEnd"/>
      <w:r w:rsidR="00721FE1" w:rsidRPr="00721FE1">
        <w:t xml:space="preserve">) </w:t>
      </w:r>
      <w:r>
        <w:t xml:space="preserve">and </w:t>
      </w:r>
      <w:r w:rsidR="00721FE1">
        <w:t>standardiz</w:t>
      </w:r>
      <w:r w:rsidR="00721FE1" w:rsidRPr="00721FE1">
        <w:t>ation to a mean of 0 and SD of 1.</w:t>
      </w:r>
      <w:r w:rsidR="00991828">
        <w:t xml:space="preserve"> For metabolite</w:t>
      </w:r>
      <w:r w:rsidR="00672BDA">
        <w:t xml:space="preserve"> </w:t>
      </w:r>
      <w:r w:rsidR="00991828">
        <w:lastRenderedPageBreak/>
        <w:t>concentrations that were below the limit of detection, we</w:t>
      </w:r>
      <w:r w:rsidR="000373B0" w:rsidRPr="00761BB1">
        <w:t xml:space="preserve"> </w:t>
      </w:r>
      <w:r w:rsidR="000373B0" w:rsidRPr="00761BB1">
        <w:rPr>
          <w:rFonts w:cs="Times New Roman"/>
        </w:rPr>
        <w:t xml:space="preserve">imputed </w:t>
      </w:r>
      <w:r w:rsidR="00991828">
        <w:rPr>
          <w:rFonts w:cs="Times New Roman"/>
        </w:rPr>
        <w:t xml:space="preserve">them </w:t>
      </w:r>
      <w:r w:rsidR="000373B0">
        <w:rPr>
          <w:rFonts w:cs="Times New Roman"/>
        </w:rPr>
        <w:t xml:space="preserve">with </w:t>
      </w:r>
      <w:r w:rsidR="000373B0" w:rsidRPr="00761BB1">
        <w:rPr>
          <w:rFonts w:cs="Times New Roman"/>
        </w:rPr>
        <w:t xml:space="preserve">the lowest </w:t>
      </w:r>
      <w:r w:rsidR="00721FE1">
        <w:rPr>
          <w:rFonts w:cs="Times New Roman"/>
        </w:rPr>
        <w:t xml:space="preserve">values </w:t>
      </w:r>
      <w:r w:rsidR="000373B0" w:rsidRPr="00761BB1">
        <w:rPr>
          <w:rFonts w:cs="Times New Roman"/>
        </w:rPr>
        <w:t xml:space="preserve">of </w:t>
      </w:r>
      <w:r w:rsidR="000373B0">
        <w:rPr>
          <w:rFonts w:cs="Times New Roman"/>
        </w:rPr>
        <w:t>that</w:t>
      </w:r>
      <w:r w:rsidR="000373B0" w:rsidRPr="00761BB1">
        <w:rPr>
          <w:rFonts w:cs="Times New Roman"/>
        </w:rPr>
        <w:t xml:space="preserve"> metabolite</w:t>
      </w:r>
      <w:r w:rsidR="00D47385">
        <w:rPr>
          <w:rFonts w:cs="Times New Roman"/>
        </w:rPr>
        <w:t xml:space="preserve"> </w:t>
      </w:r>
      <w:r w:rsidR="006410F9" w:rsidRPr="00761BB1">
        <w:rPr>
          <w:rFonts w:cs="Times New Roman"/>
        </w:rPr>
        <w:fldChar w:fldCharType="begin" w:fldLock="1"/>
      </w:r>
      <w:r w:rsidR="003D41CF">
        <w:rPr>
          <w:rFonts w:cs="Times New Roman"/>
        </w:rPr>
        <w:instrText>ADDIN CSL_CITATION {"citationItems":[{"id":"ITEM-1","itemData":{"DOI":"10.1093/jn/nxy027","ISSN":"15416100","PMID":"29767735","abstract":"Background: Recent studies suggest that untargeted metabolomics is a promising tool to identify novel biomarkers of individual foods. However, few large cross-sectional studies with comprehensive data on habitual diet and circulating metabolites have been conducted. Objective: We aimed to identify potential food biomarkers and evaluate their predictive accuracy. Methods:We conducted a cross-sectional analysis of consumption of 91 food groups or items, assessed by a 152-item food-frequency questionnaire, in relation to 1186 serum metabolites measured by mass spectrometry-based platforms from 1369 nonsmoking postmenopausal women (mean age = 68.3 y). Diet-metabolite associations were selected by Pearson's partial correlation analysis (P &lt; 4.63 × 10 -7 , |r| &gt; 0.2). The predictive accuracy of the selected food metabolites was evaluated from the area under the curve (AUC) calculated from receiver operating characteristic analysis conducted among women in the top and bottom quintiles of dietary intake. Results:We identified 379 diet-metabolite associations. Forty-two food groups or items were correlated with 199 serum metabolites. We replicated 63 metabolites as biomarkers of habitual food intake reported in previous cross-sectional studies. Among those not previously shown to be associated with habitual diet, several are biologically plausible and were reported in acute feeding studies including: banana and dopamine 3-O-sulfate (r = 0.34, AUC = 76%) and dopamine 4-O-sulfate (r = 0.33, AUC = 74%), garlic and alliin (r = 0.24, AUC = 69%), N-acetylalliin (r = 0.27, AUC = 70%), and S-allylcysteine (r = 0.23, AUC = 69). Two unannotated metabolites were the strongest predictors for dark fish (X-02269, r = 0.51, AUC = 94%) and coffee intake (X-21442, r = 0.62, AUC = 98%). Conclusions: In this comprehensive, cross-sectional analysis of habitual food intake and serum metabolites among postmenopausal women, we identified several potentially novel food biomarkers and replicated others. Our findings contribute to the limited literature on food-based biomarkers and highlight the significant and promising role that large cohort studies with archived blood samples could play in this field.","author":[{"dropping-particle":"","family":"Wang","given":"Ying","non-dropping-particle":"","parse-names":false,"suffix":""},{"dropping-particle":"","family":"Gapstur","given":"Susan M","non-dropping-particle":"","parse-names":false,"suffix":""},{"dropping-particle":"","family":"Carter","given":"Brian D","non-dropping-particle":"","parse-names":false,"suffix":""},{"dropping-particle":"","family":"Hartman","given":"Terryl J","non-dropping-particle":"","parse-names":false,"suffix":""},{"dropping-particle":"","family":"Stevens","given":"Victoria L","non-dropping-particle":"","parse-names":false,"suffix":""},{"dropping-particle":"","family":"Gaudet","given":"Mia M","non-dropping-particle":"","parse-names":false,"suffix":""},{"dropping-particle":"","family":"McCullough","given":"Marjorie L.","non-dropping-particle":"","parse-names":false,"suffix":""}],"container-title":"Journal of Nutrition","id":"ITEM-1","issue":"6","issued":{"date-parts":[["2018"]]},"page":"932-943","title":"Untargeted metabolomics identifies novel potential biomarkers of habitual food intake in a cross-sectional study of postmenopausal women","type":"article-journal","volume":"148"},"uris":["http://www.mendeley.com/documents/?uuid=ca2d07a4-d61f-3e43-8bc8-249cedc7d661"]}],"mendeley":{"formattedCitation":"(17)","plainTextFormattedCitation":"(17)","previouslyFormattedCitation":"(17)"},"properties":{"noteIndex":0},"schema":"https://github.com/citation-style-language/schema/raw/master/csl-citation.json"}</w:instrText>
      </w:r>
      <w:r w:rsidR="006410F9" w:rsidRPr="00761BB1">
        <w:rPr>
          <w:rFonts w:cs="Times New Roman"/>
        </w:rPr>
        <w:fldChar w:fldCharType="separate"/>
      </w:r>
      <w:r w:rsidR="00AB1D57" w:rsidRPr="00AB1D57">
        <w:rPr>
          <w:rFonts w:cs="Times New Roman"/>
          <w:noProof/>
        </w:rPr>
        <w:t>(17)</w:t>
      </w:r>
      <w:r w:rsidR="006410F9" w:rsidRPr="00761BB1">
        <w:rPr>
          <w:rFonts w:cs="Times New Roman"/>
        </w:rPr>
        <w:fldChar w:fldCharType="end"/>
      </w:r>
      <w:r w:rsidR="001A5D96">
        <w:t>.</w:t>
      </w:r>
      <w:r w:rsidR="00A73D4F" w:rsidRPr="00A73D4F">
        <w:rPr>
          <w:rFonts w:cs="Times New Roman"/>
        </w:rPr>
        <w:t xml:space="preserve"> </w:t>
      </w:r>
      <w:r w:rsidR="004807B3" w:rsidRPr="004807B3">
        <w:rPr>
          <w:rFonts w:cs="Times New Roman"/>
        </w:rPr>
        <w:t>The different subsets in the exploratory dataset</w:t>
      </w:r>
      <w:r w:rsidR="00932544">
        <w:rPr>
          <w:rFonts w:cs="Times New Roman"/>
        </w:rPr>
        <w:t xml:space="preserve"> were measured at</w:t>
      </w:r>
      <w:r w:rsidR="004807B3" w:rsidRPr="004807B3">
        <w:rPr>
          <w:rFonts w:cs="Times New Roman"/>
        </w:rPr>
        <w:t xml:space="preserve"> different time points, and</w:t>
      </w:r>
      <w:r w:rsidR="00932544">
        <w:rPr>
          <w:rFonts w:cs="Times New Roman"/>
        </w:rPr>
        <w:t xml:space="preserve"> we adjusted for measurement</w:t>
      </w:r>
      <w:r w:rsidR="004807B3" w:rsidRPr="004807B3">
        <w:rPr>
          <w:rFonts w:cs="Times New Roman"/>
        </w:rPr>
        <w:t xml:space="preserve"> time </w:t>
      </w:r>
      <w:r w:rsidR="00932544">
        <w:rPr>
          <w:rFonts w:cs="Times New Roman"/>
        </w:rPr>
        <w:t>period</w:t>
      </w:r>
      <w:r w:rsidR="004807B3" w:rsidRPr="004807B3">
        <w:rPr>
          <w:rFonts w:cs="Times New Roman"/>
        </w:rPr>
        <w:t xml:space="preserve"> in the regression </w:t>
      </w:r>
      <w:r w:rsidR="00932544">
        <w:rPr>
          <w:rFonts w:cs="Times New Roman"/>
        </w:rPr>
        <w:t>analysis</w:t>
      </w:r>
      <w:r w:rsidR="00721FE1" w:rsidRPr="00721FE1">
        <w:t>.</w:t>
      </w:r>
    </w:p>
    <w:p w14:paraId="3AA23517" w14:textId="77777777" w:rsidR="0055014D" w:rsidRDefault="0055014D" w:rsidP="00AF260E"/>
    <w:p w14:paraId="19E3941D" w14:textId="36E87BA8" w:rsidR="009F0551" w:rsidRPr="004063A6" w:rsidRDefault="009F0551" w:rsidP="009B24C6">
      <w:pPr>
        <w:pStyle w:val="Heading3"/>
      </w:pPr>
      <w:r w:rsidRPr="004063A6">
        <w:t xml:space="preserve">Assessment of meat consumption in </w:t>
      </w:r>
      <w:r>
        <w:t xml:space="preserve">the </w:t>
      </w:r>
      <w:r w:rsidRPr="004063A6">
        <w:t>EPIC</w:t>
      </w:r>
      <w:r>
        <w:t>-</w:t>
      </w:r>
      <w:r w:rsidRPr="004063A6">
        <w:t xml:space="preserve">Norfolk </w:t>
      </w:r>
      <w:r>
        <w:t>study</w:t>
      </w:r>
    </w:p>
    <w:p w14:paraId="235B108C" w14:textId="3E6B64D0" w:rsidR="00B8468D" w:rsidRDefault="009F0551" w:rsidP="009F0551">
      <w:r>
        <w:t>Meat consumption and other dietary exposures were assessed with a 7-day diet diary (7dDD) as documented previously</w:t>
      </w:r>
      <w:r w:rsidR="00D47385">
        <w:t xml:space="preserve"> </w:t>
      </w:r>
      <w:r w:rsidR="00AB59E1">
        <w:fldChar w:fldCharType="begin" w:fldLock="1"/>
      </w:r>
      <w:r w:rsidR="003D41CF">
        <w:instrText>ADDIN CSL_CITATION {"citationItems":[{"id":"ITEM-1","itemData":{"DOI":"10.1017/S0007114513002754","ISSN":"0007-1145","abstract":"The aim of the present study was to describe the energy, nutrient and crude v. disaggregated food intake measured using 7 d diet diaries (7dDD) for the full baseline Norfolk cohort recruited for the European Prospective Investigation into Cancer (EPIC-Norfolk) study, with emphasis on methodological issues. The first data collection took place between 1993 and 1998 in Norfolk, East Anglia (UK). Of the 30445 men and women, aged 40-79 years, registered with a general practitioner invited to participate in the study, 25639 came for a health examination and were asked to complete a 7dDD. Data from diaries with data recorded for at least 1 d were obtained for 99% members of the cohort; 10354 (89.8%) of the men and 12779 (91.5%) of the women completed the diet diaries for all 7 d. Mean energy intake (EI) was 9.44 (SD 2.22)MJ/d and 7.15 (SD 1.66)MJ/d, respectively. EI remained approximately stable across the days, but there was apparent under-reporting among the participants, especially among those with BMI &gt;25kg/m(2). Micronutrient density was higher among women than among men. In conclusion, under-reporting is an issue, but not more so than that found in national surveys. How foods were grouped (crude or disaggregated) made a difference to the estimates obtained, and comparison of intakes showed wide limits of agreement. The choice of variables influences estimates obtained from the food group data; while this may not alter the ranking of individuals within studies, this issue may be relevant when comparing absolute food intakes between studies.","author":[{"dropping-particle":"","family":"Lentjes","given":"M A H","non-dropping-particle":"","parse-names":false,"suffix":""},{"dropping-particle":"","family":"McTaggart","given":"A","non-dropping-particle":"","parse-names":false,"suffix":""},{"dropping-particle":"","family":"Mulligan","given":"A A","non-dropping-particle":"","parse-names":false,"suffix":""},{"dropping-particle":"","family":"Powell","given":"N A","non-dropping-particle":"","parse-names":false,"suffix":""},{"dropping-particle":"","family":"Parry-Smith","given":"D","non-dropping-particle":"","parse-names":false,"suffix":""},{"dropping-particle":"","family":"Luben","given":"R N","non-dropping-particle":"","parse-names":false,"suffix":""},{"dropping-particle":"","family":"Bhaniani","given":"A","non-dropping-particle":"","parse-names":false,"suffix":""},{"dropping-particle":"","family":"Welch","given":"A A","non-dropping-particle":"","parse-names":false,"suffix":""},{"dropping-particle":"","family":"Khaw","given":"K T","non-dropping-particle":"","parse-names":false,"suffix":""}],"container-title":"British Journal of Nutrition","id":"ITEM-1","issue":"3","issued":{"date-parts":[["2014"]]},"language":"English","note":"Ac3wi\nTimes Cited:20\nCited References Count:43","page":"516-526","publisher-place":"Univ Cambridge, Dept Publ Hlth &amp; Primary Care, Strangeways Res Labs, Cambridge CB1 8RN, England Univ E Anglia, Sch Med, Diet &amp; Hlth Grp, Norwich NR4 7TJ, Norfolk, England Univ Cambridge, Addenbrookes Hosp, Clin Gerontol Unit, Sch Clin Med, Cambridge CB2 2","title":"Dietary intake measurement using 7 d diet diaries in British men and women in the European Prospective Investigation into Cancer-Norfolk study: a focus on methodological issues","type":"article-journal","volume":"111"},"uris":["http://www.mendeley.com/documents/?uuid=3840b625-34cd-4f84-82e8-38c78bbaffe2"]}],"mendeley":{"formattedCitation":"(18)","plainTextFormattedCitation":"(18)","previouslyFormattedCitation":"(18)"},"properties":{"noteIndex":0},"schema":"https://github.com/citation-style-language/schema/raw/master/csl-citation.json"}</w:instrText>
      </w:r>
      <w:r w:rsidR="00AB59E1">
        <w:rPr>
          <w:vertAlign w:val="superscript"/>
        </w:rPr>
        <w:fldChar w:fldCharType="separate"/>
      </w:r>
      <w:r w:rsidR="00AB1D57" w:rsidRPr="00AB1D57">
        <w:rPr>
          <w:noProof/>
        </w:rPr>
        <w:t>(18)</w:t>
      </w:r>
      <w:r w:rsidR="00AB59E1">
        <w:fldChar w:fldCharType="end"/>
      </w:r>
      <w:r>
        <w:t>.</w:t>
      </w:r>
      <w:r w:rsidR="00721FE1">
        <w:t xml:space="preserve"> </w:t>
      </w:r>
      <w:r w:rsidR="00721FE1" w:rsidRPr="00721FE1">
        <w:t xml:space="preserve">Briefly, on the day of </w:t>
      </w:r>
      <w:r w:rsidR="00087F72">
        <w:t>a</w:t>
      </w:r>
      <w:r w:rsidR="00721FE1" w:rsidRPr="00721FE1">
        <w:t xml:space="preserve"> baseline assessment</w:t>
      </w:r>
      <w:r w:rsidR="0043480F">
        <w:t xml:space="preserve"> that included blood sampling</w:t>
      </w:r>
      <w:r w:rsidR="00721FE1" w:rsidRPr="00721FE1">
        <w:t xml:space="preserve">, </w:t>
      </w:r>
      <w:r w:rsidR="00721FE1">
        <w:t>p</w:t>
      </w:r>
      <w:r>
        <w:t xml:space="preserve">articipants were </w:t>
      </w:r>
      <w:r w:rsidR="00087F72">
        <w:t>asked</w:t>
      </w:r>
      <w:r w:rsidR="00721FE1" w:rsidRPr="00721FE1">
        <w:t xml:space="preserve"> </w:t>
      </w:r>
      <w:r>
        <w:t xml:space="preserve">to record everything they had eaten (food types, amounts, brands, recipes, and cooking methods) </w:t>
      </w:r>
      <w:r w:rsidR="00721FE1" w:rsidRPr="00721FE1">
        <w:t xml:space="preserve">prospectively </w:t>
      </w:r>
      <w:r>
        <w:t xml:space="preserve">for </w:t>
      </w:r>
      <w:r w:rsidR="00721FE1" w:rsidRPr="00721FE1">
        <w:t xml:space="preserve">the following </w:t>
      </w:r>
      <w:r>
        <w:t xml:space="preserve">seven consecutive days. The dietary information was then processed into food and nutrient data by </w:t>
      </w:r>
      <w:r w:rsidR="001C3E9B">
        <w:t>programs</w:t>
      </w:r>
      <w:r>
        <w:t xml:space="preserve"> and databases (DINER</w:t>
      </w:r>
      <w:r w:rsidR="003D6FB9">
        <w:t xml:space="preserve"> and</w:t>
      </w:r>
      <w:r w:rsidR="00761BB1">
        <w:t xml:space="preserve"> </w:t>
      </w:r>
      <w:r>
        <w:t>DINERMO) using standard protocols</w:t>
      </w:r>
      <w:r w:rsidR="00D47385">
        <w:t xml:space="preserve"> </w:t>
      </w:r>
      <w:r w:rsidR="00772466">
        <w:fldChar w:fldCharType="begin" w:fldLock="1"/>
      </w:r>
      <w:r w:rsidR="003D41CF">
        <w:instrText>ADDIN CSL_CITATION {"citationItems":[{"id":"ITEM-1","itemData":{"DOI":"10.1079/Phn2001196","ISSN":"1368-9800","abstract":"Background and objective: A new data-entry system (DINER - Data Into Nutrients for Epidemiological Research) for food record methods has been devised for the European Prospective Investigation into Cancer (EPIC) cohort study of 25 000 men and women in Norfolk. DINER has been developed to address the problems of efficiency and consistency of data entry, comparability of data, maximising information and future flexibility in large long-term population studies of diet and disease that use record methods to assess dietary intakes. DINER captures more detail than traditional systems and enables provision of new variables for specific food types or groups. The system has been designed to be fully flexible and easy to update, Analysis of consistency of data entry was tested in a group of 3525 participants entered by 25 coders. Results: A food list of 9000 food items and values for 24 000 portion sizes have been incorporated into the database, using information from the 5979 diaries coded since 1995. Analysis of consistency of entry indicated that this has largely been achieved. The effect of coders in a multivariate regression model was significant only if the three coders involved in early use of the program were included (P &lt; 0.013). Conclusions: The development of DINER has facilitated the use of more accurate record methods in large-scale epidemiological studies of diet and disease. Furthermore, the retention of original information as an extensive food list allows greater flexibility in later analyses of data of multiple dietary hypotheses.","author":[{"dropping-particle":"","family":"Welch","given":"A A","non-dropping-particle":"","parse-names":false,"suffix":""},{"dropping-particle":"","family":"McTaggart","given":"A","non-dropping-particle":"","parse-names":false,"suffix":""},{"dropping-particle":"","family":"Mulligan","given":"A A","non-dropping-particle":"","parse-names":false,"suffix":""},{"dropping-particle":"","family":"Luben","given":"R","non-dropping-particle":"","parse-names":false,"suffix":""},{"dropping-particle":"","family":"Walker","given":"N","non-dropping-particle":"","parse-names":false,"suffix":""},{"dropping-particle":"","family":"Khaw","given":"K T","non-dropping-particle":"","parse-names":false,"suffix":""},{"dropping-particle":"","family":"Day","given":"N E","non-dropping-particle":"","parse-names":false,"suffix":""},{"dropping-particle":"","family":"Bingham","given":"S A","non-dropping-particle":"","parse-names":false,"suffix":""}],"container-title":"Public Health Nutrition","id":"ITEM-1","issue":"6","issued":{"date-parts":[["2001"]]},"language":"English","note":"520ub\nTimes Cited:102\nCited References Count:18","page":"1253-1265","publisher-place":"Univ Cambridge, Strangeways Res Lab, Inst Publ Hlth, Cambridge CB1 8RN, England Univ Cambridge, JDRF, WT, Diabetes &amp; Inflammat Lab, Cambridge CS2 2XY, England Dunn MRC Human Unit, Cambridge CB2 2XY, England","title":"DINER (Data Into Nutrients for Epidemiological Research) - a new data-entry program for nutritional analysis in the EPIC-Norfolk cohort and the 7-day diary method","type":"article-journal","volume":"4"},"uris":["http://www.mendeley.com/documents/?uuid=b773d14d-4752-49a3-871b-dd4f62f800ab"]},{"id":"ITEM-2","itemData":{"DOI":"10.1017/S0007114513002754","ISSN":"0007-1145","abstract":"The aim of the present study was to describe the energy, nutrient and crude v. disaggregated food intake measured using 7 d diet diaries (7dDD) for the full baseline Norfolk cohort recruited for the European Prospective Investigation into Cancer (EPIC-Norfolk) study, with emphasis on methodological issues. The first data collection took place between 1993 and 1998 in Norfolk, East Anglia (UK). Of the 30445 men and women, aged 40-79 years, registered with a general practitioner invited to participate in the study, 25639 came for a health examination and were asked to complete a 7dDD. Data from diaries with data recorded for at least 1 d were obtained for 99% members of the cohort; 10354 (89.8%) of the men and 12779 (91.5%) of the women completed the diet diaries for all 7 d. Mean energy intake (EI) was 9.44 (SD 2.22)MJ/d and 7.15 (SD 1.66)MJ/d, respectively. EI remained approximately stable across the days, but there was apparent under-reporting among the participants, especially among those with BMI &gt;25kg/m(2). Micronutrient density was higher among women than among men. In conclusion, under-reporting is an issue, but not more so than that found in national surveys. How foods were grouped (crude or disaggregated) made a difference to the estimates obtained, and comparison of intakes showed wide limits of agreement. The choice of variables influences estimates obtained from the food group data; while this may not alter the ranking of individuals within studies, this issue may be relevant when comparing absolute food intakes between studies.","author":[{"dropping-particle":"","family":"Lentjes","given":"M A H","non-dropping-particle":"","parse-names":false,"suffix":""},{"dropping-particle":"","family":"McTaggart","given":"A","non-dropping-particle":"","parse-names":false,"suffix":""},{"dropping-particle":"","family":"Mulligan","given":"A A","non-dropping-particle":"","parse-names":false,"suffix":""},{"dropping-particle":"","family":"Powell","given":"N A","non-dropping-particle":"","parse-names":false,"suffix":""},{"dropping-particle":"","family":"Parry-Smith","given":"D","non-dropping-particle":"","parse-names":false,"suffix":""},{"dropping-particle":"","family":"Luben","given":"R N","non-dropping-particle":"","parse-names":false,"suffix":""},{"dropping-particle":"","family":"Bhaniani","given":"A","non-dropping-particle":"","parse-names":false,"suffix":""},{"dropping-particle":"","family":"Welch","given":"A A","non-dropping-particle":"","parse-names":false,"suffix":""},{"dropping-particle":"","family":"Khaw","given":"K T","non-dropping-particle":"","parse-names":false,"suffix":""}],"container-title":"British Journal of Nutrition","id":"ITEM-2","issue":"3","issued":{"date-parts":[["2014"]]},"language":"English","note":"Ac3wi\nTimes Cited:20\nCited References Count:43","page":"516-526","publisher-place":"Univ Cambridge, Dept Publ Hlth &amp; Primary Care, Strangeways Res Labs, Cambridge CB1 8RN, England Univ E Anglia, Sch Med, Diet &amp; Hlth Grp, Norwich NR4 7TJ, Norfolk, England Univ Cambridge, Addenbrookes Hosp, Clin Gerontol Unit, Sch Clin Med, Cambridge CB2 2","title":"Dietary intake measurement using 7 d diet diaries in British men and women in the European Prospective Investigation into Cancer-Norfolk study: a focus on methodological issues","type":"article-journal","volume":"111"},"uris":["http://www.mendeley.com/documents/?uuid=3840b625-34cd-4f84-82e8-38c78bbaffe2"]}],"mendeley":{"formattedCitation":"(18,19)","plainTextFormattedCitation":"(18,19)","previouslyFormattedCitation":"(18,19)"},"properties":{"noteIndex":0},"schema":"https://github.com/citation-style-language/schema/raw/master/csl-citation.json"}</w:instrText>
      </w:r>
      <w:r w:rsidR="00772466">
        <w:fldChar w:fldCharType="separate"/>
      </w:r>
      <w:r w:rsidR="00AB1D57" w:rsidRPr="00AB1D57">
        <w:rPr>
          <w:noProof/>
        </w:rPr>
        <w:t>(18,19)</w:t>
      </w:r>
      <w:r w:rsidR="00772466">
        <w:fldChar w:fldCharType="end"/>
      </w:r>
      <w:r>
        <w:t>. The meat related categories were all disaggregated from composite dishes including red meat (</w:t>
      </w:r>
      <w:r w:rsidR="00310725">
        <w:t xml:space="preserve">unprocessed </w:t>
      </w:r>
      <w:r>
        <w:t>beef, lamb, pork, veal, rabbit, venison etc.), processed meat (bacon, ham and sausages etc., smoked, cured, salted or chemically-preserved), and poultry (chicken, turkey, goose, duck, guinea fowl, pheasant etc.) in the unit of grams per day (g/d).</w:t>
      </w:r>
      <w:r w:rsidR="00721D34">
        <w:t xml:space="preserve"> Participants were also asked whether they followed</w:t>
      </w:r>
      <w:r w:rsidR="00721D34" w:rsidRPr="00721D34">
        <w:t xml:space="preserve"> a </w:t>
      </w:r>
      <w:r w:rsidR="00721D34">
        <w:t>special diet (vegetarian, other diet or no special diet).</w:t>
      </w:r>
    </w:p>
    <w:p w14:paraId="7109E988" w14:textId="00C28F0E" w:rsidR="00833105" w:rsidRDefault="00833105" w:rsidP="009B24C6"/>
    <w:p w14:paraId="30B42F19" w14:textId="25D52D10" w:rsidR="00D826A4" w:rsidRPr="009B24C6" w:rsidRDefault="00895BF4" w:rsidP="009B24C6">
      <w:pPr>
        <w:pStyle w:val="Heading3"/>
      </w:pPr>
      <w:r w:rsidRPr="009B24C6">
        <w:t>Develop</w:t>
      </w:r>
      <w:r>
        <w:t>ment</w:t>
      </w:r>
      <w:r w:rsidR="00D826A4" w:rsidRPr="009B24C6">
        <w:t xml:space="preserve"> and </w:t>
      </w:r>
      <w:r w:rsidR="00DC7163" w:rsidRPr="009B24C6">
        <w:t>validat</w:t>
      </w:r>
      <w:r w:rsidR="00B4508D">
        <w:t>ion o</w:t>
      </w:r>
      <w:r>
        <w:t>f</w:t>
      </w:r>
      <w:r w:rsidR="00DC7163" w:rsidRPr="009B24C6">
        <w:t xml:space="preserve"> </w:t>
      </w:r>
      <w:r w:rsidR="00AF2716">
        <w:t>metabolite</w:t>
      </w:r>
      <w:r w:rsidR="00D826A4" w:rsidRPr="009B24C6">
        <w:t xml:space="preserve"> scores of self-reported red, processed meat and poultry consumption</w:t>
      </w:r>
    </w:p>
    <w:p w14:paraId="77F2F4FA" w14:textId="6CBEDD73" w:rsidR="00854EDF" w:rsidRDefault="00D826A4" w:rsidP="00854EDF">
      <w:r>
        <w:t xml:space="preserve">In </w:t>
      </w:r>
      <w:r w:rsidR="00627CD3">
        <w:t xml:space="preserve">the </w:t>
      </w:r>
      <w:r>
        <w:t>EPIC-Norfolk</w:t>
      </w:r>
      <w:r w:rsidR="00627CD3">
        <w:t xml:space="preserve"> study</w:t>
      </w:r>
      <w:r>
        <w:t xml:space="preserve">, </w:t>
      </w:r>
      <w:r w:rsidR="002A0100">
        <w:t>781</w:t>
      </w:r>
      <w:r w:rsidR="00901E8A">
        <w:t xml:space="preserve"> </w:t>
      </w:r>
      <w:r>
        <w:t xml:space="preserve">metabolites were evaluated </w:t>
      </w:r>
      <w:r w:rsidR="00161A9D" w:rsidRPr="00161A9D">
        <w:t xml:space="preserve">simultaneously </w:t>
      </w:r>
      <w:r>
        <w:t xml:space="preserve">for the prediction of red meat consumption. </w:t>
      </w:r>
      <w:r w:rsidR="00161A9D" w:rsidRPr="00161A9D">
        <w:t>In the exploratory set, we</w:t>
      </w:r>
      <w:r>
        <w:t xml:space="preserve"> applied </w:t>
      </w:r>
      <w:r w:rsidR="00F41505">
        <w:t xml:space="preserve">elastic net </w:t>
      </w:r>
      <w:r>
        <w:t>regression</w:t>
      </w:r>
      <w:r w:rsidR="00D47385">
        <w:t xml:space="preserve"> </w:t>
      </w:r>
      <w:r w:rsidR="00772466">
        <w:fldChar w:fldCharType="begin" w:fldLock="1"/>
      </w:r>
      <w:r w:rsidR="003D41CF">
        <w:instrText>ADDIN CSL_CITATION {"citationItems":[{"id":"ITEM-1","itemData":{"abstract":"We propose the elastic net, a new regularization and variable selection method. Real world data and a simulation study show that the elastic net often outperforms the lasso, while enjoying a similar sparsity of representation. In addition, the elastic net encourages a grouping effect, where strongly correlated predictors tend to be in or out of the model together. The elastic net is particularly useful when the number of predictors (p) is much bigger than the number of observations (n). By contrast, the lasso is not a very satisfactory variable selection method in the p n case. An algorithm called LARS-EN is proposed for computing elastic net regularization paths efficiently, much like algorithm LARS does for the lasso.","author":[{"dropping-particle":"","family":"Zou","given":"Hui","non-dropping-particle":"","parse-names":false,"suffix":""},{"dropping-particle":"","family":"Hastie","given":"Trevor","non-dropping-particle":"","parse-names":false,"suffix":""}],"container-title":"J. R. Statist. Soc. B","id":"ITEM-1","issue":"2","issued":{"date-parts":[["2005"]]},"page":"301-320","title":"Regularization and variable selection via the elastic net","type":"article-journal","volume":"67"},"uris":["http://www.mendeley.com/documents/?uuid=95c270d8-f5e5-31b5-a1b0-3900f76731de"]}],"mendeley":{"formattedCitation":"(20)","plainTextFormattedCitation":"(20)","previouslyFormattedCitation":"(20)"},"properties":{"noteIndex":0},"schema":"https://github.com/citation-style-language/schema/raw/master/csl-citation.json"}</w:instrText>
      </w:r>
      <w:r w:rsidR="00772466">
        <w:rPr>
          <w:vertAlign w:val="superscript"/>
        </w:rPr>
        <w:fldChar w:fldCharType="separate"/>
      </w:r>
      <w:r w:rsidR="00AB1D57" w:rsidRPr="00AB1D57">
        <w:rPr>
          <w:noProof/>
        </w:rPr>
        <w:t>(20)</w:t>
      </w:r>
      <w:r w:rsidR="00772466">
        <w:fldChar w:fldCharType="end"/>
      </w:r>
      <w:r w:rsidR="00C76578">
        <w:t xml:space="preserve"> </w:t>
      </w:r>
      <w:r w:rsidR="00C76578" w:rsidRPr="00C76578">
        <w:t xml:space="preserve">with </w:t>
      </w:r>
      <w:r w:rsidR="00736F15">
        <w:t xml:space="preserve">a </w:t>
      </w:r>
      <w:r w:rsidR="00A71D8E">
        <w:t>bootstrap</w:t>
      </w:r>
      <w:r w:rsidR="00736F15">
        <w:t xml:space="preserve"> </w:t>
      </w:r>
      <w:r w:rsidR="00A71D8E">
        <w:t>approach</w:t>
      </w:r>
      <w:r w:rsidR="00D47385">
        <w:t xml:space="preserve"> </w:t>
      </w:r>
      <w:r w:rsidR="00A71D8E">
        <w:fldChar w:fldCharType="begin" w:fldLock="1"/>
      </w:r>
      <w:r w:rsidR="003D41CF">
        <w:instrText>ADDIN CSL_CITATION {"citationItems":[{"id":"ITEM-1","itemData":{"DOI":"10.3389/FNINS.2016.00344","ISSN":"1662-453X","abstract":"Recent advances in fMRI research highlight the use of multivariate methods for examining whole-brain connectivity. Complementary data-driven methods are needed for determining the subset of predictors related to individual differences. Although commonly used for this purpose, ordinary least squares (OLS) regression may not be ideal due to multi-collinearity and over-fitting issues. Penalized regression is a promising and underutilized alternative to OLS regression. In this paper, we propose a nonparametric bootstrap quantile (QNT) approach for variable selection with neuroimaging data. We use real and simulated data, as well as annotated R code, to demonstrate the benefits of our proposed method. Our results illustrate the practical potential of our proposed bootstrap QNT approach. Our real data example demonstrates how our method can be used to relate individual differences in neural network connectivity with an externalizing personality measure. Also, our simulation results reveal that the QNT method is effective under a variety of data conditions. Penalized regression yields more stable estimates and sparser models than OLS regression in situations with large numbers of highly correlated neural predictors. Our results demonstrate that penalized regression is a promising method for examining associations between neural predictors and clinically relevant traits or behaviors. These findings have important implications for the growing field of functional connectivity research, where multivariate methods produce numerous, highly correlated brain networks.","author":[{"dropping-particle":"V.","family":"Abram","given":"Samantha","non-dropping-particle":"","parse-names":false,"suffix":""},{"dropping-particle":"","family":"Helwig","given":"Nathaniel E.","non-dropping-particle":"","parse-names":false,"suffix":""},{"dropping-particle":"","family":"Moodie","given":"Craig A.","non-dropping-particle":"","parse-names":false,"suffix":""},{"dropping-particle":"","family":"DeYoung","given":"Colin G.","non-dropping-particle":"","parse-names":false,"suffix":""},{"dropping-particle":"","family":"MacDonald","given":"Angus W. III","non-dropping-particle":"","parse-names":false,"suffix":""},{"dropping-particle":"","family":"Waller","given":"Niels G.","non-dropping-particle":"","parse-names":false,"suffix":""}],"container-title":"Frontiers in Neuroscience","id":"ITEM-1","issue":"JUL","issued":{"date-parts":[["2016"]]},"page":"344","publisher":"Frontiers","title":"Bootstrap Enhanced Penalized Regression for Variable Selection with Neuroimaging Data","type":"article-journal","volume":"0"},"uris":["http://www.mendeley.com/documents/?uuid=b1ee7f3d-aa5c-3f2f-9781-f7ed7e32449d"]},{"id":"ITEM-2","itemData":{"DOI":"10.1016/J.NEUROIMAGE.2010.12.028","ISSN":"1053-8119","abstract":"The goals of this paper are to review the most popular methods of predictor selection in regression models, to explain why some fail when the number P of explanatory variables exceeds the number N of participants, and to discuss alternative statistical methods that can be employed in this case. We focus on penalized least squares methods in regression models, and discuss in detail two such methods that are well established in the statistical literature, the LASSO and Elastic Net. We introduce bootstrap enhancements of these methods, the BE-LASSO and BE-Enet, that allow the user to attach a measure of uncertainty to each variable selected. Our work is motivated by a multimodal neuroimaging dataset that consists of morphometric measures (volumes at several anatomical regions of interest), white matter integrity measures from diffusion weighted data (fractional anisotropy, mean diffusivity, axial diffusivity and radial diffusivity) and clinical and demographic variables (age, education, alcohol and drug history). In this dataset, the number P of explanatory variables exceeds the number N of participants. We use the BE-LASSO and BE-Enet to provide the first statistical analysis that allows the assessment of neurocognitive performance from high dimensional neuroimaging and clinical predictors, including their interactions. The major novelty of this analysis is that biomarker selection and dimension reduction are accomplished with a view towards obtaining good predictions for the outcome of interest (i.e., the neurocognitive indices), unlike principal component analysis that are performed only on the predictors' space independently of the outcome of interest. © 2010 Elsevier Inc.","author":[{"dropping-particle":"","family":"Bunea","given":"Florentina","non-dropping-particle":"","parse-names":false,"suffix":""},{"dropping-particle":"","family":"She","given":"Yiyuan","non-dropping-particle":"","parse-names":false,"suffix":""},{"dropping-particle":"","family":"Ombao","given":"Hernando","non-dropping-particle":"","parse-names":false,"suffix":""},{"dropping-particle":"","family":"Gongvatana","given":"Assawin","non-dropping-particle":"","parse-names":false,"suffix":""},{"dropping-particle":"","family":"Devlin","given":"Kate","non-dropping-particle":"","parse-names":false,"suffix":""},{"dropping-particle":"","family":"Cohen","given":"Ronald","non-dropping-particle":"","parse-names":false,"suffix":""}],"container-title":"NeuroImage","id":"ITEM-2","issue":"4","issued":{"date-parts":[["2011","4","15"]]},"page":"1519-1527","publisher":"Academic Press","title":"Penalized least squares regression methods and applications to neuroimaging","type":"article-journal","volume":"55"},"uris":["http://www.mendeley.com/documents/?uuid=0ccbd196-5b66-3e5e-971a-fdbe164a1013"]}],"mendeley":{"formattedCitation":"(21,22)","plainTextFormattedCitation":"(21,22)","previouslyFormattedCitation":"(21,22)"},"properties":{"noteIndex":0},"schema":"https://github.com/citation-style-language/schema/raw/master/csl-citation.json"}</w:instrText>
      </w:r>
      <w:r w:rsidR="00A71D8E">
        <w:fldChar w:fldCharType="separate"/>
      </w:r>
      <w:r w:rsidR="00AB1D57" w:rsidRPr="00AB1D57">
        <w:rPr>
          <w:noProof/>
        </w:rPr>
        <w:t>(21,22)</w:t>
      </w:r>
      <w:r w:rsidR="00A71D8E">
        <w:fldChar w:fldCharType="end"/>
      </w:r>
      <w:r w:rsidR="00A71D8E">
        <w:t xml:space="preserve"> </w:t>
      </w:r>
      <w:r w:rsidR="00C76578" w:rsidRPr="00C76578">
        <w:t xml:space="preserve">to </w:t>
      </w:r>
      <w:r w:rsidR="00A71D8E" w:rsidRPr="00A71D8E">
        <w:t>select a combination of metabolites for prediction of red meat consumption</w:t>
      </w:r>
      <w:r w:rsidR="00A71D8E">
        <w:t>; and ridge regression</w:t>
      </w:r>
      <w:r w:rsidR="00D47385">
        <w:t xml:space="preserve"> </w:t>
      </w:r>
      <w:r w:rsidR="00A71D8E">
        <w:fldChar w:fldCharType="begin" w:fldLock="1"/>
      </w:r>
      <w:r w:rsidR="003D41CF">
        <w:instrText>ADDIN CSL_CITATION {"citationItems":[{"id":"ITEM-1","itemData":{"DOI":"10.1080/00401706.1970.10488634","abstract":"In multiple regression it is shown that parameter estimates based on minimum residual sum of squares have a high probability of being unsati</w:instrText>
      </w:r>
      <w:r w:rsidR="003D41CF">
        <w:rPr>
          <w:rFonts w:hint="eastAsia"/>
        </w:rPr>
        <w:instrText>sfactory, if not incorrect, if the prediction vectors are not orthogonal. Proposed is an estimation procedure based on adding small positive quantities to the diagonal of X</w:instrText>
      </w:r>
      <w:r w:rsidR="003D41CF">
        <w:rPr>
          <w:rFonts w:hint="eastAsia"/>
        </w:rPr>
        <w:instrText>′</w:instrText>
      </w:r>
      <w:r w:rsidR="003D41CF">
        <w:rPr>
          <w:rFonts w:hint="eastAsia"/>
        </w:rPr>
        <w:instrText>X. Introduced is the ridge trace, a method for showing in two dimensions the effects of nonorthogonality. It is then shown how to augment X</w:instrText>
      </w:r>
      <w:r w:rsidR="003D41CF">
        <w:rPr>
          <w:rFonts w:hint="eastAsia"/>
        </w:rPr>
        <w:instrText>′</w:instrText>
      </w:r>
      <w:r w:rsidR="003D41CF">
        <w:rPr>
          <w:rFonts w:hint="eastAsia"/>
        </w:rPr>
        <w:instrText>X to obtain biased estimates with smaller mean square error. © 1970 Taylor and Francis Group, LLC.","author":[{"dropping-particle":"","family":"Hoerl","given":"Arthur E.","non-dropping-particle":""</w:instrText>
      </w:r>
      <w:r w:rsidR="003D41CF">
        <w:instrText>,"parse-names":false,"suffix":""},{"dropping-particle":"","family":"Kennard","given":"Robert W.","non-dropping-particle":"","parse-names":false,"suffix":""}],"container-title":"Technometrics","id":"ITEM-1","issue":"1","issued":{"date-parts":[["1970"]]},"page":"55-67","title":"Ridge Regression: Biased Estimation for Nonorthogonal Problems","type":"article-journal","volume":"12"},"uris":["http://www.mendeley.com/documents/?uuid=6fafcffa-7fcb-3a2a-b3b2-e75e1321933a"]}],"mendeley":{"formattedCitation":"(23)","plainTextFormattedCitation":"(23)","previouslyFormattedCitation":"(23)"},"properties":{"noteIndex":0},"schema":"https://github.com/citation-style-language/schema/raw/master/csl-citation.json"}</w:instrText>
      </w:r>
      <w:r w:rsidR="00A71D8E">
        <w:fldChar w:fldCharType="separate"/>
      </w:r>
      <w:r w:rsidR="00AB1D57" w:rsidRPr="00AB1D57">
        <w:rPr>
          <w:noProof/>
        </w:rPr>
        <w:t>(23)</w:t>
      </w:r>
      <w:r w:rsidR="00A71D8E">
        <w:fldChar w:fldCharType="end"/>
      </w:r>
      <w:r w:rsidR="00A71D8E">
        <w:t xml:space="preserve"> to </w:t>
      </w:r>
      <w:r w:rsidR="00A71D8E" w:rsidRPr="00A71D8E">
        <w:t>estimate penalized weights</w:t>
      </w:r>
      <w:r w:rsidR="00A71D8E">
        <w:t xml:space="preserve"> of these candidate </w:t>
      </w:r>
      <w:r w:rsidR="00A71D8E">
        <w:lastRenderedPageBreak/>
        <w:t xml:space="preserve">metabolites </w:t>
      </w:r>
      <w:r w:rsidR="00785DC1">
        <w:t>(</w:t>
      </w:r>
      <w:r w:rsidR="00785DC1" w:rsidRPr="00F84020">
        <w:rPr>
          <w:b/>
          <w:i/>
        </w:rPr>
        <w:t>Supplementary Methods</w:t>
      </w:r>
      <w:r w:rsidR="00785DC1">
        <w:t xml:space="preserve">). </w:t>
      </w:r>
      <w:r w:rsidR="00A71D8E">
        <w:t>We applied</w:t>
      </w:r>
      <w:r w:rsidR="00C76578" w:rsidRPr="00C76578">
        <w:t xml:space="preserve"> </w:t>
      </w:r>
      <w:r w:rsidR="00A71D8E">
        <w:t xml:space="preserve">the </w:t>
      </w:r>
      <w:r w:rsidR="00C76578" w:rsidRPr="00C76578">
        <w:t xml:space="preserve">weights of </w:t>
      </w:r>
      <w:r w:rsidR="00A71D8E">
        <w:t xml:space="preserve">all candidate </w:t>
      </w:r>
      <w:r w:rsidR="00C76578" w:rsidRPr="00C76578">
        <w:t xml:space="preserve">metabolites </w:t>
      </w:r>
      <w:r w:rsidR="00A71D8E">
        <w:t>and</w:t>
      </w:r>
      <w:r w:rsidR="00C76578" w:rsidRPr="00C76578">
        <w:t xml:space="preserve"> construct</w:t>
      </w:r>
      <w:r w:rsidR="00A71D8E">
        <w:t>ed</w:t>
      </w:r>
      <w:r w:rsidR="00C76578" w:rsidRPr="00C76578">
        <w:t xml:space="preserve"> a </w:t>
      </w:r>
      <w:r w:rsidR="00A71D8E">
        <w:t xml:space="preserve">metabolite </w:t>
      </w:r>
      <w:r w:rsidR="00C76578" w:rsidRPr="00C76578">
        <w:t>score for</w:t>
      </w:r>
      <w:r w:rsidR="00A71D8E">
        <w:t xml:space="preserve"> </w:t>
      </w:r>
      <w:r w:rsidR="00A71D8E" w:rsidRPr="00A71D8E">
        <w:t>each individual in both of the derivation and validation datasets</w:t>
      </w:r>
      <w:r>
        <w:t xml:space="preserve">. The score </w:t>
      </w:r>
      <w:r w:rsidR="009C0951">
        <w:t xml:space="preserve">was </w:t>
      </w:r>
      <w:r w:rsidR="001C3E9B">
        <w:t>standardized</w:t>
      </w:r>
      <w:r w:rsidR="00273481">
        <w:t xml:space="preserve"> </w:t>
      </w:r>
      <w:r w:rsidR="00C76578" w:rsidRPr="00C76578">
        <w:t xml:space="preserve">to a mean of 0 and SD of 1 for </w:t>
      </w:r>
      <w:r>
        <w:t xml:space="preserve">further analysis. The </w:t>
      </w:r>
      <w:r w:rsidR="00AF2716">
        <w:t>metabolite</w:t>
      </w:r>
      <w:r>
        <w:t xml:space="preserve"> scores for processed meat and poultry were derived and tested using the same process. </w:t>
      </w:r>
    </w:p>
    <w:p w14:paraId="0C52A84D" w14:textId="77777777" w:rsidR="00854EDF" w:rsidRDefault="00854EDF" w:rsidP="00854EDF"/>
    <w:p w14:paraId="38FBA098" w14:textId="714285F3" w:rsidR="00F73E27" w:rsidRDefault="001C3E9B" w:rsidP="00854EDF">
      <w:pPr>
        <w:pStyle w:val="Heading3"/>
      </w:pPr>
      <w:r w:rsidRPr="00854EDF">
        <w:t>Randomized</w:t>
      </w:r>
      <w:r w:rsidR="009F0551" w:rsidRPr="00854EDF">
        <w:t xml:space="preserve"> controlled t</w:t>
      </w:r>
      <w:r w:rsidR="00C65AF8" w:rsidRPr="00854EDF">
        <w:t xml:space="preserve">rial </w:t>
      </w:r>
      <w:r w:rsidR="009F0551" w:rsidRPr="00854EDF">
        <w:t>of meat consumption</w:t>
      </w:r>
    </w:p>
    <w:p w14:paraId="06E81ACE" w14:textId="2019C12D" w:rsidR="000A0E6F" w:rsidRDefault="006B27F9" w:rsidP="00854EDF">
      <w:r>
        <w:t xml:space="preserve">Given the availability </w:t>
      </w:r>
      <w:r w:rsidR="001D7784">
        <w:t>of tr</w:t>
      </w:r>
      <w:r w:rsidR="00310725">
        <w:t>i</w:t>
      </w:r>
      <w:r w:rsidR="001D7784">
        <w:t>al</w:t>
      </w:r>
      <w:r w:rsidR="00D600D6">
        <w:t>-</w:t>
      </w:r>
      <w:r w:rsidR="00310725">
        <w:t xml:space="preserve">based </w:t>
      </w:r>
      <w:r w:rsidR="001D7784">
        <w:t xml:space="preserve">data for meat consumption, we </w:t>
      </w:r>
      <w:r w:rsidR="00031269">
        <w:t>further</w:t>
      </w:r>
      <w:r w:rsidR="006C2B83">
        <w:t xml:space="preserve"> investigate</w:t>
      </w:r>
      <w:r w:rsidR="00031269">
        <w:t>d</w:t>
      </w:r>
      <w:r w:rsidR="006C2B83">
        <w:t xml:space="preserve"> </w:t>
      </w:r>
      <w:r w:rsidR="00265EB5">
        <w:t xml:space="preserve">associations of </w:t>
      </w:r>
      <w:r w:rsidR="00943FAF">
        <w:t xml:space="preserve">metabolites </w:t>
      </w:r>
      <w:r w:rsidR="008815AF">
        <w:t xml:space="preserve">in the score </w:t>
      </w:r>
      <w:r w:rsidR="00310725">
        <w:t xml:space="preserve">from the observational EPIC-Norfolk study </w:t>
      </w:r>
      <w:r w:rsidR="00265EB5">
        <w:t xml:space="preserve">with </w:t>
      </w:r>
      <w:r w:rsidR="00C67680">
        <w:t xml:space="preserve">red </w:t>
      </w:r>
      <w:r w:rsidR="00C65AF8">
        <w:t>meat consumption</w:t>
      </w:r>
      <w:r w:rsidR="00265EB5" w:rsidRPr="00265EB5">
        <w:t xml:space="preserve"> </w:t>
      </w:r>
      <w:r w:rsidR="00265EB5">
        <w:t>in a</w:t>
      </w:r>
      <w:r w:rsidR="001A6E01">
        <w:t>n</w:t>
      </w:r>
      <w:r w:rsidR="00265EB5" w:rsidRPr="00E27DD0">
        <w:t xml:space="preserve"> </w:t>
      </w:r>
      <w:r w:rsidR="00265EB5">
        <w:t>RCT</w:t>
      </w:r>
      <w:r w:rsidR="001A6E01">
        <w:t xml:space="preserve"> previously conducted</w:t>
      </w:r>
      <w:r w:rsidR="00265EB5">
        <w:t xml:space="preserve"> in Lyon, France in 2018</w:t>
      </w:r>
      <w:r w:rsidR="003625CA">
        <w:t>.</w:t>
      </w:r>
      <w:r w:rsidR="00D101D2">
        <w:t xml:space="preserve"> </w:t>
      </w:r>
      <w:r w:rsidR="003307C4" w:rsidRPr="00186BBC">
        <w:t xml:space="preserve">The details </w:t>
      </w:r>
      <w:r w:rsidR="003307C4">
        <w:t xml:space="preserve">of </w:t>
      </w:r>
      <w:r w:rsidR="006D1B13">
        <w:t xml:space="preserve">this </w:t>
      </w:r>
      <w:r w:rsidR="003307C4">
        <w:t xml:space="preserve">RCT </w:t>
      </w:r>
      <w:r w:rsidR="006D1B13">
        <w:t>have been reported previously</w:t>
      </w:r>
      <w:r w:rsidR="00D47385">
        <w:t xml:space="preserve"> </w:t>
      </w:r>
      <w:r w:rsidR="00AB59E1">
        <w:fldChar w:fldCharType="begin" w:fldLock="1"/>
      </w:r>
      <w:r w:rsidR="003D41CF">
        <w:instrText>ADDIN CSL_CITATION {"citationItems":[{"id":"ITEM-1","itemData":{"DOI":"10.1093/ajcn/nqz222","ISSN":"19383207","PMID":"31559413","abstract":"Background: Processed meat intake is associated with a higher risk of colorectal and stomach cancers, coronary artery disease, and type 2 diabetes and with higher mortality, but the estimation of intake of different processed meat products in this heterogeneous food group in epidemiological studies remains challenging. Objective: This work aimed at identifying novel biomarkers for processed meat intake using metabolomics. Methods: An untargeted, multi-tiered metabolomics approach based on LC-MS was applied to 33 meat products digested in vitro and secondly to urine and plasma samples from a randomized crossover dietary intervention in which 12 volunteers consumed successively 3 processed meat products (bacon, salami, and hot dog) and 2 other foods used as controls, over 3 consecutive days. The putative biomarkers were then measured in urine from 474 subjects from the European Prospective Investigation into Cancer and Nutrition (EPIC) cross-sectional study for which detailed 24-h dietary recalls and FFQs were available. Results: Syringol and 4 derivatives of syringol were found to be characteristic of in vitro digests of smoked meat products. The same compounds present as sulfate esters in urine increased at 2 and 12 h after consumption of smoked meat products (hot dog, bacon) in the intervention study. The same syringol sulfates were also positively associated with recent or habitual consumption of smoked meat products in urine samples from participants of the EPIC cross-sectional study. These compounds showed good discriminative ability for smoked meat intake with receiver operator characteristic areas under the curve ranging from 0.78 to 0.86 and 0.74 to 0.79 for short-term and habitual intake, respectively. Conclusions: Four novel syringol sulfates were identified as potential biomarkers of smoked meat intake and may be used to improve assessment of smoked meat intake in epidemiological studies. This trial was registered at clinicaltrials.gov as NCT03354130.","author":[{"dropping-particle":"","family":"Wedekind","given":"Roland","non-dropping-particle":"","parse-names":false,"suffix":""},{"dropping-particle":"","family":"Keski-Rahkonen","given":"Pekka","non-dropping-particle":"","parse-names":false,"suffix":""},{"dropping-particle":"","family":"Robinot","given":"Nivonirina","non-dropping-particle":"","parse-names":false,"suffix":""},{"dropping-particle":"","family":"Viallon","given":"Vivian","non-dropping-particle":"","parse-names":false,"suffix":""},{"dropping-particle":"","family":"Ferrari","given":"Pietro","non-dropping-particle":"","parse-names":false,"suffix":""},{"dropping-particle":"","family":"Engel","given":"Erwan","non-dropping-particle":"","parse-names":false,"suffix":""},{"dropping-particle":"","family":"Boutron-Ruault","given":"Marie Christine","non-dropping-particle":"","parse-names":false,"suffix":""},{"dropping-particle":"","family":"Mahamat-Saleh","given":"Yahya","non-dropping-particle":"","parse-names":false,"suffix":""},{"dropping-particle":"","family":"Mancini","given":"Francesca Romana","non-dropping-particle":"","parse-names":false,"suffix":""},{"dropping-particle":"","family":"Kühn","given":"Tilman","non-dropping-particle":"","parse-names":false,"suffix":""},{"dropping-particle":"","family":"Johnson","given":"Theron","non-dropping-particle":"","parse-names":false,"suffix":""},{"dropping-particle":"","family":"Boeing","given":"Heiner","non-dropping-particle":"","parse-names":false,"suffix":""},{"dropping-particle":"","family":"Bergmann","given":"Manuela","non-dropping-particle":"","parse-names":false,"suffix":""},{"dropping-particle":"","family":"Karakatsani","given":"Anna","non-dropping-particle":"","parse-names":false,"suffix":""},{"dropping-particle":"","family":"Trichopoulou","given":"Antonia","non-dropping-particle":"","parse-names":false,"suffix":""},{"dropping-particle":"","family":"Peppa","given":"Heleni","non-dropping-particle":"","parse-names":false,"suffix":""},{"dropping-particle":"","family":"Agnoli","given":"Claudia","non-dropping-particle":"","parse-names":false,"suffix":""},{"dropping-particle":"","family":"Santucci De Magistris","given":"Maria","non-dropping-particle":"","parse-names":false,"suffix":""},{"dropping-particle":"","family":"Palli","given":"Domenico","non-dropping-particle":"","parse-names":false,"suffix":""},{"dropping-particle":"","family":"Sacerdote","given":"Carlotta","non-dropping-particle":"","parse-names":false,"suffix":""},{"dropping-particle":"","family":"Tumino","given":"Rosario","non-dropping-particle":"","parse-names":false,"suffix":""},{"dropping-particle":"","family":"Gunter","given":"Marc J.","non-dropping-particle":"","parse-names":false,"suffix":""},{"dropping-particle":"","family":"Huybrechts","given":"Inge","non-dropping-particle":"","parse-names":false,"suffix":""},{"dropping-particle":"","family":"Scalbert","given":"Augustin","non-dropping-particle":"","parse-names":false,"suffix":""}],"container-title":"American Journal of Clinical Nutrition","id":"ITEM-1","issue":"6","issued":{"date-parts":[["2019","12","1"]]},"page":"1424-1433","publisher":"Oxford University Press","title":"Syringol metabolites as new biomarkers for smoked meat intake","type":"article-journal","volume":"110"},"uris":["http://www.mendeley.com/documents/?uuid=f272d88e-6cf5-3cd3-a8c2-428cd51ec5aa"]}],"mendeley":{"formattedCitation":"(24)","plainTextFormattedCitation":"(24)","previouslyFormattedCitation":"(24)"},"properties":{"noteIndex":0},"schema":"https://github.com/citation-style-language/schema/raw/master/csl-citation.json"}</w:instrText>
      </w:r>
      <w:r w:rsidR="00AB59E1">
        <w:rPr>
          <w:vertAlign w:val="superscript"/>
        </w:rPr>
        <w:fldChar w:fldCharType="separate"/>
      </w:r>
      <w:r w:rsidR="00AB1D57" w:rsidRPr="00AB1D57">
        <w:rPr>
          <w:noProof/>
        </w:rPr>
        <w:t>(24)</w:t>
      </w:r>
      <w:r w:rsidR="00AB59E1">
        <w:fldChar w:fldCharType="end"/>
      </w:r>
      <w:r w:rsidR="003307C4" w:rsidRPr="00186BBC">
        <w:t>.</w:t>
      </w:r>
      <w:r w:rsidR="00186BBC" w:rsidRPr="00186BBC">
        <w:t xml:space="preserve"> </w:t>
      </w:r>
      <w:r w:rsidR="006D1B13">
        <w:t>In b</w:t>
      </w:r>
      <w:r w:rsidR="002530D3">
        <w:t xml:space="preserve">rief, </w:t>
      </w:r>
      <w:r w:rsidR="00186BBC" w:rsidRPr="00186BBC">
        <w:t>12 healthy adults consumed</w:t>
      </w:r>
      <w:r w:rsidR="00D05990">
        <w:t xml:space="preserve"> in random order</w:t>
      </w:r>
      <w:r w:rsidR="00CD7400">
        <w:t xml:space="preserve"> 5</w:t>
      </w:r>
      <w:r w:rsidR="00095E43">
        <w:t xml:space="preserve"> </w:t>
      </w:r>
      <w:r w:rsidR="00C75038">
        <w:t>different</w:t>
      </w:r>
      <w:r w:rsidR="00186BBC" w:rsidRPr="00186BBC">
        <w:t xml:space="preserve"> foods (</w:t>
      </w:r>
      <w:r w:rsidR="00265EB5">
        <w:t xml:space="preserve">fried </w:t>
      </w:r>
      <w:r w:rsidR="00186BBC" w:rsidRPr="00186BBC">
        <w:t>pork, hot dogs, bacon, salami and tofu)</w:t>
      </w:r>
      <w:r w:rsidR="00294F73">
        <w:t xml:space="preserve"> as part of a controlled diet</w:t>
      </w:r>
      <w:r w:rsidR="009430BC">
        <w:t>.</w:t>
      </w:r>
      <w:r w:rsidR="00186BBC" w:rsidRPr="00186BBC">
        <w:t xml:space="preserve"> </w:t>
      </w:r>
      <w:r w:rsidR="0097130C">
        <w:t>F</w:t>
      </w:r>
      <w:r w:rsidR="006D1B13">
        <w:t xml:space="preserve">or </w:t>
      </w:r>
      <w:r w:rsidR="003307C4">
        <w:t xml:space="preserve">this </w:t>
      </w:r>
      <w:r w:rsidR="00186BBC" w:rsidRPr="00E81C14">
        <w:t>analysis</w:t>
      </w:r>
      <w:r w:rsidR="00271731">
        <w:t>,</w:t>
      </w:r>
      <w:r w:rsidR="00186BBC" w:rsidRPr="00E81C14">
        <w:t xml:space="preserve"> </w:t>
      </w:r>
      <w:r w:rsidR="003307C4">
        <w:t xml:space="preserve">we </w:t>
      </w:r>
      <w:r w:rsidR="006D1B13">
        <w:t>examin</w:t>
      </w:r>
      <w:r w:rsidR="007F3190">
        <w:t>ed</w:t>
      </w:r>
      <w:r w:rsidR="006D1B13">
        <w:t xml:space="preserve"> the differences </w:t>
      </w:r>
      <w:r w:rsidR="003307C4">
        <w:t xml:space="preserve">in </w:t>
      </w:r>
      <w:r w:rsidR="004D7B07">
        <w:t xml:space="preserve">metabolites levels </w:t>
      </w:r>
      <w:r w:rsidR="003307C4">
        <w:t xml:space="preserve">between </w:t>
      </w:r>
      <w:r w:rsidR="00DA5552">
        <w:t>fried pork (</w:t>
      </w:r>
      <w:r w:rsidR="003307C4">
        <w:t>unprocessed red meat</w:t>
      </w:r>
      <w:r w:rsidR="00DA5552">
        <w:t>)</w:t>
      </w:r>
      <w:r w:rsidR="003307C4">
        <w:t xml:space="preserve"> and </w:t>
      </w:r>
      <w:r w:rsidR="00186BBC" w:rsidRPr="00E81C14">
        <w:t>tofu control</w:t>
      </w:r>
      <w:r w:rsidR="006D1B13">
        <w:t xml:space="preserve"> arms</w:t>
      </w:r>
      <w:r w:rsidR="00186BBC" w:rsidRPr="00E81C14">
        <w:t xml:space="preserve">. </w:t>
      </w:r>
      <w:r w:rsidR="006D1B13">
        <w:t>In this trial</w:t>
      </w:r>
      <w:r w:rsidR="00485730">
        <w:t>,</w:t>
      </w:r>
      <w:r w:rsidR="00186BBC" w:rsidRPr="00E81C14">
        <w:t xml:space="preserve"> </w:t>
      </w:r>
      <w:r w:rsidR="00186BBC" w:rsidRPr="00186BBC">
        <w:t xml:space="preserve">fasting </w:t>
      </w:r>
      <w:r w:rsidR="00186BBC" w:rsidRPr="00E81C14">
        <w:t>plasma sample</w:t>
      </w:r>
      <w:r w:rsidR="006D1B13">
        <w:t>s</w:t>
      </w:r>
      <w:r w:rsidR="00186BBC" w:rsidRPr="00E81C14">
        <w:t xml:space="preserve"> w</w:t>
      </w:r>
      <w:r w:rsidR="006D1B13">
        <w:t>ere</w:t>
      </w:r>
      <w:r w:rsidR="00186BBC" w:rsidRPr="00E81C14">
        <w:t xml:space="preserve"> collected </w:t>
      </w:r>
      <w:r w:rsidR="00414131">
        <w:t>in</w:t>
      </w:r>
      <w:r w:rsidR="00414131" w:rsidRPr="00E81C14">
        <w:t xml:space="preserve"> </w:t>
      </w:r>
      <w:r w:rsidR="00186BBC" w:rsidRPr="00E81C14">
        <w:t>the morning after the last meal</w:t>
      </w:r>
      <w:r w:rsidR="006543C8">
        <w:t xml:space="preserve"> of each test period</w:t>
      </w:r>
      <w:r w:rsidR="00186BBC" w:rsidRPr="00E81C14">
        <w:t xml:space="preserve">. </w:t>
      </w:r>
      <w:r w:rsidR="006D1B13">
        <w:t>P</w:t>
      </w:r>
      <w:r w:rsidR="00186BBC" w:rsidRPr="00E81C14">
        <w:t xml:space="preserve">articipants </w:t>
      </w:r>
      <w:r w:rsidR="006D1B13">
        <w:t>provided</w:t>
      </w:r>
      <w:r w:rsidR="00186BBC" w:rsidRPr="00E81C14">
        <w:t xml:space="preserve"> informed consent and procedures were carried out according to the Declaration of Helsinki. The study was approved by the International Agency for Research on Cancer (IARC) Ethics Committee (IEC Project 17</w:t>
      </w:r>
      <w:r w:rsidR="00207A56">
        <w:t>-</w:t>
      </w:r>
      <w:r w:rsidR="00186BBC" w:rsidRPr="00E81C14">
        <w:t>12)</w:t>
      </w:r>
      <w:r w:rsidR="00D52FFE">
        <w:t xml:space="preserve"> and</w:t>
      </w:r>
      <w:r w:rsidR="00186BBC" w:rsidRPr="00E81C14">
        <w:t xml:space="preserve"> registered at </w:t>
      </w:r>
      <w:r w:rsidR="00186BBC" w:rsidRPr="00A2457D">
        <w:rPr>
          <w:i/>
        </w:rPr>
        <w:t>clinicaltri</w:t>
      </w:r>
      <w:r w:rsidR="006D1B13" w:rsidRPr="00A2457D">
        <w:rPr>
          <w:i/>
        </w:rPr>
        <w:t>a</w:t>
      </w:r>
      <w:r w:rsidR="00186BBC" w:rsidRPr="00A2457D">
        <w:rPr>
          <w:i/>
        </w:rPr>
        <w:t>ls.gov</w:t>
      </w:r>
      <w:r w:rsidR="00134910">
        <w:t xml:space="preserve"> (</w:t>
      </w:r>
      <w:r w:rsidR="00186BBC" w:rsidRPr="00186BBC">
        <w:t>NCT03354130</w:t>
      </w:r>
      <w:r w:rsidR="00134910">
        <w:t>)</w:t>
      </w:r>
      <w:r w:rsidR="00186BBC" w:rsidRPr="00186BBC">
        <w:t>.</w:t>
      </w:r>
    </w:p>
    <w:p w14:paraId="6B82716D" w14:textId="77777777" w:rsidR="00833105" w:rsidRDefault="00833105" w:rsidP="00A2457D"/>
    <w:p w14:paraId="4F4F794B" w14:textId="6A8DBFC7" w:rsidR="000A0E6F" w:rsidRPr="00E81C14" w:rsidRDefault="000A0E6F" w:rsidP="009B24C6">
      <w:pPr>
        <w:pStyle w:val="Heading3"/>
      </w:pPr>
      <w:r w:rsidRPr="005A79C2">
        <w:t xml:space="preserve">Test of </w:t>
      </w:r>
      <w:r>
        <w:t xml:space="preserve">candidate </w:t>
      </w:r>
      <w:r w:rsidRPr="005A79C2">
        <w:t xml:space="preserve">metabolites </w:t>
      </w:r>
      <w:r>
        <w:t>of red meat intake in the RCT</w:t>
      </w:r>
    </w:p>
    <w:p w14:paraId="4C72BB87" w14:textId="0E21DF03" w:rsidR="006D1B13" w:rsidRDefault="000A0E6F" w:rsidP="00227555">
      <w:r>
        <w:t xml:space="preserve">We </w:t>
      </w:r>
      <w:r w:rsidR="00BA70FB">
        <w:t>assessed whether</w:t>
      </w:r>
      <w:r w:rsidRPr="00186BBC">
        <w:t xml:space="preserve"> </w:t>
      </w:r>
      <w:r>
        <w:t xml:space="preserve">metabolites </w:t>
      </w:r>
      <w:r w:rsidRPr="00186BBC">
        <w:t xml:space="preserve">that </w:t>
      </w:r>
      <w:r>
        <w:t xml:space="preserve">were part of the </w:t>
      </w:r>
      <w:r w:rsidR="00AF2716">
        <w:t>metabolite</w:t>
      </w:r>
      <w:r>
        <w:t xml:space="preserve"> score for red meat intake </w:t>
      </w:r>
      <w:r w:rsidR="008C0898">
        <w:t xml:space="preserve">were increased after intake of </w:t>
      </w:r>
      <w:r w:rsidR="00E67FE8">
        <w:t>fried pork (red meat</w:t>
      </w:r>
      <w:r w:rsidR="004A48B6">
        <w:t>)</w:t>
      </w:r>
      <w:r w:rsidR="008C0898">
        <w:t xml:space="preserve"> compared to tofu in the</w:t>
      </w:r>
      <w:r>
        <w:t xml:space="preserve"> RCT.</w:t>
      </w:r>
      <w:r w:rsidR="00980876">
        <w:t xml:space="preserve"> Th</w:t>
      </w:r>
      <w:r w:rsidR="006543C8">
        <w:t>e</w:t>
      </w:r>
      <w:r w:rsidR="00980876">
        <w:t xml:space="preserve"> process of </w:t>
      </w:r>
      <w:r w:rsidR="00980876">
        <w:rPr>
          <w:rStyle w:val="IntenseEmphasis"/>
          <w:i w:val="0"/>
          <w:color w:val="auto"/>
        </w:rPr>
        <w:t>identification of</w:t>
      </w:r>
      <w:r w:rsidR="00980876" w:rsidRPr="005E39CA">
        <w:rPr>
          <w:rStyle w:val="IntenseEmphasis"/>
          <w:i w:val="0"/>
          <w:color w:val="auto"/>
        </w:rPr>
        <w:t xml:space="preserve"> metabolites</w:t>
      </w:r>
      <w:r w:rsidR="00980876">
        <w:rPr>
          <w:rStyle w:val="IntenseEmphasis"/>
          <w:i w:val="0"/>
          <w:color w:val="auto"/>
        </w:rPr>
        <w:t xml:space="preserve"> that make up the red meat</w:t>
      </w:r>
      <w:r w:rsidR="00980876" w:rsidRPr="005E39CA">
        <w:rPr>
          <w:rStyle w:val="IntenseEmphasis"/>
          <w:i w:val="0"/>
          <w:color w:val="auto"/>
        </w:rPr>
        <w:t xml:space="preserve"> </w:t>
      </w:r>
      <w:r w:rsidR="00AF2716">
        <w:rPr>
          <w:rStyle w:val="IntenseEmphasis"/>
          <w:i w:val="0"/>
          <w:color w:val="auto"/>
        </w:rPr>
        <w:t>metabolite</w:t>
      </w:r>
      <w:r w:rsidR="00980876" w:rsidRPr="005E39CA">
        <w:rPr>
          <w:rStyle w:val="IntenseEmphasis"/>
          <w:i w:val="0"/>
          <w:color w:val="auto"/>
        </w:rPr>
        <w:t xml:space="preserve"> score</w:t>
      </w:r>
      <w:r w:rsidR="00980876">
        <w:rPr>
          <w:rStyle w:val="IntenseEmphasis"/>
          <w:i w:val="0"/>
          <w:color w:val="auto"/>
        </w:rPr>
        <w:t xml:space="preserve"> </w:t>
      </w:r>
      <w:r w:rsidR="00980876" w:rsidRPr="005E39CA">
        <w:rPr>
          <w:rStyle w:val="IntenseEmphasis"/>
          <w:i w:val="0"/>
          <w:color w:val="auto"/>
        </w:rPr>
        <w:t>in the RCT</w:t>
      </w:r>
      <w:r w:rsidR="00980876">
        <w:t xml:space="preserve"> is shown in </w:t>
      </w:r>
      <w:r w:rsidR="00980876" w:rsidRPr="002301A3">
        <w:rPr>
          <w:b/>
          <w:i/>
        </w:rPr>
        <w:t xml:space="preserve">Supplementary Figure </w:t>
      </w:r>
      <w:r w:rsidR="003767BD">
        <w:rPr>
          <w:b/>
          <w:i/>
        </w:rPr>
        <w:t>1</w:t>
      </w:r>
      <w:r w:rsidR="00980876" w:rsidRPr="00D95AB0">
        <w:rPr>
          <w:i/>
        </w:rPr>
        <w:t>.</w:t>
      </w:r>
      <w:r>
        <w:t xml:space="preserve"> </w:t>
      </w:r>
      <w:r w:rsidR="00265EB5">
        <w:t>First, w</w:t>
      </w:r>
      <w:r w:rsidR="008C0898">
        <w:t xml:space="preserve">e focused on metabolites that had been annotated </w:t>
      </w:r>
      <w:r w:rsidR="008C0898">
        <w:lastRenderedPageBreak/>
        <w:t>successfully</w:t>
      </w:r>
      <w:r w:rsidR="00647F70" w:rsidRPr="00647F70">
        <w:t xml:space="preserve"> </w:t>
      </w:r>
      <w:r w:rsidR="00647F70">
        <w:t>in the IARC laboratory</w:t>
      </w:r>
      <w:r w:rsidR="00D25894">
        <w:t xml:space="preserve"> </w:t>
      </w:r>
      <w:r w:rsidR="008C0898">
        <w:t xml:space="preserve">and </w:t>
      </w:r>
      <w:r w:rsidR="008C0898" w:rsidRPr="00186BBC">
        <w:t xml:space="preserve">had a positive coefficient in the </w:t>
      </w:r>
      <w:r w:rsidR="00AF2716">
        <w:t>metabolite</w:t>
      </w:r>
      <w:r w:rsidR="008C0898">
        <w:t xml:space="preserve"> score</w:t>
      </w:r>
      <w:r w:rsidR="008C0898" w:rsidRPr="00186BBC">
        <w:t xml:space="preserve">. </w:t>
      </w:r>
      <w:r w:rsidR="00FD1364">
        <w:t>Corresponding signal intensities</w:t>
      </w:r>
      <w:r w:rsidR="008C0898">
        <w:t xml:space="preserve"> </w:t>
      </w:r>
      <w:r>
        <w:t>we</w:t>
      </w:r>
      <w:r w:rsidR="008C0898">
        <w:t>re</w:t>
      </w:r>
      <w:r>
        <w:t xml:space="preserve"> </w:t>
      </w:r>
      <w:r w:rsidRPr="00186BBC">
        <w:t xml:space="preserve">extracted with Agilent </w:t>
      </w:r>
      <w:proofErr w:type="spellStart"/>
      <w:r w:rsidRPr="00186BBC">
        <w:t>Profinder</w:t>
      </w:r>
      <w:proofErr w:type="spellEnd"/>
      <w:r w:rsidRPr="00186BBC">
        <w:t xml:space="preserve"> 10.0 (Agilent Technologies, Santa Clara, CA, USA) using the find</w:t>
      </w:r>
      <w:r>
        <w:t>-</w:t>
      </w:r>
      <w:r w:rsidRPr="00186BBC">
        <w:t>by</w:t>
      </w:r>
      <w:r>
        <w:t>-</w:t>
      </w:r>
      <w:r w:rsidRPr="00186BBC">
        <w:t>formula method ([M+H]</w:t>
      </w:r>
      <w:r w:rsidRPr="00186BBC">
        <w:rPr>
          <w:vertAlign w:val="superscript"/>
        </w:rPr>
        <w:t>+</w:t>
      </w:r>
      <w:r w:rsidRPr="00186BBC">
        <w:t xml:space="preserve"> and [M-H]</w:t>
      </w:r>
      <w:r w:rsidRPr="00186BBC">
        <w:rPr>
          <w:vertAlign w:val="superscript"/>
        </w:rPr>
        <w:t>-</w:t>
      </w:r>
      <w:r w:rsidRPr="00186BBC">
        <w:t xml:space="preserve"> ions only, exact mass +/- 8ppm, Retention time +/- 0.05 min). </w:t>
      </w:r>
      <w:r>
        <w:t xml:space="preserve">Metabolites were </w:t>
      </w:r>
      <w:r w:rsidRPr="00186BBC">
        <w:t xml:space="preserve">carried </w:t>
      </w:r>
      <w:r w:rsidR="00375A1B">
        <w:t>forward</w:t>
      </w:r>
      <w:r w:rsidRPr="00186BBC">
        <w:t xml:space="preserve"> </w:t>
      </w:r>
      <w:r>
        <w:t>for</w:t>
      </w:r>
      <w:r w:rsidRPr="00186BBC">
        <w:t xml:space="preserve"> statistical analysis </w:t>
      </w:r>
      <w:r>
        <w:t xml:space="preserve">if they </w:t>
      </w:r>
      <w:r w:rsidRPr="00186BBC">
        <w:t>were detected in &gt;75 % of the samples collected after</w:t>
      </w:r>
      <w:r>
        <w:t xml:space="preserve"> </w:t>
      </w:r>
      <w:r w:rsidRPr="00186BBC">
        <w:t>pork intake</w:t>
      </w:r>
      <w:r>
        <w:t xml:space="preserve">. Then we used </w:t>
      </w:r>
      <w:r w:rsidRPr="00186BBC">
        <w:t>paired Welch’s t-test</w:t>
      </w:r>
      <w:r w:rsidR="00265EB5">
        <w:t>s</w:t>
      </w:r>
      <w:r w:rsidRPr="00186BBC">
        <w:t xml:space="preserve"> to assess </w:t>
      </w:r>
      <w:r>
        <w:t>whether</w:t>
      </w:r>
      <w:r w:rsidRPr="00186BBC">
        <w:t xml:space="preserve"> </w:t>
      </w:r>
      <w:r>
        <w:t>metabolites</w:t>
      </w:r>
      <w:r w:rsidRPr="00186BBC">
        <w:t xml:space="preserve"> were significantly</w:t>
      </w:r>
      <w:r w:rsidR="008815AF" w:rsidRPr="00186BBC">
        <w:t xml:space="preserve"> </w:t>
      </w:r>
      <w:r w:rsidR="00D25894">
        <w:t>(p &lt; 0.05</w:t>
      </w:r>
      <w:r w:rsidR="008815AF" w:rsidRPr="00186BBC">
        <w:t xml:space="preserve">) </w:t>
      </w:r>
      <w:r w:rsidRPr="00186BBC">
        <w:t xml:space="preserve">elevated in plasma samples collected after pork intake compared to tofu intake. </w:t>
      </w:r>
      <w:r w:rsidR="00E27C69">
        <w:t>Second, f</w:t>
      </w:r>
      <w:r>
        <w:t>or</w:t>
      </w:r>
      <w:r w:rsidRPr="00186BBC">
        <w:t xml:space="preserve"> </w:t>
      </w:r>
      <w:r>
        <w:t>metabolites</w:t>
      </w:r>
      <w:r w:rsidRPr="00186BBC">
        <w:t xml:space="preserve"> </w:t>
      </w:r>
      <w:r>
        <w:t xml:space="preserve">not </w:t>
      </w:r>
      <w:r w:rsidR="00DB3F40">
        <w:t>previously identified in</w:t>
      </w:r>
      <w:r w:rsidR="00647F70">
        <w:t xml:space="preserve"> the IARC laboratory</w:t>
      </w:r>
      <w:r w:rsidRPr="00186BBC">
        <w:t xml:space="preserve">, </w:t>
      </w:r>
      <w:r>
        <w:t>we</w:t>
      </w:r>
      <w:r w:rsidRPr="00186BBC">
        <w:t xml:space="preserve"> </w:t>
      </w:r>
      <w:r>
        <w:t xml:space="preserve">extracted </w:t>
      </w:r>
      <w:r w:rsidR="008C0898">
        <w:t xml:space="preserve">only </w:t>
      </w:r>
      <w:r>
        <w:t xml:space="preserve">those </w:t>
      </w:r>
      <w:r w:rsidRPr="00186BBC">
        <w:t xml:space="preserve">with a coefficient </w:t>
      </w:r>
      <w:r w:rsidR="00D25894" w:rsidRPr="00186BBC">
        <w:t>of &gt;</w:t>
      </w:r>
      <w:r w:rsidRPr="00186BBC">
        <w:t>1.</w:t>
      </w:r>
      <w:r w:rsidR="006543C8">
        <w:t>0</w:t>
      </w:r>
      <w:r w:rsidRPr="00186BBC">
        <w:t xml:space="preserve"> </w:t>
      </w:r>
      <w:r w:rsidR="00647F70">
        <w:t>in the meat intake score</w:t>
      </w:r>
      <w:r w:rsidR="00647F70" w:rsidRPr="00186BBC">
        <w:t xml:space="preserve"> </w:t>
      </w:r>
      <w:r w:rsidRPr="00186BBC">
        <w:t>from the raw data by formula only</w:t>
      </w:r>
      <w:r>
        <w:t xml:space="preserve"> to</w:t>
      </w:r>
      <w:r w:rsidRPr="00186BBC">
        <w:t xml:space="preserve"> test for </w:t>
      </w:r>
      <w:r>
        <w:t>the</w:t>
      </w:r>
      <w:r w:rsidR="007B191C">
        <w:t>ir</w:t>
      </w:r>
      <w:r>
        <w:t xml:space="preserve"> </w:t>
      </w:r>
      <w:r w:rsidRPr="00186BBC">
        <w:t>increase in plasma samples after pork intake</w:t>
      </w:r>
      <w:r>
        <w:t xml:space="preserve">. </w:t>
      </w:r>
      <w:r w:rsidR="005C23C6">
        <w:t>C</w:t>
      </w:r>
      <w:r>
        <w:t>ompounds</w:t>
      </w:r>
      <w:r w:rsidRPr="00186BBC">
        <w:t xml:space="preserve"> </w:t>
      </w:r>
      <w:r w:rsidR="005C23C6">
        <w:t>were confirmed</w:t>
      </w:r>
      <w:r w:rsidRPr="00186BBC">
        <w:t xml:space="preserve"> by comparison of MS</w:t>
      </w:r>
      <w:r w:rsidR="00395FA0">
        <w:t>/</w:t>
      </w:r>
      <w:r w:rsidRPr="00186BBC">
        <w:t>MS spectra with those in the literature (</w:t>
      </w:r>
      <w:r w:rsidR="008E4743">
        <w:t>annotation confidence</w:t>
      </w:r>
      <w:r w:rsidR="003801B4">
        <w:t xml:space="preserve"> </w:t>
      </w:r>
      <w:r w:rsidRPr="00186BBC">
        <w:t>level 2</w:t>
      </w:r>
      <w:r w:rsidR="006543C8">
        <w:t xml:space="preserve"> or 3</w:t>
      </w:r>
      <w:r w:rsidR="00207A56">
        <w:t>)</w:t>
      </w:r>
      <w:r w:rsidR="00D47385">
        <w:t xml:space="preserve"> </w:t>
      </w:r>
      <w:r w:rsidR="008E4743">
        <w:fldChar w:fldCharType="begin" w:fldLock="1"/>
      </w:r>
      <w:r w:rsidR="003D41CF">
        <w:instrText>ADDIN CSL_CITATION {"citationItems":[{"id":"ITEM-1","itemData":{"DOI":"10.1007/s11306-007-0082-2","ISSN":"1573-3882 (Print) 1573-3882 (Linking)","abstract":"There is a general consensus that supports the need for standardized reporting of metadata or information describing large-scale metabolomics and other functional genomics data sets. Reporting of standard metadata provides a biological and empirical context for the data, facilitates experimental replication, and enables the re-interrogation and comparison of data by others. Accordingly, the Metabolomics Standards Initiative is building a general consensus concerning the minimum reporting standards for metabolomics experiments of which the Chemical Analysis Working Group (CAWG) is a member of this community effort. This article proposes the minimum reporting standards related to the chemical analysis aspects of metabolomics experiments including: sample preparation, experimental analysis, quality control, metabolite identification, and data pre-processing. These minimum standards currently focus mostly upon mass spectrometry and nuclear magnetic resonance spectroscopy due to the popularity of these techniques in metabolomics. However, additional input concerning other techniques is welcomed and can be provided via the CAWG on-line discussion forum at http://msi-workgroups.sourceforge.net/ or http://Msi-workgroups-feedback@lists.sourceforge.net. Further, community input related to this document can also be provided via this electronic forum.","author":[{"dropping-particle":"","family":"Sumner","given":"L W","non-dropping-particle":"","parse-names":false,"suffix":""},{"dropping-particle":"","family":"Amberg","given":"A","non-dropping-particle":"","parse-names":false,"suffix":""},{"dropping-particle":"","family":"Barrett","given":"D","non-dropping-particle":"","parse-names":false,"suffix":""},{"dropping-particle":"","family":"Beale","given":"M H","non-dropping-particle":"","parse-names":false,"suffix":""},{"dropping-particle":"","family":"Beger","given":"R","non-dropping-particle":"","parse-names":false,"suffix":""},{"dropping-particle":"","family":"Daykin","given":"C A","non-dropping-particle":"","parse-names":false,"suffix":""},{"dropping-particle":"","family":"Fan","given":"T W","non-dropping-particle":"","parse-names":false,"suffix":""},{"dropping-particle":"","family":"Fiehn","given":"O","non-dropping-particle":"","parse-names":false,"suffix":""},{"dropping-particle":"","family":"Goodacre","given":"R","non-dropping-particle":"","parse-names":false,"suffix":""},{"dropping-particle":"","family":"Griffin","given":"J L","non-dropping-particle":"","parse-names":false,"suffix":""},{"dropping-particle":"","family":"Hankemeier","given":"T","non-dropping-particle":"","parse-names":false,"suffix":""},{"dropping-particle":"","family":"Hardy","given":"N","non-dropping-particle":"","parse-names":false,"suffix":""},{"dropping-particle":"","family":"Harnly","given":"J","non-dropping-particle":"","parse-names":false,"suffix":""},{"dropping-particle":"","family":"Higashi","given":"R","non-dropping-particle":"","parse-names":false,"suffix":""},{"dropping-particle":"","family":"Kopka","given":"J","non-dropping-particle":"","parse-names":false,"suffix":""},{"dropping-particle":"","family":"Lane","given":"A N","non-dropping-particle":"","parse-names":false,"suffix":""},{"dropping-particle":"","family":"Lindon","given":"J C","non-dropping-particle":"","parse-names":false,"suffix":""},{"dropping-particle":"","family":"Marriott","given":"P","non-dropping-particle":"","parse-names":false,"suffix":""},{"dropping-particle":"","family":"Nicholls","given":"A W","non-dropping-particle":"","parse-names":false,"suffix":""},{"dropping-particle":"","family":"Reily","given":"M D","non-dropping-particle":"","parse-names":false,"suffix":""},{"dropping-particle":"","family":"Thaden","given":"J J","non-dropping-particle":"","parse-names":false,"suffix":""},{"dropping-particle":"","family":"Viant","given":"M R","non-dropping-particle":"","parse-names":false,"suffix":""}],"container-title":"Metabolomics","id":"ITEM-1","issue":"3","issued":{"date-parts":[["2007"]]},"note":"Sumner, Lloyd W\nAmberg, Alexander\nBarrett, Dave\nBeale, Michael H\nBeger, Richard\nDaykin, Clare A\nFan, Teresa W-M\nFiehn, Oliver\nGoodacre, Royston\nGriffin, Julian L\nHankemeier, Thomas\nHardy, Nigel\nHarnly, James\nHigashi, Richard\nKopka, Joachim\nLane, Andrew N\nLindon, John C\nMarriott, Philip\nNicholls, Andrew W\nReily, Michael D\nThaden, John J\nViant, Mark R\neng\nY01 OD001298-01/OD/NIH HHS/\nBB/D006422/1/Biotechnology and Biological Sciences Research Council/United Kingdom\nBB/C519038/1/Biotechnology and Biological Sciences Research Council/United Kingdom\nBBS/E/C/00004559/Biotechnology and Biological Sciences Research Council/United Kingdom\nBB/D525121/1/Biotechnology and Biological Sciences Research Council/United Kingdom\nMC_QA137293/Medical Research Council/United Kingdom\n2007/09/01 00:00\nMetabolomics. 2007 Sep;3(3):211-221. doi: 10.1007/s11306-007-0082-2.","page":"211-221","publisher-place":"The Samuel Roberts Noble Foundation, Ardmore, OK, USA.","title":"Proposed minimum reporting standards for chemical analysis Chemical Analysis Working Group (CAWG) Metabolomics Standards Initiative (MSI)","type":"article-journal","volume":"3"},"uris":["http://www.mendeley.com/documents/?uuid=8f855747-6ba1-495c-bc5b-6a1ba0ce650a"]}],"mendeley":{"formattedCitation":"(25)","plainTextFormattedCitation":"(25)","previouslyFormattedCitation":"(25)"},"properties":{"noteIndex":0},"schema":"https://github.com/citation-style-language/schema/raw/master/csl-citation.json"}</w:instrText>
      </w:r>
      <w:r w:rsidR="008E4743">
        <w:rPr>
          <w:vertAlign w:val="superscript"/>
        </w:rPr>
        <w:fldChar w:fldCharType="separate"/>
      </w:r>
      <w:r w:rsidR="00AB1D57" w:rsidRPr="00AB1D57">
        <w:rPr>
          <w:noProof/>
        </w:rPr>
        <w:t>(25)</w:t>
      </w:r>
      <w:r w:rsidR="008E4743">
        <w:fldChar w:fldCharType="end"/>
      </w:r>
      <w:r w:rsidRPr="00186BBC">
        <w:t xml:space="preserve">. </w:t>
      </w:r>
    </w:p>
    <w:p w14:paraId="5A79F7DD" w14:textId="77777777" w:rsidR="00833105" w:rsidRDefault="00833105" w:rsidP="00227555"/>
    <w:p w14:paraId="5D4E6678" w14:textId="0C925BB5" w:rsidR="006D1B13" w:rsidRPr="0058045B" w:rsidRDefault="006D1B13" w:rsidP="00EF3667">
      <w:pPr>
        <w:pStyle w:val="Heading2"/>
      </w:pPr>
      <w:r w:rsidRPr="00BB2BE5">
        <w:t>Prospective cohort analysis of the association of</w:t>
      </w:r>
      <w:r w:rsidR="00A21B66">
        <w:t xml:space="preserve"> the red</w:t>
      </w:r>
      <w:r w:rsidRPr="00BB2BE5">
        <w:t xml:space="preserve"> meat </w:t>
      </w:r>
      <w:r w:rsidR="00AF2716">
        <w:t>metabolite</w:t>
      </w:r>
      <w:r w:rsidRPr="00BB2BE5">
        <w:t xml:space="preserve"> score with incident disease</w:t>
      </w:r>
      <w:r w:rsidR="00943FAF" w:rsidRPr="00BB2BE5">
        <w:t xml:space="preserve"> outcomes</w:t>
      </w:r>
      <w:r w:rsidR="00D826A4" w:rsidRPr="00BB2BE5">
        <w:t xml:space="preserve"> in the EPIC-Norfolk study</w:t>
      </w:r>
    </w:p>
    <w:p w14:paraId="6FB37007" w14:textId="4475364E" w:rsidR="009F0551" w:rsidRDefault="006D1B13" w:rsidP="006D1B13">
      <w:r>
        <w:t xml:space="preserve">We </w:t>
      </w:r>
      <w:r w:rsidR="00943FAF">
        <w:t xml:space="preserve">examined </w:t>
      </w:r>
      <w:r w:rsidR="0055014D">
        <w:t>the association</w:t>
      </w:r>
      <w:r>
        <w:t xml:space="preserve"> </w:t>
      </w:r>
      <w:r w:rsidR="002221E9">
        <w:t xml:space="preserve">of </w:t>
      </w:r>
      <w:r>
        <w:t>the</w:t>
      </w:r>
      <w:r w:rsidR="00943FAF">
        <w:t xml:space="preserve"> </w:t>
      </w:r>
      <w:r w:rsidR="00A21B66">
        <w:t xml:space="preserve">red </w:t>
      </w:r>
      <w:r>
        <w:t xml:space="preserve">meat </w:t>
      </w:r>
      <w:r w:rsidR="00AF2716">
        <w:t>metabolite</w:t>
      </w:r>
      <w:r w:rsidR="00943FAF">
        <w:t xml:space="preserve"> score and the relevant self-reported </w:t>
      </w:r>
      <w:r>
        <w:t xml:space="preserve">consumption </w:t>
      </w:r>
      <w:r w:rsidR="00943FAF">
        <w:t xml:space="preserve">parameter with </w:t>
      </w:r>
      <w:r>
        <w:t xml:space="preserve">the risk of incident </w:t>
      </w:r>
      <w:r w:rsidR="001D64FA">
        <w:t xml:space="preserve">T2D </w:t>
      </w:r>
      <w:r w:rsidR="00943FAF">
        <w:t xml:space="preserve">in a </w:t>
      </w:r>
      <w:r>
        <w:t>case</w:t>
      </w:r>
      <w:r w:rsidR="00943FAF">
        <w:t>-</w:t>
      </w:r>
      <w:r>
        <w:t xml:space="preserve">cohort </w:t>
      </w:r>
      <w:r w:rsidR="00943FAF">
        <w:t xml:space="preserve">study nested </w:t>
      </w:r>
      <w:r>
        <w:t xml:space="preserve">in </w:t>
      </w:r>
      <w:r w:rsidR="00943FAF">
        <w:t xml:space="preserve">the </w:t>
      </w:r>
      <w:r>
        <w:t>EPIC-Norfolk</w:t>
      </w:r>
      <w:r w:rsidR="00943FAF">
        <w:t xml:space="preserve"> cohort</w:t>
      </w:r>
      <w:r w:rsidR="00D47385">
        <w:t xml:space="preserve"> </w:t>
      </w:r>
      <w:r w:rsidR="000E2FCE">
        <w:fldChar w:fldCharType="begin" w:fldLock="1"/>
      </w:r>
      <w:r w:rsidR="003D41CF">
        <w:instrText>ADDIN CSL_CITATION {"citationItems":[{"id":"ITEM-1","itemData":{"DOI":"10.1007/s00125-012-2544-y","abstract":"Aims/hypothesis Epidemiological evidence is suggestive, but limited, for an association between circulating 25-hydroxyvitamin D (25[OH]D) and risk of type 2 diabetes. We conducted a systematic review and meta-analysis that included new data from previously unpublished studies. Methods Using a nested case-cohort design in the European Prospective Investigation into Cancer (EPIC)-Norfolk study, we identified a random subcohort and incident type 2 diabetes cases occurring between baseline (1993-1997) and 2006. In the Ely prospective study we identified incident type 2 diabetes cases between 1990 and 2003. We conducted a systematic review of prospective studies on 25 (OH)D and type 2 diabetes published in MEDLINE or EMBASE until 31 January 2012, and performed a random-effects meta-analysis combining available evidence with results from the EPIC-Norfolk and Ely studies. Results In EPIC-Norfolk, baseline 25(OH)D was lower among incident type 2 diabetes cases (mean [SD] 61.6 [22.4] nmol/l; n0621) vs non-case subcohort participants (mean 65.3 [23.9] nmol/l; n0826). There was an inverse association between baseline 25(OH)D and incident type 2 diabetes in multivariable-adjusted analyses: HR (95% CI) 0.66 (0.45, 0.97), 0.53 (0.34, 0.82), 0.50 (0.32, 0.76), p trend &lt;0.001, comparing consecutive increasing 25(OH)D quartiles with the lowest. In Ely, 37 incident type 2 diabetes cases were identified among 777 participants. In meta-analysis, the combined RR of type 2 diabetes comparing the highest with lowest quartile of 25(OH)D was 0.59 (0.52, 0.67), with little heterogeneity (I 2 02.7%, p00.42) between the 11 studies included (3,612 cases and 55,713 non-cases). Conclusions/interpretation These findings demonstrate an inverse association between circulating 25(OH)D and incident type 2 diabetes. However, causal inference should be addressed through adequately dosed randomised trials of vitamin D supplementation or genetic Mendelian random-isation experiments.","author":[{"dropping-particle":"","family":"Forouhi","given":"N G","non-dropping-particle":"","parse-names":false,"suffix":""},{"dropping-particle":"","family":"Ye","given":"Z","non-dropping-particle":"","parse-names":false,"suffix":""},{"dropping-particle":"","family":"Rickard","given":"A P","non-dropping-particle":"","parse-names":false,"suffix":""},{"dropping-particle":"","family":"Khaw","given":"K T","non-dropping-particle":"","parse-names":false,"suffix":""},{"dropping-particle":"","family":"Luben","given":"R","non-dropping-particle":"","parse-names":false,"suffix":""},{"dropping-particle":"","family":"Langenberg","given":"C","non-dropping-particle":"","parse-names":false,"suffix":""},{"dropping-particle":"","family":"Wareham","given":"N J","non-dropping-particle":"","parse-names":false,"suffix":""}],"id":"ITEM-1","issued":{"date-parts":[["0"]]},"title":"Circulating 25-hydroxyvitamin D concentration and the risk of type 2 diabetes: results from the European Prospective Investigation into Cancer (EPIC)-Norfolk cohort and updated meta-analysis of prospective studies","type":"article-journal"},"uris":["http://www.mendeley.com/documents/?uuid=ad3f8294-ad2b-3be5-96b9-9323903be9f6"]}],"mendeley":{"formattedCitation":"(15)","plainTextFormattedCitation":"(15)","previouslyFormattedCitation":"(15)"},"properties":{"noteIndex":0},"schema":"https://github.com/citation-style-language/schema/raw/master/csl-citation.json"}</w:instrText>
      </w:r>
      <w:r w:rsidR="000E2FCE">
        <w:rPr>
          <w:vertAlign w:val="superscript"/>
        </w:rPr>
        <w:fldChar w:fldCharType="separate"/>
      </w:r>
      <w:r w:rsidR="00AB1D57" w:rsidRPr="00AB1D57">
        <w:rPr>
          <w:noProof/>
        </w:rPr>
        <w:t>(15)</w:t>
      </w:r>
      <w:r w:rsidR="000E2FCE">
        <w:fldChar w:fldCharType="end"/>
      </w:r>
      <w:r w:rsidR="00943FAF">
        <w:t xml:space="preserve">. This comprised a total of </w:t>
      </w:r>
      <w:r>
        <w:t>659 incident cases</w:t>
      </w:r>
      <w:r w:rsidR="00943FAF">
        <w:t xml:space="preserve"> of </w:t>
      </w:r>
      <w:r w:rsidR="001D64FA">
        <w:t xml:space="preserve">T2D </w:t>
      </w:r>
      <w:r w:rsidR="00943FAF">
        <w:t xml:space="preserve">and a comparison </w:t>
      </w:r>
      <w:proofErr w:type="spellStart"/>
      <w:r w:rsidR="00943FAF">
        <w:t>subcohort</w:t>
      </w:r>
      <w:proofErr w:type="spellEnd"/>
      <w:r w:rsidR="00943FAF">
        <w:t xml:space="preserve"> of</w:t>
      </w:r>
      <w:r>
        <w:t xml:space="preserve"> 846 participants</w:t>
      </w:r>
      <w:r w:rsidR="00943FAF">
        <w:t>, which had an overlap by design of</w:t>
      </w:r>
      <w:r>
        <w:t xml:space="preserve"> 27 </w:t>
      </w:r>
      <w:r w:rsidR="00943FAF">
        <w:t>individuals with the case set</w:t>
      </w:r>
      <w:r w:rsidR="001D64FA">
        <w:t xml:space="preserve">, after we </w:t>
      </w:r>
      <w:r w:rsidR="00943FAF">
        <w:t xml:space="preserve">excluded </w:t>
      </w:r>
      <w:r>
        <w:t xml:space="preserve">participants </w:t>
      </w:r>
      <w:r w:rsidR="00943FAF">
        <w:t xml:space="preserve">who had </w:t>
      </w:r>
      <w:r>
        <w:t xml:space="preserve">extreme energy intake measures </w:t>
      </w:r>
      <w:r w:rsidR="00943FAF">
        <w:t>or</w:t>
      </w:r>
      <w:r>
        <w:t xml:space="preserve"> missing covariate</w:t>
      </w:r>
      <w:r w:rsidR="00943FAF">
        <w:t xml:space="preserve"> data</w:t>
      </w:r>
      <w:r>
        <w:t xml:space="preserve">. </w:t>
      </w:r>
    </w:p>
    <w:p w14:paraId="6B74077D" w14:textId="77777777" w:rsidR="00833105" w:rsidRDefault="00833105" w:rsidP="006D1B13"/>
    <w:p w14:paraId="411DF229" w14:textId="056A5092" w:rsidR="009F0551" w:rsidRDefault="009F0551" w:rsidP="009B24C6">
      <w:pPr>
        <w:pStyle w:val="Heading3"/>
      </w:pPr>
      <w:r>
        <w:t xml:space="preserve">Ascertainment of T2D cases </w:t>
      </w:r>
      <w:r w:rsidR="00D826A4">
        <w:t>in the EPIC-Norfolk study</w:t>
      </w:r>
    </w:p>
    <w:p w14:paraId="09915875" w14:textId="1A802B4F" w:rsidR="009F0551" w:rsidRDefault="009F0551" w:rsidP="009F0551">
      <w:r>
        <w:t xml:space="preserve">Incident cases of </w:t>
      </w:r>
      <w:r w:rsidR="001D64FA">
        <w:t xml:space="preserve">T2D </w:t>
      </w:r>
      <w:r>
        <w:t xml:space="preserve">were ascertained by reviewing evidence from multiple sources, </w:t>
      </w:r>
      <w:r>
        <w:lastRenderedPageBreak/>
        <w:t xml:space="preserve">including self-report, linkage to primary and secondary care registers, medication use from drug registers, hospital admissions, and mortality data. All self-reported cases were verified with independent evidence. </w:t>
      </w:r>
      <w:r w:rsidRPr="001E0F06">
        <w:t xml:space="preserve">Person time of follow up </w:t>
      </w:r>
      <w:r w:rsidR="001E0F06" w:rsidRPr="001E0F06">
        <w:t xml:space="preserve">was </w:t>
      </w:r>
      <w:r w:rsidRPr="001E0F06">
        <w:t>determined</w:t>
      </w:r>
      <w:r>
        <w:t xml:space="preserve"> from the date of baseline assessment to the date of diagnosis, date of death, </w:t>
      </w:r>
      <w:r w:rsidR="00375A1B">
        <w:t xml:space="preserve">or </w:t>
      </w:r>
      <w:r>
        <w:t>31 December 200</w:t>
      </w:r>
      <w:r w:rsidR="00650499">
        <w:t>6,</w:t>
      </w:r>
      <w:r>
        <w:t xml:space="preserve"> whichever came first.</w:t>
      </w:r>
    </w:p>
    <w:p w14:paraId="14BA9763" w14:textId="77777777" w:rsidR="001D64FA" w:rsidRDefault="001D64FA" w:rsidP="009F0551"/>
    <w:p w14:paraId="4BACF82A" w14:textId="77777777" w:rsidR="00D46C62" w:rsidRDefault="00D46C62" w:rsidP="00D46C62">
      <w:pPr>
        <w:pStyle w:val="Heading3"/>
      </w:pPr>
      <w:r>
        <w:t>Assessment of covariates in the EPIC-Norfolk study</w:t>
      </w:r>
    </w:p>
    <w:p w14:paraId="45B94364" w14:textId="43EA329E" w:rsidR="00D46C62" w:rsidRDefault="00D46C62" w:rsidP="00D46C62">
      <w:r>
        <w:t xml:space="preserve">Information about health </w:t>
      </w:r>
      <w:r w:rsidR="001C3E9B">
        <w:t>behaviors</w:t>
      </w:r>
      <w:r>
        <w:t xml:space="preserve"> and clinical risk factors were collected by trained nurses during a health check at baseline. Information obtained include</w:t>
      </w:r>
      <w:r w:rsidR="00375A1B">
        <w:t>d</w:t>
      </w:r>
      <w:r>
        <w:t xml:space="preserve"> age, sex, education level (</w:t>
      </w:r>
      <w:r w:rsidR="00C0264A">
        <w:t xml:space="preserve">primary school or </w:t>
      </w:r>
      <w:r>
        <w:t xml:space="preserve">no qualifications, </w:t>
      </w:r>
      <w:r w:rsidR="00C0264A">
        <w:t>middle school</w:t>
      </w:r>
      <w:r>
        <w:t xml:space="preserve"> or equivalent, </w:t>
      </w:r>
      <w:r w:rsidR="00C0264A">
        <w:t xml:space="preserve">high school </w:t>
      </w:r>
      <w:r>
        <w:t xml:space="preserve">or equivalent, </w:t>
      </w:r>
      <w:r w:rsidR="006306EF">
        <w:t xml:space="preserve">college </w:t>
      </w:r>
      <w:r>
        <w:t xml:space="preserve">degree and above), smoking status (never, former, and current smokers), alcohol drinking (g/d), physical activity (inactive, moderately inactive, moderately active, active), height (m), weight (kg), and other food group consumption in g/d ( fruits, vegetables, fatty fish, white fish, dairy, legumes, nuts, eggs and </w:t>
      </w:r>
      <w:r w:rsidR="00F27BFB">
        <w:t>sugar</w:t>
      </w:r>
      <w:r w:rsidR="00160359">
        <w:t xml:space="preserve"> sweetened</w:t>
      </w:r>
      <w:r w:rsidR="00F27BFB">
        <w:t xml:space="preserve"> beverages</w:t>
      </w:r>
      <w:r>
        <w:t>). BMI was calculated as weight divided by the square of height (kg/m</w:t>
      </w:r>
      <w:r w:rsidRPr="00354794">
        <w:rPr>
          <w:vertAlign w:val="superscript"/>
        </w:rPr>
        <w:t>2</w:t>
      </w:r>
      <w:r>
        <w:t>). Total energy intake was calculated from the 7dDD.</w:t>
      </w:r>
    </w:p>
    <w:p w14:paraId="6F5B2EE3" w14:textId="77777777" w:rsidR="00D46C62" w:rsidRDefault="00D46C62" w:rsidP="00D46C62"/>
    <w:p w14:paraId="57EE5FE8" w14:textId="025CAA92" w:rsidR="00D826A4" w:rsidRPr="00A941F3" w:rsidRDefault="00D826A4" w:rsidP="009B24C6">
      <w:pPr>
        <w:pStyle w:val="Heading3"/>
      </w:pPr>
      <w:r w:rsidRPr="0058045B">
        <w:t xml:space="preserve">Statistical methods for the assessment of the association with incident </w:t>
      </w:r>
      <w:r w:rsidR="001D64FA">
        <w:t>T2D</w:t>
      </w:r>
    </w:p>
    <w:p w14:paraId="087DD6D9" w14:textId="7498747C" w:rsidR="00D826A4" w:rsidRDefault="00D826A4" w:rsidP="0058045B">
      <w:r>
        <w:t xml:space="preserve">We </w:t>
      </w:r>
      <w:r w:rsidR="001C3E9B">
        <w:t>analyzed</w:t>
      </w:r>
      <w:r>
        <w:t xml:space="preserve"> the association of a </w:t>
      </w:r>
      <w:r w:rsidR="001C3E9B">
        <w:t>standardized</w:t>
      </w:r>
      <w:r>
        <w:t xml:space="preserve"> metabolite score for red meat consumption with incident </w:t>
      </w:r>
      <w:r w:rsidR="001D64FA">
        <w:t>T2D</w:t>
      </w:r>
      <w:r>
        <w:t xml:space="preserve"> in the case-cohort study using Prentice-weighted Cox regression</w:t>
      </w:r>
      <w:r w:rsidR="00D47385">
        <w:t xml:space="preserve"> </w:t>
      </w:r>
      <w:r w:rsidR="000E2FCE">
        <w:fldChar w:fldCharType="begin" w:fldLock="1"/>
      </w:r>
      <w:r w:rsidR="003D41CF">
        <w:instrText>ADDIN CSL_CITATION {"citationItems":[{"id":"ITEM-1","itemData":{"DOI":"10.1016/J.JCLINEPI.2006.06.022","ISSN":"0895-4356","PMID":"17346608","abstract":"Objective: The case-cohort design combines the advantages of a prospective cohort study and the efficiency of a case-control design. Usually a Cox proportional-hazards model is used for the analyses. However, adaptation of the model is necessary because of the sampling. We compared three methods that were proposed in the literature, which differ in weighting of study subjects: Prentice's, Barlow's, and Self and Prentice's method. Study Design and Setting: In a cohort of 17,357 women we studied the relationship between body mass index and cardiovascular disease (n = 821) with varying subcohort sizes (sampli</w:instrText>
      </w:r>
      <w:r w:rsidR="003D41CF">
        <w:rPr>
          <w:rFonts w:hint="eastAsia"/>
        </w:rPr>
        <w:instrText xml:space="preserve">ng fraction = 0.005, 0.01, 0.05, 0.10, 0.15). Results: Even with a sampling fraction of 0.01, all three methods showed identical estimates and standard errors (SE). With sampling fractions </w:instrText>
      </w:r>
      <w:r w:rsidR="003D41CF">
        <w:rPr>
          <w:rFonts w:hint="eastAsia"/>
        </w:rPr>
        <w:instrText>≥</w:instrText>
      </w:r>
      <w:r w:rsidR="003D41CF">
        <w:rPr>
          <w:rFonts w:hint="eastAsia"/>
        </w:rPr>
        <w:instrText>0.10, results of the case-cohort analyses were similar to the ful</w:instrText>
      </w:r>
      <w:r w:rsidR="003D41CF">
        <w:instrText>l-cohort analyses. With simulations, the three methods provided different results if the full cohort is small (&lt;1,250 subjects, subcohort = 10%, 8% failures) or if the subcohort size was smaller than 15% (full cohort of 1,000 observations, 8% failures). The difference between the methods did not change with the number of failures or with different effect sizes. Conclusion: In the above-mentioned situations, the effect estimates and SE of Prentice's method most resembled the estimates of the full-cohort estimates. © 2007 Elsevier Inc. All rights reserved.","author":[{"dropping-particle":"","family":"NC","given":"Onland-Moret","non-dropping-particle":"","parse-names":false,"suffix":""},{"dropping-particle":"","family":"DL","given":"van der A","non-dropping-particle":"","parse-names":false,"suffix":""},{"dropping-particle":"","family":"YT","given":"van der Schouw","non-dropping-particle":"","parse-names":false,"suffix":""},{"dropping-particle":"","family":"W","given":"Buschers","non-dropping-particle":"","parse-names":false,"suffix":""},{"dropping-particle":"","family":"SG","given":"Elias","non-dropping-particle":"","parse-names":false,"suffix":""},{"dropping-particle":"","family":"CH","given":"van Gils","non-dropping-particle":"","parse-names":false,"suffix":""},{"dropping-particle":"","family":"J","given":"Koerselman","non-dropping-particle":"","parse-names":false,"suffix":""},{"dropping-particle":"","family":"M","given":"Roest","non-dropping-particle":"","parse-names":false,"suffix":""},{"dropping-particle":"","family":"DE","given":"Grobbee","non-dropping-particle":"","parse-names":false,"suffix":""},{"dropping-particle":"","family":"PH","given":"Peeters","non-dropping-particle":"","parse-names":false,"suffix":""}],"container-title":"Journal of clinical epidemiology","id":"ITEM-1","issue":"4","issued":{"date-parts":[["2007","4"]]},"page":"350-355","publisher":"J Clin Epidemiol","title":"Analysis of case-cohort data: a comparison of different methods","type":"article-journal","volume":"60"},"uris":["http://www.mendeley.com/documents/?uuid=715c27f5-04aa-3a0a-9d5c-f70b6ae12f83"]}],"mendeley":{"formattedCitation":"(26)","plainTextFormattedCitation":"(26)","previouslyFormattedCitation":"(26)"},"properties":{"noteIndex":0},"schema":"https://github.com/citation-style-language/schema/raw/master/csl-citation.json"}</w:instrText>
      </w:r>
      <w:r w:rsidR="000E2FCE">
        <w:rPr>
          <w:vertAlign w:val="superscript"/>
        </w:rPr>
        <w:fldChar w:fldCharType="separate"/>
      </w:r>
      <w:r w:rsidR="00AB1D57" w:rsidRPr="00AB1D57">
        <w:rPr>
          <w:noProof/>
        </w:rPr>
        <w:t>(26)</w:t>
      </w:r>
      <w:r w:rsidR="000E2FCE">
        <w:fldChar w:fldCharType="end"/>
      </w:r>
      <w:r>
        <w:t xml:space="preserve"> to estimate the hazard ratio</w:t>
      </w:r>
      <w:r w:rsidR="00923063">
        <w:t xml:space="preserve"> (HR)</w:t>
      </w:r>
      <w:r>
        <w:t xml:space="preserve"> for </w:t>
      </w:r>
      <w:r w:rsidR="001D64FA">
        <w:t>T2D</w:t>
      </w:r>
      <w:r>
        <w:t xml:space="preserve"> and its 95% confidence interval per </w:t>
      </w:r>
      <w:r w:rsidR="001F4C77">
        <w:t>SD</w:t>
      </w:r>
      <w:r>
        <w:t xml:space="preserve"> of the exposure</w:t>
      </w:r>
      <w:r w:rsidR="00D46C62">
        <w:t>.</w:t>
      </w:r>
    </w:p>
    <w:p w14:paraId="6FC9BE7D" w14:textId="0AA4BB82" w:rsidR="00D46C62" w:rsidRDefault="00D46C62" w:rsidP="0058045B">
      <w:r>
        <w:t>We considered the effect of potential confounders in a model adjusting for age, sex,</w:t>
      </w:r>
      <w:r w:rsidR="00D536AD">
        <w:t xml:space="preserve"> and then</w:t>
      </w:r>
      <w:r w:rsidR="00CC4372">
        <w:t xml:space="preserve"> further adjusted for </w:t>
      </w:r>
      <w:r>
        <w:t>education, smoking status, alcohol drinking, BMI</w:t>
      </w:r>
      <w:r w:rsidR="00CC4372">
        <w:t xml:space="preserve"> and </w:t>
      </w:r>
      <w:r>
        <w:t xml:space="preserve">dietary factors </w:t>
      </w:r>
      <w:r>
        <w:lastRenderedPageBreak/>
        <w:t>(consumption of fruits, vegetables, fatty fish and white fish, sugar</w:t>
      </w:r>
      <w:r w:rsidR="00160359">
        <w:t xml:space="preserve"> sweetened</w:t>
      </w:r>
      <w:r>
        <w:t xml:space="preserve"> beverages, dairy, legumes, nuts, eggs and total energy intake). For alcohol drinking and BMI, we included their linear and squared terms to account for their potential non-linear associations with each outcome.</w:t>
      </w:r>
    </w:p>
    <w:p w14:paraId="34282844" w14:textId="77777777" w:rsidR="00833105" w:rsidRPr="00A941F3" w:rsidRDefault="00833105" w:rsidP="0058045B"/>
    <w:p w14:paraId="0EFB6E6F" w14:textId="36AD50B2" w:rsidR="009F0551" w:rsidRDefault="009F0551" w:rsidP="009B24C6">
      <w:pPr>
        <w:pStyle w:val="Heading3"/>
      </w:pPr>
      <w:r>
        <w:t xml:space="preserve">Ascertainment of other </w:t>
      </w:r>
      <w:r w:rsidR="001152F7">
        <w:t>non-communicable</w:t>
      </w:r>
      <w:r w:rsidR="001152F7" w:rsidDel="001152F7">
        <w:t xml:space="preserve"> </w:t>
      </w:r>
      <w:r>
        <w:t>diseases outcomes</w:t>
      </w:r>
      <w:r w:rsidR="00D826A4">
        <w:t xml:space="preserve"> in the EPIC-Norfolk study</w:t>
      </w:r>
      <w:r>
        <w:t xml:space="preserve"> </w:t>
      </w:r>
    </w:p>
    <w:p w14:paraId="453578C5" w14:textId="22DDCD02" w:rsidR="009F0551" w:rsidRDefault="009F0551" w:rsidP="006D1B13">
      <w:r>
        <w:t xml:space="preserve">We ascertained the incident outcomes of </w:t>
      </w:r>
      <w:r w:rsidR="00650499">
        <w:t>six</w:t>
      </w:r>
      <w:r w:rsidR="00217842">
        <w:t xml:space="preserve"> health conditions including </w:t>
      </w:r>
      <w:r>
        <w:t xml:space="preserve">cardiovascular diseases (including </w:t>
      </w:r>
      <w:r w:rsidR="001C3E9B">
        <w:t>ischemic</w:t>
      </w:r>
      <w:r>
        <w:t xml:space="preserve"> heart disease, </w:t>
      </w:r>
      <w:r w:rsidR="001C3E9B">
        <w:t>hemorrhagic</w:t>
      </w:r>
      <w:r>
        <w:t xml:space="preserve"> stroke, cerebral stroke, heart failure, and atrial fibrillation); gastrointestinal</w:t>
      </w:r>
      <w:r w:rsidDel="00CD7CE6">
        <w:t xml:space="preserve"> </w:t>
      </w:r>
      <w:r>
        <w:t xml:space="preserve">cancers (including colon cancer, rectal cancer, stomach cancer); liver disease, renal disease, fractures, </w:t>
      </w:r>
      <w:r w:rsidR="005C23C6">
        <w:t>and deaths due to any causes</w:t>
      </w:r>
      <w:r w:rsidR="00D47385">
        <w:t xml:space="preserve"> </w:t>
      </w:r>
      <w:r w:rsidR="007C4A44">
        <w:fldChar w:fldCharType="begin" w:fldLock="1"/>
      </w:r>
      <w:r w:rsidR="003D41CF">
        <w:instrText>ADDIN CSL_CITATION {"citationItems":[{"id":"ITEM-1","itemData":{"DOI":"10.1038/s41591-021-01266-0","ISSN":"1078-8956","abstract":"D eep molecular profiling of human blood has the potential to identify new pathways to diseases, improve risk prediction and enable stratified prevention and management 1. Prospective studies have shown the promise of deep phenotypic profiling for precision medicine 2,3 but these were very-small-scale and focused on single diseases 4,5. Many pathways are shared across different diseases and one in four patients now presents with two or more chronic conditions at the same time, referred to as mul-timorbidity 6,7. The incidence of NCD multimorbidity is increasing not only in high-income 8,9 but also in middle-and low-income countries 7,10 , which poses major challenges for health-care systems globally. The co-occurrence of conditions, such as type 2 diabetes (T2D) and cardiovascular diseases, is common and previous work has shown a high degree of interconnectivity with other diseases 11. The lack of horizontal integration between specialities delivering care for patients with coexisting diseases means that multimorbidity is more likely to be seen as a random assortment of individual conditions. There is now a call by public health authorities and policymakers for a shift to recognizing multimorbidity as an accumulation of largely predictable clusters of diseases in the same person 12. However, knowledge about shared etiologies of less obviously related diseases is sparse. Molecular profiling has the potential to identify pathways simultaneously and systematically across many different incident diseases assessed objectively and at scale. Research into the determinants of NCD multimorbidity is a high priority 12 but, to our knowledge, investigations of in-depth molecular profiles in large prospective cohorts with comprehensive, long-term clinical follow-up have not been previously undertaken. Detailed information on modifiable factors that underlie and drive shared risk, which is required to establish actionable insights for the prevention and management of multimorbidity 13 , is also lacking. The human blood metabolome provides a comprehensive read-out of human physiology obtained through untargeted assessment of hundreds of small circulating molecules, which reflect the influences and interactions of genetics, lifestyle, environment, medical treatment and microbial activity 14. We investigated the associations between baseline levels of 1,014 metabolites assessed through untargeted profiling of plasma samples and the onset of 27 NCDs, all-cause mortality …","author":[{"dropping-particle":"","family":"Pietzner","given":"Maik","non-dropping-particle":"","parse-names":false,"suffix":""},{"dropping-particle":"","family":"Stewart","given":"Isobel D.","non-dropping-particle":"","parse-names":false,"suffix":""},{"dropping-particle":"","family":"Raffler","given":"Johannes","non-dropping-particle":"","parse-names":false,"suffix":""},{"dropping-particle":"","family":"Khaw","given":"Kay-Tee","non-dropping-particle":"","parse-names":false,"suffix":""},{"dropping-particle":"","family":"Michelotti","given":"Gregory A.","non-dropping-particle":"","parse-names":false,"suffix":""},{"dropping-particle":"","family":"Kastenmüller","given":"Gabi","non-dropping-particle":"","parse-names":false,"suffix":""},{"dropping-particle":"","family":"Wareham","given":"Nicholas J.","non-dropping-particle":"","parse-names":false,"suffix":""},{"dropping-particle":"","family":"Langenberg","given":"Claudia","non-dropping-particle":"","parse-names":false,"suffix":""}],"container-title":"Nature Medicine","id":"ITEM-1","issued":{"date-parts":[["2021","3","11"]]},"page":"1-9","publisher":"Nature Publishing Group","title":"Plasma metabolites to profile pathways in noncommunicable disease multimorbidity","type":"article-journal"},"uris":["http://www.mendeley.com/documents/?uuid=fe66a087-2fb1-380c-952f-30645b615ed8"]}],"mendeley":{"formattedCitation":"(16)","plainTextFormattedCitation":"(16)","previouslyFormattedCitation":"(16)"},"properties":{"noteIndex":0},"schema":"https://github.com/citation-style-language/schema/raw/master/csl-citation.json"}</w:instrText>
      </w:r>
      <w:r w:rsidR="007C4A44">
        <w:rPr>
          <w:vertAlign w:val="superscript"/>
        </w:rPr>
        <w:fldChar w:fldCharType="separate"/>
      </w:r>
      <w:r w:rsidR="00AB1D57" w:rsidRPr="00AB1D57">
        <w:rPr>
          <w:noProof/>
        </w:rPr>
        <w:t>(16)</w:t>
      </w:r>
      <w:r w:rsidR="007C4A44">
        <w:fldChar w:fldCharType="end"/>
      </w:r>
      <w:r>
        <w:t xml:space="preserve">. Outcome data </w:t>
      </w:r>
      <w:r w:rsidR="001D64FA">
        <w:t xml:space="preserve">were </w:t>
      </w:r>
      <w:r>
        <w:t xml:space="preserve">obtained by linkage to </w:t>
      </w:r>
      <w:r w:rsidRPr="003D562F">
        <w:t>Hospital Episode Statistics, the cancer registry and the Office of National Statistics.</w:t>
      </w:r>
      <w:r>
        <w:t xml:space="preserve"> Follow-up ended on March 31st, 2016. Prevalent and incident cases for each disease were identified with the International Classification of Diseases 10th revision as listed in </w:t>
      </w:r>
      <w:r w:rsidR="00A347AB" w:rsidRPr="00F84020">
        <w:rPr>
          <w:b/>
          <w:i/>
        </w:rPr>
        <w:t xml:space="preserve">Supplementary Table </w:t>
      </w:r>
      <w:r w:rsidR="003767BD">
        <w:rPr>
          <w:b/>
          <w:i/>
        </w:rPr>
        <w:t>1</w:t>
      </w:r>
      <w:r>
        <w:t>.</w:t>
      </w:r>
    </w:p>
    <w:p w14:paraId="5D9E04C5" w14:textId="5717DCB2" w:rsidR="00833105" w:rsidRDefault="00833105" w:rsidP="006D1B13"/>
    <w:p w14:paraId="1440F126" w14:textId="77777777" w:rsidR="0058045B" w:rsidRDefault="00D826A4" w:rsidP="009B24C6">
      <w:pPr>
        <w:pStyle w:val="Heading3"/>
      </w:pPr>
      <w:r w:rsidRPr="00F772D7">
        <w:t xml:space="preserve">Statistical methods for the assessment of the association with </w:t>
      </w:r>
      <w:r>
        <w:t>multiple disease outcomes</w:t>
      </w:r>
    </w:p>
    <w:p w14:paraId="2DB14858" w14:textId="320E9261" w:rsidR="00D826A4" w:rsidRDefault="00B77E62" w:rsidP="00B77E62">
      <w:r>
        <w:t xml:space="preserve">In </w:t>
      </w:r>
      <w:r w:rsidR="00D826A4">
        <w:t>an</w:t>
      </w:r>
      <w:r>
        <w:t xml:space="preserve"> exploratory </w:t>
      </w:r>
      <w:r w:rsidR="00D826A4">
        <w:t xml:space="preserve">analysis we tested the association of the </w:t>
      </w:r>
      <w:r w:rsidR="007C4A44">
        <w:t xml:space="preserve">red </w:t>
      </w:r>
      <w:r w:rsidR="00D826A4">
        <w:t xml:space="preserve">meat </w:t>
      </w:r>
      <w:r w:rsidR="00AF2716">
        <w:t>metabolite</w:t>
      </w:r>
      <w:r w:rsidR="0014339B">
        <w:t xml:space="preserve"> </w:t>
      </w:r>
      <w:r w:rsidR="00D826A4">
        <w:t xml:space="preserve">score with </w:t>
      </w:r>
      <w:r>
        <w:t xml:space="preserve">incident </w:t>
      </w:r>
      <w:r w:rsidR="00D826A4">
        <w:t xml:space="preserve">health </w:t>
      </w:r>
      <w:r>
        <w:t xml:space="preserve">outcomes </w:t>
      </w:r>
      <w:r w:rsidR="00D826A4">
        <w:t xml:space="preserve">using </w:t>
      </w:r>
      <w:r>
        <w:t xml:space="preserve">standard Cox regression after excluding the prevalent cases for each clinical outcome (see </w:t>
      </w:r>
      <w:r w:rsidR="00A347AB">
        <w:rPr>
          <w:i/>
        </w:rPr>
        <w:t xml:space="preserve">Supplementary </w:t>
      </w:r>
      <w:r w:rsidR="00D46C62">
        <w:rPr>
          <w:i/>
        </w:rPr>
        <w:t xml:space="preserve">Table </w:t>
      </w:r>
      <w:r w:rsidR="003767BD">
        <w:rPr>
          <w:i/>
        </w:rPr>
        <w:t>1</w:t>
      </w:r>
      <w:r>
        <w:rPr>
          <w:i/>
        </w:rPr>
        <w:t>)</w:t>
      </w:r>
      <w:r>
        <w:t xml:space="preserve">. </w:t>
      </w:r>
      <w:r w:rsidR="00D46C62" w:rsidRPr="006E3515">
        <w:t>We adjusted for</w:t>
      </w:r>
      <w:r w:rsidR="00D52A95" w:rsidRPr="006E3515">
        <w:t xml:space="preserve"> the same sets of</w:t>
      </w:r>
      <w:r w:rsidR="00D46C62" w:rsidRPr="006E3515">
        <w:t xml:space="preserve"> potential confounders </w:t>
      </w:r>
      <w:r w:rsidR="006E3515" w:rsidRPr="006E3515">
        <w:t xml:space="preserve">as </w:t>
      </w:r>
      <w:r w:rsidR="00D46C62" w:rsidRPr="006E3515">
        <w:t>considered in the association with T2D.</w:t>
      </w:r>
      <w:r w:rsidR="00D46C62">
        <w:t xml:space="preserve"> </w:t>
      </w:r>
    </w:p>
    <w:p w14:paraId="0BDE9C64" w14:textId="4B635179" w:rsidR="00B77E62" w:rsidRDefault="00B77E62" w:rsidP="009B24C6">
      <w:pPr>
        <w:rPr>
          <w:rFonts w:eastAsiaTheme="majorEastAsia" w:cstheme="majorBidi"/>
          <w:b/>
          <w:kern w:val="0"/>
          <w:szCs w:val="32"/>
        </w:rPr>
      </w:pPr>
      <w:r>
        <w:br w:type="page"/>
      </w:r>
    </w:p>
    <w:p w14:paraId="40495A2B" w14:textId="492B7DD2" w:rsidR="00AD120E" w:rsidRDefault="00A72BDB" w:rsidP="00735627">
      <w:pPr>
        <w:pStyle w:val="Heading1"/>
      </w:pPr>
      <w:r>
        <w:lastRenderedPageBreak/>
        <w:t>Result</w:t>
      </w:r>
      <w:r w:rsidR="00D0408A">
        <w:t>s</w:t>
      </w:r>
      <w:r>
        <w:t xml:space="preserve"> (</w:t>
      </w:r>
      <w:r w:rsidR="00AB1AFA">
        <w:t>808</w:t>
      </w:r>
      <w:r w:rsidR="00CA1632">
        <w:t xml:space="preserve"> </w:t>
      </w:r>
      <w:r w:rsidR="00AD120E">
        <w:t>words)</w:t>
      </w:r>
    </w:p>
    <w:p w14:paraId="5914FB10" w14:textId="5F9AA010" w:rsidR="00AD120E" w:rsidRPr="009E45B1" w:rsidRDefault="00AD120E" w:rsidP="00EF3667">
      <w:pPr>
        <w:pStyle w:val="Heading2"/>
      </w:pPr>
      <w:r w:rsidRPr="009E45B1">
        <w:t xml:space="preserve">Baseline </w:t>
      </w:r>
      <w:r w:rsidR="009E45B1" w:rsidRPr="009E45B1">
        <w:t>c</w:t>
      </w:r>
      <w:r w:rsidRPr="009E45B1">
        <w:t xml:space="preserve">haracteristics </w:t>
      </w:r>
      <w:r w:rsidR="009E45B1" w:rsidRPr="00960AAA">
        <w:t>and meat consumption</w:t>
      </w:r>
      <w:r w:rsidR="009E45B1" w:rsidRPr="009E45B1">
        <w:t xml:space="preserve"> </w:t>
      </w:r>
      <w:r w:rsidRPr="009E45B1">
        <w:t>of study participants</w:t>
      </w:r>
      <w:r w:rsidR="009E45B1">
        <w:t xml:space="preserve"> in the EPIC-Norfolk study</w:t>
      </w:r>
    </w:p>
    <w:p w14:paraId="71A8C5BD" w14:textId="4811D8D6" w:rsidR="009E45B1" w:rsidRDefault="00871F49" w:rsidP="007A0D21">
      <w:r>
        <w:t>T</w:t>
      </w:r>
      <w:r w:rsidR="00AD120E">
        <w:t xml:space="preserve">he baseline characteristics of the </w:t>
      </w:r>
      <w:r>
        <w:t>participants</w:t>
      </w:r>
      <w:r w:rsidR="00AD120E">
        <w:t xml:space="preserve"> in the exploratory and</w:t>
      </w:r>
      <w:r w:rsidR="00CE55E3">
        <w:t xml:space="preserve"> </w:t>
      </w:r>
      <w:r w:rsidR="00ED7D42">
        <w:t xml:space="preserve">validation </w:t>
      </w:r>
      <w:r w:rsidR="00CE55E3">
        <w:t>set</w:t>
      </w:r>
      <w:r w:rsidR="006901D9">
        <w:t>s</w:t>
      </w:r>
      <w:r>
        <w:t xml:space="preserve"> </w:t>
      </w:r>
      <w:r w:rsidR="009E45B1">
        <w:t xml:space="preserve">within the EPIC-Norfolk study </w:t>
      </w:r>
      <w:r>
        <w:t xml:space="preserve">are shown in </w:t>
      </w:r>
      <w:r w:rsidRPr="00F84020">
        <w:rPr>
          <w:b/>
          <w:i/>
        </w:rPr>
        <w:t>Table 1</w:t>
      </w:r>
      <w:r w:rsidR="00614047">
        <w:t xml:space="preserve">. Among the </w:t>
      </w:r>
      <w:r>
        <w:t>11</w:t>
      </w:r>
      <w:r w:rsidR="007A0D21">
        <w:t>,</w:t>
      </w:r>
      <w:r>
        <w:t xml:space="preserve">432 </w:t>
      </w:r>
      <w:r w:rsidR="00AD120E">
        <w:t>participants</w:t>
      </w:r>
      <w:r w:rsidR="009E45B1">
        <w:t xml:space="preserve"> in the exploratory set, </w:t>
      </w:r>
      <w:r w:rsidR="00CE55E3">
        <w:t xml:space="preserve">46% </w:t>
      </w:r>
      <w:r w:rsidR="009E45B1">
        <w:t>were male and the mean</w:t>
      </w:r>
      <w:r w:rsidR="00AD120E">
        <w:t xml:space="preserve"> (</w:t>
      </w:r>
      <w:r w:rsidR="001F4C77">
        <w:t>SD</w:t>
      </w:r>
      <w:r w:rsidR="00AD120E">
        <w:t xml:space="preserve">) age </w:t>
      </w:r>
      <w:r w:rsidR="009E45B1">
        <w:t xml:space="preserve">at baseline </w:t>
      </w:r>
      <w:r w:rsidR="00AD120E">
        <w:t>was 59.6 (</w:t>
      </w:r>
      <w:r>
        <w:t>9.0</w:t>
      </w:r>
      <w:r w:rsidR="00AD120E">
        <w:t xml:space="preserve">) years. </w:t>
      </w:r>
      <w:r w:rsidR="00CE55E3">
        <w:t>The mean (SD) meat consumption in g/d was 34.</w:t>
      </w:r>
      <w:r>
        <w:t>4</w:t>
      </w:r>
      <w:r w:rsidR="00CE55E3">
        <w:t xml:space="preserve"> (29.</w:t>
      </w:r>
      <w:r>
        <w:t>3</w:t>
      </w:r>
      <w:r w:rsidR="00CE55E3">
        <w:t>) for red meat, 22.</w:t>
      </w:r>
      <w:r>
        <w:t>5</w:t>
      </w:r>
      <w:r w:rsidR="00CE55E3">
        <w:t xml:space="preserve"> (2</w:t>
      </w:r>
      <w:r>
        <w:t>1.0</w:t>
      </w:r>
      <w:r w:rsidR="00CE55E3">
        <w:t>) for processed meat, and 2</w:t>
      </w:r>
      <w:r>
        <w:t>4.8</w:t>
      </w:r>
      <w:r w:rsidR="00CE55E3">
        <w:t xml:space="preserve"> (27.</w:t>
      </w:r>
      <w:r>
        <w:t>5</w:t>
      </w:r>
      <w:r w:rsidR="00CE55E3">
        <w:t xml:space="preserve">) for poultry. </w:t>
      </w:r>
      <w:r w:rsidR="00506159">
        <w:t>The characteristics in</w:t>
      </w:r>
      <w:r w:rsidR="009758BE">
        <w:t xml:space="preserve"> </w:t>
      </w:r>
      <w:r w:rsidR="009758BE" w:rsidRPr="00F411B2">
        <w:t>the</w:t>
      </w:r>
      <w:r w:rsidR="00506159" w:rsidRPr="00F411B2">
        <w:t xml:space="preserve"> </w:t>
      </w:r>
      <w:r w:rsidR="00ED7D42" w:rsidRPr="00F411B2">
        <w:t xml:space="preserve">validation </w:t>
      </w:r>
      <w:r w:rsidR="00506159" w:rsidRPr="00F411B2">
        <w:t>set</w:t>
      </w:r>
      <w:r w:rsidR="00401724">
        <w:t xml:space="preserve"> (</w:t>
      </w:r>
      <w:r w:rsidR="002221E9">
        <w:t>n</w:t>
      </w:r>
      <w:r w:rsidR="00401724">
        <w:t>=853)</w:t>
      </w:r>
      <w:r w:rsidR="00506159" w:rsidRPr="00F411B2">
        <w:t xml:space="preserve"> were </w:t>
      </w:r>
      <w:r w:rsidR="009E45B1" w:rsidRPr="00F411B2">
        <w:t xml:space="preserve">broadly </w:t>
      </w:r>
      <w:r w:rsidR="00506159" w:rsidRPr="00F411B2">
        <w:t xml:space="preserve">similar </w:t>
      </w:r>
      <w:r w:rsidR="002A38C1" w:rsidRPr="00F411B2">
        <w:t xml:space="preserve">to those in the exploratory </w:t>
      </w:r>
      <w:r w:rsidR="00506159" w:rsidRPr="00F411B2">
        <w:t>set.</w:t>
      </w:r>
    </w:p>
    <w:p w14:paraId="2890E091" w14:textId="77777777" w:rsidR="00833105" w:rsidRDefault="00833105" w:rsidP="007A0D21"/>
    <w:p w14:paraId="5D51F047" w14:textId="71467B21" w:rsidR="000A11C5" w:rsidRDefault="000A11C5" w:rsidP="00EF3667">
      <w:pPr>
        <w:pStyle w:val="Heading2"/>
      </w:pPr>
      <w:r>
        <w:t xml:space="preserve">Development and </w:t>
      </w:r>
      <w:r w:rsidR="00ED7D42">
        <w:t xml:space="preserve">validation </w:t>
      </w:r>
      <w:r>
        <w:t xml:space="preserve">of </w:t>
      </w:r>
      <w:r w:rsidR="00AF2716">
        <w:t>metabolite</w:t>
      </w:r>
      <w:r>
        <w:t xml:space="preserve"> scores for meat </w:t>
      </w:r>
      <w:r w:rsidR="00506159">
        <w:t>consumption</w:t>
      </w:r>
    </w:p>
    <w:p w14:paraId="063DED7D" w14:textId="11102E73" w:rsidR="009E45B1" w:rsidRPr="001C203E" w:rsidRDefault="000A11C5" w:rsidP="00DD3F97">
      <w:pPr>
        <w:pStyle w:val="CommentText"/>
        <w:rPr>
          <w:sz w:val="24"/>
          <w:szCs w:val="24"/>
        </w:rPr>
      </w:pPr>
      <w:r w:rsidRPr="001C203E">
        <w:rPr>
          <w:sz w:val="24"/>
          <w:szCs w:val="24"/>
        </w:rPr>
        <w:t>In the exploratory set</w:t>
      </w:r>
      <w:r w:rsidR="009E45B1" w:rsidRPr="001C203E">
        <w:rPr>
          <w:sz w:val="24"/>
          <w:szCs w:val="24"/>
        </w:rPr>
        <w:t xml:space="preserve"> in the EPIC-Norfolk study</w:t>
      </w:r>
      <w:r w:rsidRPr="001C203E">
        <w:rPr>
          <w:sz w:val="24"/>
          <w:szCs w:val="24"/>
        </w:rPr>
        <w:t xml:space="preserve">, </w:t>
      </w:r>
      <w:r w:rsidR="00015F41" w:rsidRPr="001C203E">
        <w:rPr>
          <w:sz w:val="24"/>
          <w:szCs w:val="24"/>
        </w:rPr>
        <w:t>139</w:t>
      </w:r>
      <w:r w:rsidR="009E4378" w:rsidRPr="001C203E">
        <w:rPr>
          <w:sz w:val="24"/>
          <w:szCs w:val="24"/>
        </w:rPr>
        <w:t xml:space="preserve"> </w:t>
      </w:r>
      <w:r w:rsidRPr="001C203E">
        <w:rPr>
          <w:sz w:val="24"/>
          <w:szCs w:val="24"/>
        </w:rPr>
        <w:t xml:space="preserve">metabolites </w:t>
      </w:r>
      <w:r w:rsidR="00732937" w:rsidRPr="001C203E">
        <w:rPr>
          <w:sz w:val="24"/>
          <w:szCs w:val="24"/>
        </w:rPr>
        <w:t xml:space="preserve">were </w:t>
      </w:r>
      <w:r w:rsidRPr="001C203E">
        <w:rPr>
          <w:sz w:val="24"/>
          <w:szCs w:val="24"/>
        </w:rPr>
        <w:t xml:space="preserve">identified </w:t>
      </w:r>
      <w:r w:rsidR="001D64FA" w:rsidRPr="001C203E">
        <w:rPr>
          <w:sz w:val="24"/>
          <w:szCs w:val="24"/>
        </w:rPr>
        <w:t>to be</w:t>
      </w:r>
      <w:r w:rsidR="009E45B1" w:rsidRPr="001C203E">
        <w:rPr>
          <w:sz w:val="24"/>
          <w:szCs w:val="24"/>
        </w:rPr>
        <w:t xml:space="preserve"> </w:t>
      </w:r>
      <w:r w:rsidR="00CD4F79" w:rsidRPr="001C203E">
        <w:rPr>
          <w:sz w:val="24"/>
          <w:szCs w:val="24"/>
        </w:rPr>
        <w:t>associated with</w:t>
      </w:r>
      <w:r w:rsidR="00106BCF" w:rsidRPr="001C203E">
        <w:rPr>
          <w:sz w:val="24"/>
          <w:szCs w:val="24"/>
        </w:rPr>
        <w:t xml:space="preserve"> </w:t>
      </w:r>
      <w:r w:rsidRPr="001C203E">
        <w:rPr>
          <w:sz w:val="24"/>
          <w:szCs w:val="24"/>
        </w:rPr>
        <w:t>red meat consumption</w:t>
      </w:r>
      <w:r w:rsidR="001D64FA" w:rsidRPr="001C203E">
        <w:rPr>
          <w:sz w:val="24"/>
          <w:szCs w:val="24"/>
        </w:rPr>
        <w:t>, and they</w:t>
      </w:r>
      <w:r w:rsidRPr="001C203E">
        <w:rPr>
          <w:sz w:val="24"/>
          <w:szCs w:val="24"/>
        </w:rPr>
        <w:t xml:space="preserve"> </w:t>
      </w:r>
      <w:r w:rsidR="00732937" w:rsidRPr="001C203E">
        <w:rPr>
          <w:sz w:val="24"/>
          <w:szCs w:val="24"/>
        </w:rPr>
        <w:t xml:space="preserve">were </w:t>
      </w:r>
      <w:r w:rsidR="009E45B1" w:rsidRPr="001C203E">
        <w:rPr>
          <w:sz w:val="24"/>
          <w:szCs w:val="24"/>
        </w:rPr>
        <w:t>assembled into a composite red meat</w:t>
      </w:r>
      <w:r w:rsidRPr="001C203E">
        <w:rPr>
          <w:sz w:val="24"/>
          <w:szCs w:val="24"/>
        </w:rPr>
        <w:t xml:space="preserve"> </w:t>
      </w:r>
      <w:r w:rsidR="00AF2716" w:rsidRPr="001C203E">
        <w:rPr>
          <w:sz w:val="24"/>
          <w:szCs w:val="24"/>
        </w:rPr>
        <w:t>metabolite</w:t>
      </w:r>
      <w:r w:rsidRPr="001C203E">
        <w:rPr>
          <w:sz w:val="24"/>
          <w:szCs w:val="24"/>
        </w:rPr>
        <w:t xml:space="preserve"> score. Th</w:t>
      </w:r>
      <w:r w:rsidR="009E45B1" w:rsidRPr="001C203E">
        <w:rPr>
          <w:sz w:val="24"/>
          <w:szCs w:val="24"/>
        </w:rPr>
        <w:t>i</w:t>
      </w:r>
      <w:r w:rsidRPr="001C203E">
        <w:rPr>
          <w:sz w:val="24"/>
          <w:szCs w:val="24"/>
        </w:rPr>
        <w:t xml:space="preserve">s score </w:t>
      </w:r>
      <w:r w:rsidR="009E45B1" w:rsidRPr="001C203E">
        <w:rPr>
          <w:sz w:val="24"/>
          <w:szCs w:val="24"/>
        </w:rPr>
        <w:t xml:space="preserve">was made up of </w:t>
      </w:r>
      <w:r w:rsidR="005C6292" w:rsidRPr="001C203E">
        <w:rPr>
          <w:sz w:val="24"/>
          <w:szCs w:val="24"/>
        </w:rPr>
        <w:t>49</w:t>
      </w:r>
      <w:r w:rsidR="00A90F7A" w:rsidRPr="001C203E">
        <w:rPr>
          <w:sz w:val="24"/>
          <w:szCs w:val="24"/>
        </w:rPr>
        <w:t xml:space="preserve"> (1</w:t>
      </w:r>
      <w:r w:rsidR="005C6292" w:rsidRPr="001C203E">
        <w:rPr>
          <w:sz w:val="24"/>
          <w:szCs w:val="24"/>
        </w:rPr>
        <w:t>9.3</w:t>
      </w:r>
      <w:r w:rsidR="00A90F7A" w:rsidRPr="001C203E">
        <w:rPr>
          <w:sz w:val="24"/>
          <w:szCs w:val="24"/>
        </w:rPr>
        <w:t>%) lipids and</w:t>
      </w:r>
      <w:r w:rsidRPr="001C203E">
        <w:rPr>
          <w:sz w:val="24"/>
          <w:szCs w:val="24"/>
        </w:rPr>
        <w:t xml:space="preserve"> 3</w:t>
      </w:r>
      <w:r w:rsidR="00B96064" w:rsidRPr="001C203E">
        <w:rPr>
          <w:sz w:val="24"/>
          <w:szCs w:val="24"/>
        </w:rPr>
        <w:t>0</w:t>
      </w:r>
      <w:r w:rsidRPr="001C203E">
        <w:rPr>
          <w:sz w:val="24"/>
          <w:szCs w:val="24"/>
        </w:rPr>
        <w:t xml:space="preserve"> (2</w:t>
      </w:r>
      <w:r w:rsidR="005C6292" w:rsidRPr="001C203E">
        <w:rPr>
          <w:sz w:val="24"/>
          <w:szCs w:val="24"/>
        </w:rPr>
        <w:t>2</w:t>
      </w:r>
      <w:r w:rsidRPr="001C203E">
        <w:rPr>
          <w:sz w:val="24"/>
          <w:szCs w:val="24"/>
        </w:rPr>
        <w:t>.</w:t>
      </w:r>
      <w:r w:rsidR="005C6292" w:rsidRPr="001C203E">
        <w:rPr>
          <w:sz w:val="24"/>
          <w:szCs w:val="24"/>
        </w:rPr>
        <w:t>2</w:t>
      </w:r>
      <w:r w:rsidRPr="001C203E">
        <w:rPr>
          <w:sz w:val="24"/>
          <w:szCs w:val="24"/>
        </w:rPr>
        <w:t xml:space="preserve">%) amino acids, other metabolite classes such as </w:t>
      </w:r>
      <w:proofErr w:type="spellStart"/>
      <w:r w:rsidR="009E45B1" w:rsidRPr="001C203E">
        <w:rPr>
          <w:sz w:val="24"/>
          <w:szCs w:val="24"/>
        </w:rPr>
        <w:t>xenobiotics</w:t>
      </w:r>
      <w:proofErr w:type="spellEnd"/>
      <w:r w:rsidR="009E45B1" w:rsidRPr="001C203E">
        <w:rPr>
          <w:sz w:val="24"/>
          <w:szCs w:val="24"/>
        </w:rPr>
        <w:t xml:space="preserve"> (n=1</w:t>
      </w:r>
      <w:r w:rsidR="005C6292" w:rsidRPr="001C203E">
        <w:rPr>
          <w:sz w:val="24"/>
          <w:szCs w:val="24"/>
        </w:rPr>
        <w:t>4</w:t>
      </w:r>
      <w:r w:rsidR="009E45B1" w:rsidRPr="001C203E">
        <w:rPr>
          <w:sz w:val="24"/>
          <w:szCs w:val="24"/>
        </w:rPr>
        <w:t xml:space="preserve">, </w:t>
      </w:r>
      <w:r w:rsidR="005C6292" w:rsidRPr="001C203E">
        <w:rPr>
          <w:sz w:val="24"/>
          <w:szCs w:val="24"/>
        </w:rPr>
        <w:t>12.5</w:t>
      </w:r>
      <w:r w:rsidRPr="001C203E">
        <w:rPr>
          <w:sz w:val="24"/>
          <w:szCs w:val="24"/>
        </w:rPr>
        <w:t>%)</w:t>
      </w:r>
      <w:r w:rsidR="009E45B1" w:rsidRPr="001C203E">
        <w:rPr>
          <w:sz w:val="24"/>
          <w:szCs w:val="24"/>
        </w:rPr>
        <w:t xml:space="preserve"> and</w:t>
      </w:r>
      <w:r w:rsidRPr="001C203E">
        <w:rPr>
          <w:sz w:val="24"/>
          <w:szCs w:val="24"/>
        </w:rPr>
        <w:t xml:space="preserve"> </w:t>
      </w:r>
      <w:r w:rsidR="005C6292" w:rsidRPr="001C203E">
        <w:rPr>
          <w:sz w:val="24"/>
          <w:szCs w:val="24"/>
        </w:rPr>
        <w:t xml:space="preserve">36 </w:t>
      </w:r>
      <w:r w:rsidRPr="001C203E">
        <w:rPr>
          <w:sz w:val="24"/>
          <w:szCs w:val="24"/>
        </w:rPr>
        <w:t>(1</w:t>
      </w:r>
      <w:r w:rsidR="00A90F7A" w:rsidRPr="001C203E">
        <w:rPr>
          <w:sz w:val="24"/>
          <w:szCs w:val="24"/>
        </w:rPr>
        <w:t>8.</w:t>
      </w:r>
      <w:r w:rsidR="005C6292" w:rsidRPr="001C203E">
        <w:rPr>
          <w:sz w:val="24"/>
          <w:szCs w:val="24"/>
        </w:rPr>
        <w:t>4</w:t>
      </w:r>
      <w:r w:rsidRPr="001C203E">
        <w:rPr>
          <w:sz w:val="24"/>
          <w:szCs w:val="24"/>
        </w:rPr>
        <w:t>%) unknown metabolites (</w:t>
      </w:r>
      <w:r w:rsidRPr="001C203E">
        <w:rPr>
          <w:b/>
          <w:i/>
          <w:sz w:val="24"/>
          <w:szCs w:val="24"/>
        </w:rPr>
        <w:t>Figure 2</w:t>
      </w:r>
      <w:r w:rsidR="00C22AB0" w:rsidRPr="001C203E">
        <w:rPr>
          <w:i/>
          <w:sz w:val="24"/>
          <w:szCs w:val="24"/>
        </w:rPr>
        <w:t xml:space="preserve">, </w:t>
      </w:r>
      <w:r w:rsidR="00C22AB0" w:rsidRPr="00F84020">
        <w:rPr>
          <w:b/>
          <w:i/>
          <w:sz w:val="24"/>
          <w:szCs w:val="24"/>
        </w:rPr>
        <w:t xml:space="preserve">Supplementary Table </w:t>
      </w:r>
      <w:r w:rsidR="003767BD">
        <w:rPr>
          <w:b/>
          <w:i/>
          <w:sz w:val="24"/>
          <w:szCs w:val="24"/>
        </w:rPr>
        <w:t>2</w:t>
      </w:r>
      <w:r w:rsidRPr="001C203E">
        <w:rPr>
          <w:sz w:val="24"/>
          <w:szCs w:val="24"/>
        </w:rPr>
        <w:t>).</w:t>
      </w:r>
      <w:r w:rsidR="00CC24D7" w:rsidRPr="001C203E">
        <w:rPr>
          <w:sz w:val="24"/>
          <w:szCs w:val="24"/>
        </w:rPr>
        <w:t xml:space="preserve"> </w:t>
      </w:r>
      <w:r w:rsidRPr="001C203E">
        <w:rPr>
          <w:sz w:val="24"/>
          <w:szCs w:val="24"/>
        </w:rPr>
        <w:t>The</w:t>
      </w:r>
      <w:r w:rsidR="00A90F7A" w:rsidRPr="001C203E">
        <w:rPr>
          <w:sz w:val="24"/>
          <w:szCs w:val="24"/>
        </w:rPr>
        <w:t xml:space="preserve"> top 5</w:t>
      </w:r>
      <w:r w:rsidR="00DD3F97" w:rsidRPr="001C203E">
        <w:rPr>
          <w:sz w:val="24"/>
          <w:szCs w:val="24"/>
        </w:rPr>
        <w:t xml:space="preserve"> </w:t>
      </w:r>
      <w:r w:rsidRPr="001C203E">
        <w:rPr>
          <w:sz w:val="24"/>
          <w:szCs w:val="24"/>
        </w:rPr>
        <w:t xml:space="preserve">metabolites with </w:t>
      </w:r>
      <w:r w:rsidR="00A90F7A" w:rsidRPr="001C203E">
        <w:rPr>
          <w:sz w:val="24"/>
          <w:szCs w:val="24"/>
        </w:rPr>
        <w:t xml:space="preserve">positive coefficients </w:t>
      </w:r>
      <w:r w:rsidR="009E45B1" w:rsidRPr="001C203E">
        <w:rPr>
          <w:sz w:val="24"/>
          <w:szCs w:val="24"/>
        </w:rPr>
        <w:t>were</w:t>
      </w:r>
      <w:r w:rsidR="000D1D61" w:rsidRPr="001C203E">
        <w:rPr>
          <w:sz w:val="24"/>
          <w:szCs w:val="24"/>
        </w:rPr>
        <w:t xml:space="preserve"> 1-(1-enyl-stearoyl)-2-arachidonoyl-</w:t>
      </w:r>
      <w:r w:rsidR="001F4C77" w:rsidRPr="001F4C77">
        <w:t xml:space="preserve"> </w:t>
      </w:r>
      <w:proofErr w:type="spellStart"/>
      <w:r w:rsidR="001F4C77" w:rsidRPr="001F4C77">
        <w:rPr>
          <w:sz w:val="24"/>
          <w:szCs w:val="24"/>
        </w:rPr>
        <w:t>glycerophosphoethanolamine</w:t>
      </w:r>
      <w:proofErr w:type="spellEnd"/>
      <w:r w:rsidR="001F4C77" w:rsidRPr="001F4C77">
        <w:rPr>
          <w:sz w:val="24"/>
          <w:szCs w:val="24"/>
        </w:rPr>
        <w:t xml:space="preserve"> </w:t>
      </w:r>
      <w:r w:rsidR="001F4C77">
        <w:rPr>
          <w:sz w:val="24"/>
          <w:szCs w:val="24"/>
        </w:rPr>
        <w:t>(</w:t>
      </w:r>
      <w:r w:rsidR="000D1D61" w:rsidRPr="001C203E">
        <w:rPr>
          <w:sz w:val="24"/>
          <w:szCs w:val="24"/>
        </w:rPr>
        <w:t>GPE</w:t>
      </w:r>
      <w:r w:rsidR="001F4C77">
        <w:rPr>
          <w:sz w:val="24"/>
          <w:szCs w:val="24"/>
        </w:rPr>
        <w:t>)</w:t>
      </w:r>
      <w:r w:rsidR="000D1D61" w:rsidRPr="001C203E">
        <w:rPr>
          <w:sz w:val="24"/>
          <w:szCs w:val="24"/>
        </w:rPr>
        <w:t xml:space="preserve"> (P-18:0/20:4)</w:t>
      </w:r>
      <w:r w:rsidR="00A90F7A" w:rsidRPr="001C203E">
        <w:rPr>
          <w:sz w:val="24"/>
          <w:szCs w:val="24"/>
        </w:rPr>
        <w:t xml:space="preserve">, </w:t>
      </w:r>
      <w:r w:rsidR="00DD3F97" w:rsidRPr="001C203E">
        <w:rPr>
          <w:sz w:val="24"/>
          <w:szCs w:val="24"/>
        </w:rPr>
        <w:t>1-(1-enyl-stearoyl)-2-arachidonoyl-</w:t>
      </w:r>
      <w:r w:rsidR="009E3768" w:rsidRPr="009E3768">
        <w:t xml:space="preserve"> </w:t>
      </w:r>
      <w:proofErr w:type="spellStart"/>
      <w:r w:rsidR="009E3768" w:rsidRPr="00F84020">
        <w:rPr>
          <w:sz w:val="24"/>
        </w:rPr>
        <w:t>glycerophosphocholine</w:t>
      </w:r>
      <w:proofErr w:type="spellEnd"/>
      <w:r w:rsidR="009E3768" w:rsidRPr="001C203E">
        <w:rPr>
          <w:sz w:val="24"/>
          <w:szCs w:val="24"/>
        </w:rPr>
        <w:t xml:space="preserve"> </w:t>
      </w:r>
      <w:r w:rsidR="009E3768">
        <w:rPr>
          <w:sz w:val="24"/>
          <w:szCs w:val="24"/>
        </w:rPr>
        <w:t>(</w:t>
      </w:r>
      <w:r w:rsidR="00DD3F97" w:rsidRPr="001C203E">
        <w:rPr>
          <w:sz w:val="24"/>
          <w:szCs w:val="24"/>
        </w:rPr>
        <w:t>GPC</w:t>
      </w:r>
      <w:r w:rsidR="009E3768">
        <w:rPr>
          <w:sz w:val="24"/>
          <w:szCs w:val="24"/>
        </w:rPr>
        <w:t>)</w:t>
      </w:r>
      <w:r w:rsidR="00DD3F97" w:rsidRPr="001C203E">
        <w:rPr>
          <w:sz w:val="24"/>
          <w:szCs w:val="24"/>
        </w:rPr>
        <w:t xml:space="preserve"> (P-18:0/20:4), 1-margaroyl-2-oleoyl-GPC (17:0/18:1), </w:t>
      </w:r>
      <w:r w:rsidR="00A90F7A" w:rsidRPr="001C203E">
        <w:rPr>
          <w:sz w:val="24"/>
          <w:szCs w:val="24"/>
        </w:rPr>
        <w:t>trans-4-hydroxyproline,</w:t>
      </w:r>
      <w:r w:rsidR="00DD3F97" w:rsidRPr="001C203E">
        <w:rPr>
          <w:sz w:val="24"/>
          <w:szCs w:val="24"/>
        </w:rPr>
        <w:t xml:space="preserve"> and </w:t>
      </w:r>
      <w:r w:rsidR="009430BC">
        <w:rPr>
          <w:sz w:val="24"/>
          <w:szCs w:val="24"/>
        </w:rPr>
        <w:t>V</w:t>
      </w:r>
      <w:r w:rsidR="00DD3F97" w:rsidRPr="001C203E">
        <w:rPr>
          <w:sz w:val="24"/>
          <w:szCs w:val="24"/>
        </w:rPr>
        <w:t>erapamil</w:t>
      </w:r>
      <w:r w:rsidRPr="001C203E">
        <w:rPr>
          <w:sz w:val="24"/>
          <w:szCs w:val="24"/>
        </w:rPr>
        <w:t>. The derived</w:t>
      </w:r>
      <w:r w:rsidR="0034249B" w:rsidRPr="001C203E">
        <w:rPr>
          <w:sz w:val="24"/>
          <w:szCs w:val="24"/>
        </w:rPr>
        <w:t xml:space="preserve"> </w:t>
      </w:r>
      <w:r w:rsidR="00AF2716" w:rsidRPr="001C203E">
        <w:rPr>
          <w:sz w:val="24"/>
          <w:szCs w:val="24"/>
        </w:rPr>
        <w:t>metabolite</w:t>
      </w:r>
      <w:r w:rsidRPr="001C203E">
        <w:rPr>
          <w:sz w:val="24"/>
          <w:szCs w:val="24"/>
        </w:rPr>
        <w:t xml:space="preserve"> score f</w:t>
      </w:r>
      <w:r w:rsidR="009E45B1" w:rsidRPr="001C203E">
        <w:rPr>
          <w:sz w:val="24"/>
          <w:szCs w:val="24"/>
        </w:rPr>
        <w:t>or</w:t>
      </w:r>
      <w:r w:rsidRPr="001C203E">
        <w:rPr>
          <w:sz w:val="24"/>
          <w:szCs w:val="24"/>
        </w:rPr>
        <w:t xml:space="preserve"> red meat </w:t>
      </w:r>
      <w:r w:rsidR="009E4378" w:rsidRPr="001C203E">
        <w:rPr>
          <w:sz w:val="24"/>
          <w:szCs w:val="24"/>
        </w:rPr>
        <w:t xml:space="preserve">consumption achieved an explained variance of 24% and 17% in the exploratory and </w:t>
      </w:r>
      <w:r w:rsidR="00ED7D42" w:rsidRPr="001C203E">
        <w:rPr>
          <w:sz w:val="24"/>
          <w:szCs w:val="24"/>
        </w:rPr>
        <w:t xml:space="preserve">validation </w:t>
      </w:r>
      <w:r w:rsidR="009E4378" w:rsidRPr="001C203E">
        <w:rPr>
          <w:sz w:val="24"/>
          <w:szCs w:val="24"/>
        </w:rPr>
        <w:t xml:space="preserve">sets. </w:t>
      </w:r>
      <w:r w:rsidR="00732937" w:rsidRPr="001C203E">
        <w:rPr>
          <w:sz w:val="24"/>
          <w:szCs w:val="24"/>
        </w:rPr>
        <w:t xml:space="preserve">The </w:t>
      </w:r>
      <w:r w:rsidR="00AF2716" w:rsidRPr="001C203E">
        <w:rPr>
          <w:sz w:val="24"/>
          <w:szCs w:val="24"/>
        </w:rPr>
        <w:t>metabolite</w:t>
      </w:r>
      <w:r w:rsidR="00732937" w:rsidRPr="001C203E">
        <w:rPr>
          <w:sz w:val="24"/>
          <w:szCs w:val="24"/>
        </w:rPr>
        <w:t xml:space="preserve"> score for red meat intake was</w:t>
      </w:r>
      <w:r w:rsidR="00D0408A" w:rsidRPr="001C203E">
        <w:rPr>
          <w:sz w:val="24"/>
          <w:szCs w:val="24"/>
        </w:rPr>
        <w:t xml:space="preserve"> associated with quintiles of self-reported meat intake (</w:t>
      </w:r>
      <w:r w:rsidR="00D0408A" w:rsidRPr="001C203E">
        <w:rPr>
          <w:b/>
          <w:i/>
          <w:sz w:val="24"/>
          <w:szCs w:val="24"/>
        </w:rPr>
        <w:t xml:space="preserve">Figure </w:t>
      </w:r>
      <w:r w:rsidR="00590397" w:rsidRPr="001C203E">
        <w:rPr>
          <w:b/>
          <w:i/>
          <w:sz w:val="24"/>
          <w:szCs w:val="24"/>
        </w:rPr>
        <w:t>3</w:t>
      </w:r>
      <w:r w:rsidR="00D0408A" w:rsidRPr="001C203E">
        <w:rPr>
          <w:sz w:val="24"/>
          <w:szCs w:val="24"/>
        </w:rPr>
        <w:t>). It was also</w:t>
      </w:r>
      <w:r w:rsidR="00732937" w:rsidRPr="001C203E">
        <w:rPr>
          <w:sz w:val="24"/>
          <w:szCs w:val="24"/>
        </w:rPr>
        <w:t xml:space="preserve"> significantly </w:t>
      </w:r>
      <w:r w:rsidR="00232E37" w:rsidRPr="001C203E">
        <w:rPr>
          <w:sz w:val="24"/>
          <w:szCs w:val="24"/>
        </w:rPr>
        <w:t>higher</w:t>
      </w:r>
      <w:r w:rsidR="00732937" w:rsidRPr="001C203E">
        <w:rPr>
          <w:sz w:val="24"/>
          <w:szCs w:val="24"/>
        </w:rPr>
        <w:t xml:space="preserve"> in the subgroup</w:t>
      </w:r>
      <w:r w:rsidR="00232E37" w:rsidRPr="001C203E">
        <w:rPr>
          <w:sz w:val="24"/>
          <w:szCs w:val="24"/>
        </w:rPr>
        <w:t>s</w:t>
      </w:r>
      <w:r w:rsidR="00732937" w:rsidRPr="001C203E">
        <w:rPr>
          <w:sz w:val="24"/>
          <w:szCs w:val="24"/>
        </w:rPr>
        <w:t xml:space="preserve"> of </w:t>
      </w:r>
      <w:r w:rsidR="009E45B1" w:rsidRPr="001C203E">
        <w:rPr>
          <w:sz w:val="24"/>
          <w:szCs w:val="24"/>
        </w:rPr>
        <w:t xml:space="preserve">self-reported </w:t>
      </w:r>
      <w:r w:rsidR="00232E37" w:rsidRPr="001C203E">
        <w:rPr>
          <w:sz w:val="24"/>
          <w:szCs w:val="24"/>
        </w:rPr>
        <w:t xml:space="preserve">red </w:t>
      </w:r>
      <w:r w:rsidR="00732937" w:rsidRPr="001C203E">
        <w:rPr>
          <w:sz w:val="24"/>
          <w:szCs w:val="24"/>
        </w:rPr>
        <w:t xml:space="preserve">meat consumers and </w:t>
      </w:r>
      <w:r w:rsidR="00232E37" w:rsidRPr="001C203E">
        <w:rPr>
          <w:sz w:val="24"/>
          <w:szCs w:val="24"/>
        </w:rPr>
        <w:t>non-vegetarians, compared</w:t>
      </w:r>
      <w:r w:rsidR="00732937" w:rsidRPr="001C203E">
        <w:rPr>
          <w:sz w:val="24"/>
          <w:szCs w:val="24"/>
        </w:rPr>
        <w:t xml:space="preserve"> to </w:t>
      </w:r>
      <w:r w:rsidR="00232E37" w:rsidRPr="001C203E">
        <w:rPr>
          <w:sz w:val="24"/>
          <w:szCs w:val="24"/>
        </w:rPr>
        <w:t>non-consumers of red meat and vegetarians</w:t>
      </w:r>
      <w:r w:rsidR="0037535B" w:rsidRPr="001C203E">
        <w:rPr>
          <w:sz w:val="24"/>
          <w:szCs w:val="24"/>
        </w:rPr>
        <w:t>,</w:t>
      </w:r>
      <w:r w:rsidR="00232E37" w:rsidRPr="001C203E">
        <w:rPr>
          <w:sz w:val="24"/>
          <w:szCs w:val="24"/>
        </w:rPr>
        <w:t xml:space="preserve"> respectively.</w:t>
      </w:r>
    </w:p>
    <w:p w14:paraId="4EDDE4EB" w14:textId="77777777" w:rsidR="00A2457D" w:rsidRDefault="00A2457D" w:rsidP="00426E25"/>
    <w:p w14:paraId="652F8228" w14:textId="667D90FF" w:rsidR="000A11C5" w:rsidRDefault="009E45B1" w:rsidP="00052B50">
      <w:r>
        <w:t xml:space="preserve">The </w:t>
      </w:r>
      <w:r w:rsidR="00AF2716">
        <w:t>metabolite</w:t>
      </w:r>
      <w:r w:rsidR="000A11C5">
        <w:t xml:space="preserve"> scores for processed meat </w:t>
      </w:r>
      <w:r w:rsidR="009F7F67">
        <w:t xml:space="preserve">consumption </w:t>
      </w:r>
      <w:r w:rsidR="000A11C5">
        <w:t xml:space="preserve">and poultry </w:t>
      </w:r>
      <w:r w:rsidR="0037535B">
        <w:t xml:space="preserve">consumption </w:t>
      </w:r>
      <w:r w:rsidR="000A11C5">
        <w:t>consisted of 8</w:t>
      </w:r>
      <w:r w:rsidR="003D6867">
        <w:t>2</w:t>
      </w:r>
      <w:r w:rsidR="000A11C5">
        <w:t xml:space="preserve"> and </w:t>
      </w:r>
      <w:r w:rsidR="003D6867">
        <w:t xml:space="preserve">49 </w:t>
      </w:r>
      <w:r w:rsidR="00C37F90">
        <w:t xml:space="preserve">predictive </w:t>
      </w:r>
      <w:r w:rsidR="000A11C5">
        <w:t>metabolites</w:t>
      </w:r>
      <w:r w:rsidR="009F7F67">
        <w:t>,</w:t>
      </w:r>
      <w:r w:rsidR="000A11C5">
        <w:t xml:space="preserve"> respectivel</w:t>
      </w:r>
      <w:r>
        <w:t>y</w:t>
      </w:r>
      <w:r w:rsidR="009F7F67">
        <w:t>,</w:t>
      </w:r>
      <w:r>
        <w:t xml:space="preserve"> </w:t>
      </w:r>
      <w:r w:rsidR="00590397">
        <w:t>and</w:t>
      </w:r>
      <w:r>
        <w:t xml:space="preserve"> were made up predominantly</w:t>
      </w:r>
      <w:r w:rsidR="000A11C5">
        <w:t xml:space="preserve"> of lipids</w:t>
      </w:r>
      <w:r w:rsidR="008156C4">
        <w:t xml:space="preserve"> and amino acids</w:t>
      </w:r>
      <w:r w:rsidR="000A11C5">
        <w:t xml:space="preserve"> (</w:t>
      </w:r>
      <w:r w:rsidR="000A11C5" w:rsidRPr="00DC08FA">
        <w:rPr>
          <w:i/>
        </w:rPr>
        <w:t xml:space="preserve">Figure </w:t>
      </w:r>
      <w:r w:rsidR="000B5C01" w:rsidRPr="00DC08FA">
        <w:rPr>
          <w:i/>
        </w:rPr>
        <w:t>2</w:t>
      </w:r>
      <w:r w:rsidR="004E0404" w:rsidRPr="002301A3">
        <w:rPr>
          <w:b/>
          <w:i/>
        </w:rPr>
        <w:t xml:space="preserve">, Supplementary Tables </w:t>
      </w:r>
      <w:r w:rsidR="003767BD">
        <w:rPr>
          <w:b/>
          <w:i/>
        </w:rPr>
        <w:t>3</w:t>
      </w:r>
      <w:r w:rsidR="003767BD" w:rsidRPr="002301A3">
        <w:rPr>
          <w:b/>
          <w:i/>
        </w:rPr>
        <w:t xml:space="preserve"> </w:t>
      </w:r>
      <w:r w:rsidR="004E0404" w:rsidRPr="002301A3">
        <w:rPr>
          <w:b/>
          <w:i/>
        </w:rPr>
        <w:t xml:space="preserve">and </w:t>
      </w:r>
      <w:r w:rsidR="003767BD">
        <w:rPr>
          <w:b/>
          <w:i/>
        </w:rPr>
        <w:t>4</w:t>
      </w:r>
      <w:r w:rsidR="000A11C5">
        <w:t>).</w:t>
      </w:r>
      <w:r w:rsidR="00FD02CF">
        <w:t xml:space="preserve"> </w:t>
      </w:r>
      <w:r w:rsidR="00C37F90">
        <w:t>The overlapping and dis</w:t>
      </w:r>
      <w:r>
        <w:t>tinct</w:t>
      </w:r>
      <w:r w:rsidR="00C37F90">
        <w:t xml:space="preserve"> sets of metabolites </w:t>
      </w:r>
      <w:r>
        <w:t xml:space="preserve">that were associated with </w:t>
      </w:r>
      <w:r w:rsidR="00C0139D">
        <w:t xml:space="preserve">red meat, processed meat and poultry consumption </w:t>
      </w:r>
      <w:r>
        <w:t>are</w:t>
      </w:r>
      <w:r w:rsidR="00C0139D">
        <w:t xml:space="preserve"> shown in </w:t>
      </w:r>
      <w:r w:rsidR="00C0139D" w:rsidRPr="00AA1D42">
        <w:rPr>
          <w:i/>
        </w:rPr>
        <w:t>Figure</w:t>
      </w:r>
      <w:r w:rsidR="000D1D61" w:rsidRPr="00AA1D42">
        <w:rPr>
          <w:i/>
        </w:rPr>
        <w:t xml:space="preserve"> </w:t>
      </w:r>
      <w:r w:rsidR="00C0139D" w:rsidRPr="00AA1D42">
        <w:rPr>
          <w:i/>
        </w:rPr>
        <w:t>2</w:t>
      </w:r>
      <w:r w:rsidR="00C0139D">
        <w:t>.</w:t>
      </w:r>
      <w:r w:rsidR="00EC3D8A">
        <w:t xml:space="preserve"> </w:t>
      </w:r>
      <w:r w:rsidR="00F052D6">
        <w:t>Six</w:t>
      </w:r>
      <w:r w:rsidR="00426E25">
        <w:t xml:space="preserve"> metabolites </w:t>
      </w:r>
      <w:r w:rsidR="00F052D6">
        <w:t xml:space="preserve">were included in </w:t>
      </w:r>
      <w:r w:rsidR="00426E25">
        <w:t xml:space="preserve">all three </w:t>
      </w:r>
      <w:r w:rsidR="00AF2716">
        <w:t>metabolite</w:t>
      </w:r>
      <w:r w:rsidR="00426E25">
        <w:t xml:space="preserve"> scores:</w:t>
      </w:r>
      <w:r w:rsidR="005E6468">
        <w:t xml:space="preserve"> </w:t>
      </w:r>
      <w:r w:rsidR="00426E25">
        <w:t xml:space="preserve">trans-4-hydroxyproline, </w:t>
      </w:r>
      <w:r w:rsidR="003D6867">
        <w:t>trimethylamine N-oxide (</w:t>
      </w:r>
      <w:r w:rsidR="00426E25">
        <w:t>TMAO</w:t>
      </w:r>
      <w:r w:rsidR="003D6867">
        <w:t>)</w:t>
      </w:r>
      <w:r w:rsidR="00426E25">
        <w:t>, methionine sulfone,</w:t>
      </w:r>
      <w:r w:rsidR="00C13B06">
        <w:t xml:space="preserve"> </w:t>
      </w:r>
      <w:r w:rsidR="00426E25">
        <w:t>sphingomyelin (d18:2/14:0, d18:1/14:1)</w:t>
      </w:r>
      <w:r w:rsidR="00C22AB0">
        <w:t>, N-</w:t>
      </w:r>
      <w:proofErr w:type="spellStart"/>
      <w:r w:rsidR="00C22AB0">
        <w:t>acetylputrescine</w:t>
      </w:r>
      <w:proofErr w:type="spellEnd"/>
      <w:r w:rsidR="00C22AB0">
        <w:t>, and X-11849</w:t>
      </w:r>
      <w:r w:rsidR="00426E25">
        <w:t xml:space="preserve">. </w:t>
      </w:r>
      <w:r w:rsidR="00F052D6">
        <w:t xml:space="preserve">Overall the </w:t>
      </w:r>
      <w:r w:rsidR="00133ADE">
        <w:t>7</w:t>
      </w:r>
      <w:r w:rsidR="00F411B2">
        <w:t>d</w:t>
      </w:r>
      <w:r w:rsidR="00133ADE">
        <w:t xml:space="preserve">DD </w:t>
      </w:r>
      <w:r w:rsidR="00BA76A0">
        <w:t xml:space="preserve">meat intake </w:t>
      </w:r>
      <w:r w:rsidR="00D175B9">
        <w:t xml:space="preserve">variance explained </w:t>
      </w:r>
      <w:r w:rsidR="00BA76A0">
        <w:t xml:space="preserve">by </w:t>
      </w:r>
      <w:r w:rsidR="00FD02CF">
        <w:t>the</w:t>
      </w:r>
      <w:r w:rsidR="00C37F90">
        <w:t xml:space="preserve"> </w:t>
      </w:r>
      <w:r w:rsidR="00133ADE">
        <w:t xml:space="preserve">corresponding </w:t>
      </w:r>
      <w:r w:rsidR="00AF2716">
        <w:t>metabolite</w:t>
      </w:r>
      <w:r w:rsidR="00FD02CF">
        <w:t xml:space="preserve"> scores </w:t>
      </w:r>
      <w:r w:rsidR="003D6867">
        <w:t xml:space="preserve">in the </w:t>
      </w:r>
      <w:r w:rsidR="003D6867" w:rsidRPr="00F411B2">
        <w:t>validation set</w:t>
      </w:r>
      <w:r w:rsidR="00636A0C" w:rsidRPr="00F411B2">
        <w:t xml:space="preserve"> </w:t>
      </w:r>
      <w:r w:rsidR="00C664D7" w:rsidRPr="00F411B2">
        <w:t>w</w:t>
      </w:r>
      <w:r w:rsidR="009430BC">
        <w:t>as</w:t>
      </w:r>
      <w:r w:rsidR="00C664D7">
        <w:t xml:space="preserve"> </w:t>
      </w:r>
      <w:r w:rsidR="00641865">
        <w:t>15%</w:t>
      </w:r>
      <w:r w:rsidR="00EB4021">
        <w:t xml:space="preserve"> for </w:t>
      </w:r>
      <w:r w:rsidR="00F52E2F">
        <w:t>processed meat and 13% for poultry</w:t>
      </w:r>
      <w:r w:rsidR="00837A85">
        <w:t xml:space="preserve"> </w:t>
      </w:r>
      <w:r w:rsidR="000A11C5">
        <w:t>(</w:t>
      </w:r>
      <w:r w:rsidR="000D1D61" w:rsidRPr="002301A3">
        <w:rPr>
          <w:b/>
          <w:i/>
        </w:rPr>
        <w:t>Supplementary</w:t>
      </w:r>
      <w:r w:rsidR="00D0408A" w:rsidRPr="002301A3">
        <w:rPr>
          <w:b/>
          <w:i/>
        </w:rPr>
        <w:t xml:space="preserve"> </w:t>
      </w:r>
      <w:r w:rsidR="000A11C5" w:rsidRPr="002301A3">
        <w:rPr>
          <w:b/>
          <w:i/>
        </w:rPr>
        <w:t xml:space="preserve">Figure </w:t>
      </w:r>
      <w:r w:rsidR="003767BD">
        <w:rPr>
          <w:b/>
          <w:i/>
        </w:rPr>
        <w:t>2</w:t>
      </w:r>
      <w:r w:rsidR="000A11C5">
        <w:t>).</w:t>
      </w:r>
      <w:r w:rsidR="00D7176B">
        <w:t xml:space="preserve"> </w:t>
      </w:r>
      <w:r w:rsidR="00CE58FD">
        <w:t xml:space="preserve">The details of </w:t>
      </w:r>
      <w:r w:rsidR="00727A7B">
        <w:t>parameter optimization</w:t>
      </w:r>
      <w:r w:rsidR="00D7176B">
        <w:t xml:space="preserve"> </w:t>
      </w:r>
      <w:r w:rsidR="00CE58FD">
        <w:t xml:space="preserve">and </w:t>
      </w:r>
      <w:r w:rsidR="004C54E1">
        <w:t>metabolites</w:t>
      </w:r>
      <w:r w:rsidR="00CE58FD">
        <w:t xml:space="preserve"> </w:t>
      </w:r>
      <w:r w:rsidR="00727A7B">
        <w:t xml:space="preserve">selection </w:t>
      </w:r>
      <w:r w:rsidR="00CE58FD">
        <w:t>in the bootstrapping process are</w:t>
      </w:r>
      <w:r w:rsidR="00D7176B">
        <w:t xml:space="preserve"> shown in </w:t>
      </w:r>
      <w:r w:rsidR="00D7176B" w:rsidRPr="00DC08FA">
        <w:rPr>
          <w:b/>
          <w:i/>
        </w:rPr>
        <w:t>Supplementary Tables 5-7</w:t>
      </w:r>
      <w:r w:rsidR="00D7176B">
        <w:rPr>
          <w:b/>
          <w:i/>
        </w:rPr>
        <w:t>.</w:t>
      </w:r>
      <w:r w:rsidR="000A11C5">
        <w:t xml:space="preserve"> </w:t>
      </w:r>
      <w:r w:rsidR="000A08BD">
        <w:t xml:space="preserve">In </w:t>
      </w:r>
      <w:r w:rsidR="00EC7FE9">
        <w:t>additional</w:t>
      </w:r>
      <w:r w:rsidR="000A08BD">
        <w:t xml:space="preserve"> analys</w:t>
      </w:r>
      <w:r w:rsidR="009430BC">
        <w:t>e</w:t>
      </w:r>
      <w:r w:rsidR="000A08BD">
        <w:t xml:space="preserve">s, </w:t>
      </w:r>
      <w:r w:rsidR="00EC7FE9">
        <w:t>we estimated glomerular filtration rate (</w:t>
      </w:r>
      <w:proofErr w:type="spellStart"/>
      <w:r w:rsidR="00EC7FE9">
        <w:t>eGFR</w:t>
      </w:r>
      <w:proofErr w:type="spellEnd"/>
      <w:r w:rsidR="00EC7FE9">
        <w:t xml:space="preserve">) as an indicator of renal function and assessed the associations </w:t>
      </w:r>
      <w:r w:rsidR="000A08BD">
        <w:t xml:space="preserve">between red meat intake and each of 781 metabolites </w:t>
      </w:r>
      <w:r w:rsidR="00EC7FE9">
        <w:t xml:space="preserve">after statistical adjustment for </w:t>
      </w:r>
      <w:proofErr w:type="spellStart"/>
      <w:r w:rsidR="00EC7FE9">
        <w:t>eGFR</w:t>
      </w:r>
      <w:proofErr w:type="spellEnd"/>
      <w:r w:rsidR="00EC7FE9">
        <w:t xml:space="preserve">, showing that the coefficients were unchanged from the analysis </w:t>
      </w:r>
      <w:r w:rsidR="009430BC">
        <w:t xml:space="preserve">that was </w:t>
      </w:r>
      <w:r w:rsidR="00EC7FE9">
        <w:t xml:space="preserve">not adjusted for </w:t>
      </w:r>
      <w:proofErr w:type="spellStart"/>
      <w:r w:rsidR="00EC7FE9">
        <w:t>eGFR</w:t>
      </w:r>
      <w:proofErr w:type="spellEnd"/>
      <w:r w:rsidR="00EC7FE9">
        <w:t>.</w:t>
      </w:r>
    </w:p>
    <w:p w14:paraId="13D73C2F" w14:textId="77777777" w:rsidR="00833105" w:rsidRDefault="00833105" w:rsidP="00052B50"/>
    <w:p w14:paraId="6FAD9DCC" w14:textId="7DA1B502" w:rsidR="00F052D6" w:rsidRPr="00BC5A28" w:rsidRDefault="00685D17" w:rsidP="00EF3667">
      <w:pPr>
        <w:pStyle w:val="Heading2"/>
      </w:pPr>
      <w:r>
        <w:t xml:space="preserve">Associations </w:t>
      </w:r>
      <w:r w:rsidR="00F052D6">
        <w:t>of m</w:t>
      </w:r>
      <w:r w:rsidR="00F052D6" w:rsidRPr="00BC5A28">
        <w:t xml:space="preserve">etabolites </w:t>
      </w:r>
      <w:r w:rsidR="00F052D6">
        <w:t xml:space="preserve">in the red meat </w:t>
      </w:r>
      <w:r w:rsidR="00AF2716">
        <w:t>metabolite</w:t>
      </w:r>
      <w:r w:rsidR="00F411B2">
        <w:t xml:space="preserve"> </w:t>
      </w:r>
      <w:r w:rsidR="00F052D6">
        <w:t>score with</w:t>
      </w:r>
      <w:r w:rsidR="00F052D6" w:rsidRPr="00BC5A28">
        <w:t xml:space="preserve"> meat intake</w:t>
      </w:r>
      <w:r w:rsidR="00F052D6">
        <w:t xml:space="preserve"> in a</w:t>
      </w:r>
      <w:r w:rsidR="00475023">
        <w:t>n</w:t>
      </w:r>
      <w:r w:rsidR="00F052D6">
        <w:t xml:space="preserve"> RCT</w:t>
      </w:r>
    </w:p>
    <w:p w14:paraId="24B4B842" w14:textId="6CBA111D" w:rsidR="00F052D6" w:rsidRDefault="00F052D6" w:rsidP="005E4BCC">
      <w:r w:rsidRPr="00AA052C">
        <w:t xml:space="preserve">For the metabolites that </w:t>
      </w:r>
      <w:r>
        <w:t xml:space="preserve">were part of </w:t>
      </w:r>
      <w:r w:rsidRPr="00AA052C">
        <w:t xml:space="preserve">the </w:t>
      </w:r>
      <w:r w:rsidR="00AF2716">
        <w:t>metabolite score for</w:t>
      </w:r>
      <w:r w:rsidRPr="00AA052C">
        <w:t xml:space="preserve"> red meat intake, we used </w:t>
      </w:r>
      <w:r w:rsidR="00106BCF" w:rsidRPr="00AA052C">
        <w:t xml:space="preserve">untargeted </w:t>
      </w:r>
      <w:r w:rsidRPr="00AA052C">
        <w:t xml:space="preserve">plasma metabolomics data </w:t>
      </w:r>
      <w:r w:rsidR="006F23BA">
        <w:t>from</w:t>
      </w:r>
      <w:r w:rsidRPr="00AA052C">
        <w:t xml:space="preserve"> </w:t>
      </w:r>
      <w:r w:rsidR="00685D17">
        <w:t>a</w:t>
      </w:r>
      <w:r w:rsidR="00685D17" w:rsidRPr="00AA052C">
        <w:t xml:space="preserve"> </w:t>
      </w:r>
      <w:r w:rsidRPr="00AA052C">
        <w:t xml:space="preserve">meat </w:t>
      </w:r>
      <w:r w:rsidR="006F23BA">
        <w:t>RCT</w:t>
      </w:r>
      <w:r w:rsidRPr="00AA052C">
        <w:t xml:space="preserve"> to investigate the </w:t>
      </w:r>
      <w:r w:rsidR="00685D17">
        <w:t xml:space="preserve">differences </w:t>
      </w:r>
      <w:r w:rsidRPr="00AA052C">
        <w:t xml:space="preserve">of metabolite </w:t>
      </w:r>
      <w:r w:rsidR="003C67EE">
        <w:t>concentrations</w:t>
      </w:r>
      <w:r w:rsidR="003C67EE" w:rsidRPr="00AA052C">
        <w:t xml:space="preserve"> </w:t>
      </w:r>
      <w:r w:rsidRPr="00AA052C">
        <w:t xml:space="preserve">after </w:t>
      </w:r>
      <w:r w:rsidR="000975AD">
        <w:t xml:space="preserve">a </w:t>
      </w:r>
      <w:r w:rsidR="00364BE0">
        <w:t>3-day</w:t>
      </w:r>
      <w:r w:rsidR="008943CD">
        <w:t xml:space="preserve"> red</w:t>
      </w:r>
      <w:r w:rsidR="00364BE0">
        <w:t xml:space="preserve"> </w:t>
      </w:r>
      <w:r w:rsidRPr="00AA052C">
        <w:t>meat intervention</w:t>
      </w:r>
      <w:r w:rsidR="00685D17">
        <w:t xml:space="preserve"> compared to a non-meat diet</w:t>
      </w:r>
      <w:r w:rsidRPr="00AA052C">
        <w:t xml:space="preserve">. </w:t>
      </w:r>
      <w:r w:rsidR="000975AD">
        <w:t xml:space="preserve">Of the </w:t>
      </w:r>
      <w:r w:rsidR="004D0F56">
        <w:t xml:space="preserve">50 known </w:t>
      </w:r>
      <w:r w:rsidR="000975AD">
        <w:t>metabolites</w:t>
      </w:r>
      <w:r w:rsidR="004658A7" w:rsidRPr="004658A7">
        <w:t xml:space="preserve"> </w:t>
      </w:r>
      <w:r w:rsidR="004658A7">
        <w:t xml:space="preserve">positively associated with self-reported red meat consumption in the </w:t>
      </w:r>
      <w:r w:rsidR="00AD6576">
        <w:t xml:space="preserve">observational </w:t>
      </w:r>
      <w:r w:rsidR="004658A7">
        <w:t>EPIC-Norfolk study</w:t>
      </w:r>
      <w:r w:rsidR="00C325E0" w:rsidRPr="00FF4DAA">
        <w:t xml:space="preserve">, </w:t>
      </w:r>
      <w:r w:rsidR="004D0F56">
        <w:t>11</w:t>
      </w:r>
      <w:r w:rsidR="00F86D0D">
        <w:t xml:space="preserve"> </w:t>
      </w:r>
      <w:r w:rsidRPr="00FF4DAA">
        <w:t xml:space="preserve">were </w:t>
      </w:r>
      <w:r w:rsidR="00485730">
        <w:t xml:space="preserve">identified in the RCT and </w:t>
      </w:r>
      <w:r w:rsidRPr="00FF4DAA">
        <w:t>significantly increased</w:t>
      </w:r>
      <w:r w:rsidRPr="00AA052C">
        <w:t xml:space="preserve"> after </w:t>
      </w:r>
      <w:r w:rsidR="00563BFF">
        <w:t>fried pork (</w:t>
      </w:r>
      <w:r w:rsidRPr="00AA052C">
        <w:t>red meat</w:t>
      </w:r>
      <w:r w:rsidR="00563BFF">
        <w:t>)</w:t>
      </w:r>
      <w:r w:rsidRPr="00AA052C">
        <w:t xml:space="preserve"> intake compared to tofu</w:t>
      </w:r>
      <w:r w:rsidR="00DB63DC">
        <w:t>:</w:t>
      </w:r>
      <w:r w:rsidR="00B82FFE">
        <w:t xml:space="preserve"> </w:t>
      </w:r>
      <w:r w:rsidR="00AF2FD9">
        <w:t xml:space="preserve">several </w:t>
      </w:r>
      <w:proofErr w:type="spellStart"/>
      <w:r w:rsidR="00AF2FD9">
        <w:t>glycerophospholipids</w:t>
      </w:r>
      <w:proofErr w:type="spellEnd"/>
      <w:r w:rsidR="00AF2FD9">
        <w:t xml:space="preserve">, </w:t>
      </w:r>
      <w:r w:rsidR="00B82FFE" w:rsidRPr="00C61CE7">
        <w:t>4</w:t>
      </w:r>
      <w:r w:rsidR="00B82FFE">
        <w:t>-h</w:t>
      </w:r>
      <w:r w:rsidR="00B82FFE" w:rsidRPr="00C61CE7">
        <w:t>ydroxyproline</w:t>
      </w:r>
      <w:r w:rsidR="00B82FFE">
        <w:t xml:space="preserve">, </w:t>
      </w:r>
      <w:r w:rsidR="00B82FFE" w:rsidRPr="00C61CE7">
        <w:t>TMAO</w:t>
      </w:r>
      <w:r w:rsidR="00B82FFE">
        <w:t xml:space="preserve">, </w:t>
      </w:r>
      <w:proofErr w:type="spellStart"/>
      <w:r w:rsidR="00AF2FD9">
        <w:t>c</w:t>
      </w:r>
      <w:r w:rsidR="00AF2FD9" w:rsidRPr="00C61CE7">
        <w:t>reatine</w:t>
      </w:r>
      <w:proofErr w:type="spellEnd"/>
      <w:r w:rsidR="00AF2FD9">
        <w:t xml:space="preserve">, </w:t>
      </w:r>
      <w:proofErr w:type="spellStart"/>
      <w:r w:rsidR="00B82FFE">
        <w:t>d</w:t>
      </w:r>
      <w:r w:rsidR="00B82FFE" w:rsidRPr="00C61CE7">
        <w:t>eoxycarnitine</w:t>
      </w:r>
      <w:proofErr w:type="spellEnd"/>
      <w:r w:rsidR="007A61B8">
        <w:t xml:space="preserve"> </w:t>
      </w:r>
      <w:r w:rsidR="00B82FFE">
        <w:t xml:space="preserve">and </w:t>
      </w:r>
      <w:proofErr w:type="spellStart"/>
      <w:r w:rsidR="00AF2FD9">
        <w:t>s</w:t>
      </w:r>
      <w:r w:rsidR="00AF2FD9" w:rsidRPr="00C61CE7">
        <w:t>tearoylcarnitine</w:t>
      </w:r>
      <w:proofErr w:type="spellEnd"/>
      <w:r w:rsidR="00AF2FD9">
        <w:t xml:space="preserve"> </w:t>
      </w:r>
      <w:r w:rsidR="006E3FD2">
        <w:t>(</w:t>
      </w:r>
      <w:r w:rsidRPr="00F84020">
        <w:rPr>
          <w:b/>
          <w:i/>
        </w:rPr>
        <w:t xml:space="preserve">Table </w:t>
      </w:r>
      <w:r w:rsidR="00D931C4">
        <w:rPr>
          <w:b/>
          <w:i/>
        </w:rPr>
        <w:t>2</w:t>
      </w:r>
      <w:r w:rsidR="0043480F">
        <w:rPr>
          <w:i/>
        </w:rPr>
        <w:t xml:space="preserve">, </w:t>
      </w:r>
      <w:r w:rsidR="00C754F8" w:rsidRPr="00C754F8">
        <w:rPr>
          <w:b/>
          <w:i/>
        </w:rPr>
        <w:lastRenderedPageBreak/>
        <w:t>Supplementary</w:t>
      </w:r>
      <w:r w:rsidR="0043480F" w:rsidRPr="00F84020">
        <w:rPr>
          <w:b/>
          <w:i/>
        </w:rPr>
        <w:t xml:space="preserve"> Figure </w:t>
      </w:r>
      <w:r w:rsidR="003767BD">
        <w:rPr>
          <w:b/>
          <w:i/>
        </w:rPr>
        <w:t>3 and 4</w:t>
      </w:r>
      <w:r w:rsidR="006E3FD2">
        <w:rPr>
          <w:iCs/>
        </w:rPr>
        <w:t>)</w:t>
      </w:r>
      <w:r w:rsidRPr="00AA052C">
        <w:t>.</w:t>
      </w:r>
      <w:r w:rsidR="001C203E">
        <w:t xml:space="preserve"> The correlations between </w:t>
      </w:r>
      <w:r w:rsidR="0043480F">
        <w:t>these top-rank</w:t>
      </w:r>
      <w:r w:rsidR="00AD6576">
        <w:t>ed</w:t>
      </w:r>
      <w:r w:rsidR="0043480F">
        <w:t xml:space="preserve"> metabolites and types of meat consumption in the EPIC-Norfolk study are shown in </w:t>
      </w:r>
      <w:r w:rsidR="0043480F" w:rsidRPr="00E947F0">
        <w:rPr>
          <w:b/>
          <w:i/>
        </w:rPr>
        <w:t xml:space="preserve">Supplementary </w:t>
      </w:r>
      <w:r w:rsidR="00C754F8">
        <w:rPr>
          <w:b/>
          <w:i/>
        </w:rPr>
        <w:t>F</w:t>
      </w:r>
      <w:r w:rsidR="0043480F" w:rsidRPr="00E947F0">
        <w:rPr>
          <w:b/>
          <w:i/>
        </w:rPr>
        <w:t xml:space="preserve">igure </w:t>
      </w:r>
      <w:r w:rsidR="003767BD">
        <w:rPr>
          <w:b/>
          <w:i/>
        </w:rPr>
        <w:t>5</w:t>
      </w:r>
      <w:r w:rsidR="0043480F">
        <w:t>.</w:t>
      </w:r>
      <w:r w:rsidR="008943CD">
        <w:t xml:space="preserve"> </w:t>
      </w:r>
      <w:r w:rsidR="00AB1AFA">
        <w:t>T</w:t>
      </w:r>
      <w:r w:rsidR="00D7176B">
        <w:t>he correlation</w:t>
      </w:r>
      <w:r w:rsidR="00AB1AFA">
        <w:t>s between</w:t>
      </w:r>
      <w:r w:rsidR="00D7176B">
        <w:t xml:space="preserve"> these </w:t>
      </w:r>
      <w:r w:rsidR="00876ECD">
        <w:t>top-ranked</w:t>
      </w:r>
      <w:r w:rsidR="00D7176B">
        <w:t xml:space="preserve"> metabolites </w:t>
      </w:r>
      <w:r w:rsidR="0059183F">
        <w:t>are</w:t>
      </w:r>
      <w:r w:rsidR="00AB1AFA">
        <w:t xml:space="preserve"> reported </w:t>
      </w:r>
      <w:r w:rsidR="00D7176B">
        <w:t xml:space="preserve">in </w:t>
      </w:r>
      <w:r w:rsidR="00D7176B" w:rsidRPr="00DC08FA">
        <w:rPr>
          <w:b/>
          <w:i/>
        </w:rPr>
        <w:t>Supplementary Table 8</w:t>
      </w:r>
      <w:r w:rsidR="00D7176B">
        <w:t xml:space="preserve">. </w:t>
      </w:r>
      <w:r w:rsidR="008943CD">
        <w:t xml:space="preserve">Of the </w:t>
      </w:r>
      <w:r w:rsidR="007E1666">
        <w:t xml:space="preserve">top </w:t>
      </w:r>
      <w:r w:rsidR="00A21B66">
        <w:t>8</w:t>
      </w:r>
      <w:r w:rsidR="008943CD">
        <w:t xml:space="preserve"> metabolites</w:t>
      </w:r>
      <w:r w:rsidR="00B82FFE">
        <w:t xml:space="preserve"> that had</w:t>
      </w:r>
      <w:r w:rsidR="00A21B66">
        <w:t xml:space="preserve"> the</w:t>
      </w:r>
      <w:r w:rsidR="00B82FFE">
        <w:t xml:space="preserve"> highest coefficients in</w:t>
      </w:r>
      <w:r w:rsidR="008943CD">
        <w:t xml:space="preserve"> the </w:t>
      </w:r>
      <w:r w:rsidR="00755B08">
        <w:t xml:space="preserve">red meat </w:t>
      </w:r>
      <w:r w:rsidR="00AF2716">
        <w:t>metabolite</w:t>
      </w:r>
      <w:r w:rsidR="008943CD">
        <w:t xml:space="preserve"> score</w:t>
      </w:r>
      <w:r w:rsidR="00755B08">
        <w:t xml:space="preserve"> in</w:t>
      </w:r>
      <w:r w:rsidR="00BC7277">
        <w:t xml:space="preserve"> the</w:t>
      </w:r>
      <w:r w:rsidR="00755B08">
        <w:t xml:space="preserve"> EPIC-Norfolk</w:t>
      </w:r>
      <w:r w:rsidR="00BC7277">
        <w:t xml:space="preserve"> study</w:t>
      </w:r>
      <w:r w:rsidR="008943CD">
        <w:t xml:space="preserve">, 6 were </w:t>
      </w:r>
      <w:r w:rsidR="008736EA">
        <w:t xml:space="preserve">validated </w:t>
      </w:r>
      <w:r w:rsidR="008943CD">
        <w:t xml:space="preserve">in the RCT. </w:t>
      </w:r>
    </w:p>
    <w:p w14:paraId="258B13C4" w14:textId="77777777" w:rsidR="00833105" w:rsidRPr="00A941F3" w:rsidRDefault="00833105" w:rsidP="005E4BCC"/>
    <w:p w14:paraId="4068F917" w14:textId="2D0B4720" w:rsidR="00AD120E" w:rsidRDefault="00AD120E" w:rsidP="00EF3667">
      <w:pPr>
        <w:pStyle w:val="Heading2"/>
      </w:pPr>
      <w:r>
        <w:t>Association of</w:t>
      </w:r>
      <w:r w:rsidR="00F30516">
        <w:t xml:space="preserve"> the red meat</w:t>
      </w:r>
      <w:r>
        <w:t xml:space="preserve"> </w:t>
      </w:r>
      <w:r w:rsidR="00AF2716">
        <w:t>metabolite</w:t>
      </w:r>
      <w:r w:rsidR="00EE7F75">
        <w:t xml:space="preserve"> score </w:t>
      </w:r>
      <w:r>
        <w:t>with T2D</w:t>
      </w:r>
    </w:p>
    <w:p w14:paraId="236515BA" w14:textId="392F69CA" w:rsidR="00773AB0" w:rsidRDefault="00E3000A" w:rsidP="00825018">
      <w:r>
        <w:t xml:space="preserve">The </w:t>
      </w:r>
      <w:r w:rsidR="00FB0F14">
        <w:t>baseline characteristics of the participants</w:t>
      </w:r>
      <w:r>
        <w:t xml:space="preserve"> in the T2D case-cohort </w:t>
      </w:r>
      <w:r w:rsidR="00D0408A">
        <w:t>are</w:t>
      </w:r>
      <w:r>
        <w:t xml:space="preserve"> presented in </w:t>
      </w:r>
      <w:r w:rsidR="00F052D6" w:rsidRPr="00F84020">
        <w:rPr>
          <w:b/>
          <w:i/>
        </w:rPr>
        <w:t>T</w:t>
      </w:r>
      <w:r w:rsidRPr="00F84020">
        <w:rPr>
          <w:b/>
          <w:i/>
        </w:rPr>
        <w:t xml:space="preserve">able </w:t>
      </w:r>
      <w:r w:rsidR="00D931C4" w:rsidRPr="00F84020">
        <w:rPr>
          <w:b/>
          <w:i/>
        </w:rPr>
        <w:t>3</w:t>
      </w:r>
      <w:r w:rsidR="00FB0F14">
        <w:t xml:space="preserve">. </w:t>
      </w:r>
      <w:r>
        <w:t xml:space="preserve">In the </w:t>
      </w:r>
      <w:proofErr w:type="spellStart"/>
      <w:r>
        <w:t>subcohort</w:t>
      </w:r>
      <w:proofErr w:type="spellEnd"/>
      <w:r>
        <w:t xml:space="preserve">, </w:t>
      </w:r>
      <w:r w:rsidR="00FB0F14">
        <w:t xml:space="preserve">participants with higher </w:t>
      </w:r>
      <w:r w:rsidR="00AF2716">
        <w:t>metabolite</w:t>
      </w:r>
      <w:r>
        <w:t xml:space="preserve"> scores of </w:t>
      </w:r>
      <w:r w:rsidR="00FB0F14">
        <w:t xml:space="preserve">red meat </w:t>
      </w:r>
      <w:r>
        <w:t>consumption</w:t>
      </w:r>
      <w:r w:rsidR="00FB0F14">
        <w:t xml:space="preserve"> were more likely to be male, current smokers</w:t>
      </w:r>
      <w:r w:rsidR="00773AB0">
        <w:t xml:space="preserve">, </w:t>
      </w:r>
      <w:r w:rsidR="00FB0F14">
        <w:t xml:space="preserve">have higher BMI, higher </w:t>
      </w:r>
      <w:r w:rsidR="00773AB0">
        <w:t xml:space="preserve">consumption </w:t>
      </w:r>
      <w:r w:rsidR="00FB0F14">
        <w:t xml:space="preserve">of alcohol, </w:t>
      </w:r>
      <w:r w:rsidR="000736D0">
        <w:t xml:space="preserve">legumes, </w:t>
      </w:r>
      <w:r w:rsidR="00C20382">
        <w:t>sugar sweetened beverages</w:t>
      </w:r>
      <w:r w:rsidR="00C20382" w:rsidDel="00C20382">
        <w:t xml:space="preserve"> </w:t>
      </w:r>
      <w:r w:rsidR="00FB0F14">
        <w:t>and total energy</w:t>
      </w:r>
      <w:r w:rsidR="00773AB0">
        <w:t>, and have</w:t>
      </w:r>
      <w:r w:rsidR="00FB0F14">
        <w:t xml:space="preserve"> lower </w:t>
      </w:r>
      <w:r w:rsidR="00773AB0">
        <w:t xml:space="preserve">levels </w:t>
      </w:r>
      <w:r w:rsidR="00FB0F14">
        <w:t>of fruit, and fish</w:t>
      </w:r>
      <w:r w:rsidR="00773AB0">
        <w:t xml:space="preserve"> consumption</w:t>
      </w:r>
      <w:r>
        <w:t xml:space="preserve">, compared to participants with lower </w:t>
      </w:r>
      <w:r w:rsidR="00AF2716">
        <w:t>metabolite</w:t>
      </w:r>
      <w:r>
        <w:t xml:space="preserve"> scores</w:t>
      </w:r>
      <w:r w:rsidR="00773AB0">
        <w:t>.</w:t>
      </w:r>
    </w:p>
    <w:p w14:paraId="59DC4C56" w14:textId="77777777" w:rsidR="00F052D6" w:rsidRDefault="00F052D6" w:rsidP="00825018"/>
    <w:p w14:paraId="67936884" w14:textId="0AD77E47" w:rsidR="00690AA1" w:rsidRDefault="00F052D6" w:rsidP="005E4BCC">
      <w:r>
        <w:t>In a prospective analysis with</w:t>
      </w:r>
      <w:r w:rsidR="00773AB0">
        <w:t xml:space="preserve"> </w:t>
      </w:r>
      <w:r w:rsidR="00BA60C8">
        <w:t>a median follow-up of</w:t>
      </w:r>
      <w:r w:rsidR="00DD5121">
        <w:t xml:space="preserve"> 10</w:t>
      </w:r>
      <w:r w:rsidR="00BA60C8">
        <w:t xml:space="preserve"> years, </w:t>
      </w:r>
      <w:r w:rsidR="009430BC">
        <w:t xml:space="preserve">the </w:t>
      </w:r>
      <w:r w:rsidR="00AF2716">
        <w:t>metabolite</w:t>
      </w:r>
      <w:r w:rsidR="00E33F24">
        <w:t xml:space="preserve"> score f</w:t>
      </w:r>
      <w:r w:rsidR="009430BC">
        <w:t>or</w:t>
      </w:r>
      <w:r w:rsidR="00E33F24">
        <w:t xml:space="preserve"> red meat consumption </w:t>
      </w:r>
      <w:r w:rsidR="00BA60C8">
        <w:t xml:space="preserve">was </w:t>
      </w:r>
      <w:r w:rsidR="00C20382">
        <w:t xml:space="preserve">positively </w:t>
      </w:r>
      <w:r w:rsidR="00BA60C8">
        <w:t>associated with a</w:t>
      </w:r>
      <w:r w:rsidR="00475023">
        <w:t xml:space="preserve"> higher</w:t>
      </w:r>
      <w:r w:rsidR="00BA60C8">
        <w:t xml:space="preserve"> risk of </w:t>
      </w:r>
      <w:r w:rsidR="00DD5121">
        <w:t>incident T2D</w:t>
      </w:r>
      <w:r w:rsidR="00BA60C8">
        <w:t xml:space="preserve"> (</w:t>
      </w:r>
      <w:r w:rsidR="00D0408A">
        <w:t xml:space="preserve">HR </w:t>
      </w:r>
      <w:r w:rsidR="00BA60C8">
        <w:t>per</w:t>
      </w:r>
      <w:r w:rsidR="00D0408A">
        <w:t xml:space="preserve"> </w:t>
      </w:r>
      <w:r w:rsidR="00BA60C8">
        <w:t>SD =1.</w:t>
      </w:r>
      <w:r w:rsidR="00825018">
        <w:t>1</w:t>
      </w:r>
      <w:r w:rsidR="00B32295">
        <w:t>7</w:t>
      </w:r>
      <w:r w:rsidR="00825018">
        <w:t xml:space="preserve"> </w:t>
      </w:r>
      <w:r w:rsidR="00BA60C8">
        <w:t>[1.</w:t>
      </w:r>
      <w:r w:rsidR="00B32295">
        <w:t>10</w:t>
      </w:r>
      <w:r w:rsidR="00F24E2C">
        <w:t xml:space="preserve">, </w:t>
      </w:r>
      <w:r w:rsidR="00BA60C8">
        <w:t>1.</w:t>
      </w:r>
      <w:r w:rsidR="00B32295">
        <w:t>24</w:t>
      </w:r>
      <w:r w:rsidR="00BA60C8">
        <w:t xml:space="preserve">]) after adjusting for potential confounding factors </w:t>
      </w:r>
      <w:r w:rsidR="00825018">
        <w:t>(</w:t>
      </w:r>
      <w:r w:rsidR="00825018" w:rsidRPr="002301A3">
        <w:rPr>
          <w:b/>
          <w:i/>
        </w:rPr>
        <w:t xml:space="preserve">Figure </w:t>
      </w:r>
      <w:r w:rsidR="00D0408A" w:rsidRPr="002301A3">
        <w:rPr>
          <w:b/>
          <w:i/>
        </w:rPr>
        <w:t>4</w:t>
      </w:r>
      <w:r w:rsidR="00825018">
        <w:t>)</w:t>
      </w:r>
      <w:r w:rsidR="00BA60C8">
        <w:t xml:space="preserve">. </w:t>
      </w:r>
      <w:r w:rsidR="00690AA1">
        <w:t xml:space="preserve">There was a significant association between self-reported red meat consumption and </w:t>
      </w:r>
      <w:r w:rsidR="00E33F24">
        <w:t xml:space="preserve">incident </w:t>
      </w:r>
      <w:r w:rsidR="00371097">
        <w:t xml:space="preserve">T2D </w:t>
      </w:r>
      <w:r w:rsidR="00371097" w:rsidDel="00E33F24">
        <w:t>(</w:t>
      </w:r>
      <w:r w:rsidR="00475023">
        <w:t>HR per SD=1.</w:t>
      </w:r>
      <w:r w:rsidR="000E2FCE">
        <w:t>0</w:t>
      </w:r>
      <w:r w:rsidR="00B32295">
        <w:t>8</w:t>
      </w:r>
      <w:r w:rsidR="000E2FCE">
        <w:t xml:space="preserve"> [1.0</w:t>
      </w:r>
      <w:r w:rsidR="00B32295">
        <w:t>3</w:t>
      </w:r>
      <w:r w:rsidR="00F24E2C">
        <w:t xml:space="preserve">, </w:t>
      </w:r>
      <w:r w:rsidR="000E2FCE">
        <w:t>1.</w:t>
      </w:r>
      <w:r w:rsidR="00B32295">
        <w:t>14</w:t>
      </w:r>
      <w:r w:rsidR="000E2FCE">
        <w:t>]</w:t>
      </w:r>
      <w:r w:rsidR="00475023">
        <w:t>)</w:t>
      </w:r>
      <w:r w:rsidR="00690AA1">
        <w:t>.</w:t>
      </w:r>
    </w:p>
    <w:p w14:paraId="3D65532F" w14:textId="77777777" w:rsidR="00833105" w:rsidRDefault="00833105" w:rsidP="005E4BCC"/>
    <w:p w14:paraId="5F67E857" w14:textId="3F883CD6" w:rsidR="00AD120E" w:rsidRDefault="00AD120E" w:rsidP="00EF3667">
      <w:pPr>
        <w:pStyle w:val="Heading2"/>
      </w:pPr>
      <w:r>
        <w:t xml:space="preserve">Association of </w:t>
      </w:r>
      <w:r w:rsidR="00D0408A">
        <w:t xml:space="preserve">the red meat </w:t>
      </w:r>
      <w:r w:rsidR="00AF2716">
        <w:t>metabolite</w:t>
      </w:r>
      <w:r w:rsidR="00EE7F75">
        <w:t xml:space="preserve"> score</w:t>
      </w:r>
      <w:r>
        <w:t xml:space="preserve"> with </w:t>
      </w:r>
      <w:r w:rsidR="00773AB0">
        <w:t xml:space="preserve">other </w:t>
      </w:r>
      <w:r w:rsidR="00D0408A">
        <w:t xml:space="preserve">health </w:t>
      </w:r>
      <w:r>
        <w:t xml:space="preserve">outcomes </w:t>
      </w:r>
    </w:p>
    <w:p w14:paraId="47AE5615" w14:textId="62228CD8" w:rsidR="00833105" w:rsidRPr="00690AA1" w:rsidRDefault="00D0408A">
      <w:r>
        <w:t xml:space="preserve">In an exploratory analysis, we examined the association of the red meat </w:t>
      </w:r>
      <w:r w:rsidR="00AF2716">
        <w:t>metabolite</w:t>
      </w:r>
      <w:r>
        <w:t xml:space="preserve"> score </w:t>
      </w:r>
      <w:r w:rsidR="00690AA1">
        <w:t xml:space="preserve">with </w:t>
      </w:r>
      <w:r w:rsidR="00C20382">
        <w:t>six</w:t>
      </w:r>
      <w:r w:rsidR="009A13C7">
        <w:t xml:space="preserve"> </w:t>
      </w:r>
      <w:r w:rsidR="00690AA1">
        <w:t xml:space="preserve">health outcomes. In an adjusted analysis, a </w:t>
      </w:r>
      <w:r w:rsidR="00BA60C8">
        <w:t>higher</w:t>
      </w:r>
      <w:r w:rsidR="00690AA1">
        <w:t xml:space="preserve"> red meat</w:t>
      </w:r>
      <w:r w:rsidR="00BA60C8">
        <w:t xml:space="preserve"> </w:t>
      </w:r>
      <w:r w:rsidR="00AF2716">
        <w:t>metabolite</w:t>
      </w:r>
      <w:r w:rsidR="00BA60C8">
        <w:t xml:space="preserve"> score was significantly associated with </w:t>
      </w:r>
      <w:r w:rsidR="009A13C7">
        <w:t>higher</w:t>
      </w:r>
      <w:r w:rsidR="00773AB0">
        <w:t xml:space="preserve"> </w:t>
      </w:r>
      <w:r w:rsidR="00BA60C8">
        <w:t xml:space="preserve">risk of </w:t>
      </w:r>
      <w:r w:rsidR="00773AB0">
        <w:t xml:space="preserve">incident </w:t>
      </w:r>
      <w:r w:rsidR="00BA60C8">
        <w:t>cardiovascular disease (1.</w:t>
      </w:r>
      <w:r w:rsidR="00FC5839">
        <w:t xml:space="preserve">04 </w:t>
      </w:r>
      <w:r w:rsidR="00BA60C8">
        <w:t>[1.00</w:t>
      </w:r>
      <w:r w:rsidR="00F24E2C">
        <w:t xml:space="preserve">, </w:t>
      </w:r>
      <w:r w:rsidR="00BA60C8">
        <w:t>1.09</w:t>
      </w:r>
      <w:r w:rsidR="00FC5839">
        <w:t>]</w:t>
      </w:r>
      <w:r w:rsidR="00475023">
        <w:t xml:space="preserve"> </w:t>
      </w:r>
      <w:r w:rsidR="00475023">
        <w:lastRenderedPageBreak/>
        <w:t>per SD</w:t>
      </w:r>
      <w:r w:rsidR="00FC5839">
        <w:t xml:space="preserve">) and </w:t>
      </w:r>
      <w:r w:rsidR="00BA60C8">
        <w:t>gastrointestinal cancer</w:t>
      </w:r>
      <w:r w:rsidR="00BA60C8" w:rsidRPr="00FC5839">
        <w:t>s</w:t>
      </w:r>
      <w:r w:rsidR="00BA60C8">
        <w:t xml:space="preserve"> (1.</w:t>
      </w:r>
      <w:r w:rsidR="00FC5839">
        <w:t>1</w:t>
      </w:r>
      <w:r w:rsidR="00D91BAB">
        <w:t>6</w:t>
      </w:r>
      <w:r w:rsidR="00FC5839">
        <w:t xml:space="preserve"> </w:t>
      </w:r>
      <w:r w:rsidR="00BA60C8">
        <w:t>[1.</w:t>
      </w:r>
      <w:r w:rsidR="00D91BAB">
        <w:t>03</w:t>
      </w:r>
      <w:r w:rsidR="00F24E2C">
        <w:t xml:space="preserve">, </w:t>
      </w:r>
      <w:r w:rsidR="00BA60C8">
        <w:t>1.</w:t>
      </w:r>
      <w:r w:rsidR="00D91BAB">
        <w:t>29</w:t>
      </w:r>
      <w:r w:rsidR="00BA60C8">
        <w:t xml:space="preserve">]). </w:t>
      </w:r>
      <w:r w:rsidR="00BD1E18">
        <w:t xml:space="preserve">The </w:t>
      </w:r>
      <w:r w:rsidR="003B1361">
        <w:t xml:space="preserve">estimates of </w:t>
      </w:r>
      <w:r w:rsidR="00BD1E18">
        <w:t>association</w:t>
      </w:r>
      <w:r w:rsidR="00B12134">
        <w:t>s</w:t>
      </w:r>
      <w:r w:rsidR="00BD1E18">
        <w:t xml:space="preserve"> </w:t>
      </w:r>
      <w:r w:rsidR="003B1361">
        <w:t xml:space="preserve">for </w:t>
      </w:r>
      <w:r w:rsidR="00BD1E18">
        <w:t xml:space="preserve">meat intake using 7dDD measurements were </w:t>
      </w:r>
      <w:r w:rsidR="00011CB2">
        <w:t>similar to</w:t>
      </w:r>
      <w:r w:rsidR="008018C1">
        <w:t xml:space="preserve"> those</w:t>
      </w:r>
      <w:r w:rsidR="00011CB2">
        <w:t xml:space="preserve"> using the derived scores </w:t>
      </w:r>
      <w:r w:rsidR="00BD1E18">
        <w:t xml:space="preserve">but </w:t>
      </w:r>
      <w:r w:rsidR="00690AA1">
        <w:t xml:space="preserve">the </w:t>
      </w:r>
      <w:r w:rsidR="00C34688" w:rsidRPr="00C34688">
        <w:rPr>
          <w:i/>
          <w:iCs/>
        </w:rPr>
        <w:t>p</w:t>
      </w:r>
      <w:r w:rsidR="00C34688">
        <w:t>-</w:t>
      </w:r>
      <w:r w:rsidR="003B1361">
        <w:t>values</w:t>
      </w:r>
      <w:r w:rsidR="00690AA1">
        <w:t xml:space="preserve"> were generally </w:t>
      </w:r>
      <w:r w:rsidR="003B1361">
        <w:t>smaller</w:t>
      </w:r>
      <w:r w:rsidR="00011CB2">
        <w:t xml:space="preserve"> </w:t>
      </w:r>
      <w:r w:rsidR="00BD1E18">
        <w:t>(</w:t>
      </w:r>
      <w:r w:rsidR="00BD1E18" w:rsidRPr="00AA1D42">
        <w:rPr>
          <w:i/>
        </w:rPr>
        <w:t xml:space="preserve">Figure </w:t>
      </w:r>
      <w:r w:rsidR="00690AA1" w:rsidRPr="00AA1D42">
        <w:rPr>
          <w:i/>
        </w:rPr>
        <w:t>4</w:t>
      </w:r>
      <w:r w:rsidR="00BD1E18">
        <w:t>).</w:t>
      </w:r>
    </w:p>
    <w:p w14:paraId="035F64F0" w14:textId="77777777" w:rsidR="00B164B5" w:rsidRDefault="00B164B5">
      <w:pPr>
        <w:widowControl/>
        <w:spacing w:after="160" w:line="259" w:lineRule="auto"/>
        <w:rPr>
          <w:rFonts w:eastAsiaTheme="majorEastAsia" w:cstheme="majorBidi"/>
          <w:b/>
          <w:kern w:val="0"/>
          <w:szCs w:val="32"/>
        </w:rPr>
      </w:pPr>
      <w:r>
        <w:br w:type="page"/>
      </w:r>
    </w:p>
    <w:p w14:paraId="4915CFE7" w14:textId="2465A071" w:rsidR="00AD120E" w:rsidRDefault="00AD120E" w:rsidP="00F84020">
      <w:pPr>
        <w:pStyle w:val="Heading1"/>
      </w:pPr>
      <w:r>
        <w:lastRenderedPageBreak/>
        <w:t>Discussion (</w:t>
      </w:r>
      <w:r w:rsidR="001E1A8E">
        <w:t>1</w:t>
      </w:r>
      <w:r w:rsidR="00F162FB">
        <w:t>212</w:t>
      </w:r>
      <w:bookmarkStart w:id="0" w:name="_GoBack"/>
      <w:bookmarkEnd w:id="0"/>
      <w:r w:rsidR="001E1A8E">
        <w:t xml:space="preserve"> </w:t>
      </w:r>
      <w:r>
        <w:t>words)</w:t>
      </w:r>
    </w:p>
    <w:p w14:paraId="7BCF32E4" w14:textId="4D26769B" w:rsidR="00833105" w:rsidRDefault="00A21B66" w:rsidP="00D4194C">
      <w:r>
        <w:t>In this paper we report the development and validation of metabolite scores for three different types of meat consumption: red meat, processed meat and poultry, b</w:t>
      </w:r>
      <w:r w:rsidR="00C007FB">
        <w:t xml:space="preserve">ased on </w:t>
      </w:r>
      <w:r w:rsidR="00AD120E">
        <w:t>untargeted</w:t>
      </w:r>
      <w:r w:rsidR="003C0DA7">
        <w:t xml:space="preserve"> plasma</w:t>
      </w:r>
      <w:r w:rsidR="00AD120E">
        <w:t xml:space="preserve"> metabolomics data </w:t>
      </w:r>
      <w:r w:rsidR="001B304F">
        <w:t xml:space="preserve">and </w:t>
      </w:r>
      <w:r w:rsidR="001F4C77">
        <w:t>7dDD</w:t>
      </w:r>
      <w:r w:rsidR="001B304F">
        <w:t xml:space="preserve"> </w:t>
      </w:r>
      <w:r w:rsidR="009A13C7">
        <w:t xml:space="preserve">data </w:t>
      </w:r>
      <w:r w:rsidR="00AD120E">
        <w:t>in a large</w:t>
      </w:r>
      <w:r w:rsidR="003B6165">
        <w:t xml:space="preserve"> British</w:t>
      </w:r>
      <w:r w:rsidR="00AD120E">
        <w:t xml:space="preserve"> cohort </w:t>
      </w:r>
      <w:r w:rsidR="003B6165">
        <w:t>with comprehensive phenotypes</w:t>
      </w:r>
      <w:r>
        <w:t>.</w:t>
      </w:r>
      <w:r w:rsidR="00690AA1">
        <w:t xml:space="preserve"> </w:t>
      </w:r>
      <w:r>
        <w:t>In focused analysis</w:t>
      </w:r>
      <w:r w:rsidR="00286D12">
        <w:t xml:space="preserve"> on</w:t>
      </w:r>
      <w:r w:rsidR="00690AA1">
        <w:t xml:space="preserve"> the red meat </w:t>
      </w:r>
      <w:r w:rsidR="00AF2716">
        <w:t>metabolite</w:t>
      </w:r>
      <w:r w:rsidR="00C20382">
        <w:t xml:space="preserve"> </w:t>
      </w:r>
      <w:r w:rsidR="00690AA1">
        <w:t xml:space="preserve">score, we </w:t>
      </w:r>
      <w:r w:rsidR="009D6346">
        <w:t xml:space="preserve">found </w:t>
      </w:r>
      <w:r w:rsidR="00690AA1">
        <w:t xml:space="preserve">that </w:t>
      </w:r>
      <w:r w:rsidR="000025B4">
        <w:t>eleven</w:t>
      </w:r>
      <w:r w:rsidR="00C20382">
        <w:t xml:space="preserve"> </w:t>
      </w:r>
      <w:r w:rsidR="00A55136">
        <w:t>top-rank</w:t>
      </w:r>
      <w:r w:rsidR="00C64523">
        <w:t>ed</w:t>
      </w:r>
      <w:r w:rsidR="00A55136">
        <w:t xml:space="preserve"> </w:t>
      </w:r>
      <w:r w:rsidR="00690AA1">
        <w:t xml:space="preserve">metabolites </w:t>
      </w:r>
      <w:r w:rsidR="00A55136">
        <w:t xml:space="preserve">in </w:t>
      </w:r>
      <w:r w:rsidR="00280C96">
        <w:t xml:space="preserve">the </w:t>
      </w:r>
      <w:r w:rsidR="00690AA1">
        <w:t xml:space="preserve">score </w:t>
      </w:r>
      <w:r w:rsidR="00280C96">
        <w:t xml:space="preserve">were associated with red meat intake </w:t>
      </w:r>
      <w:r w:rsidR="00690AA1">
        <w:t>in a</w:t>
      </w:r>
      <w:r w:rsidR="00B12134">
        <w:t>n RCT</w:t>
      </w:r>
      <w:r w:rsidR="00011CB2">
        <w:t xml:space="preserve"> suggesti</w:t>
      </w:r>
      <w:r w:rsidR="003C0DA7">
        <w:t>ng a causal link between red meat intake and change of these metabolites</w:t>
      </w:r>
      <w:r w:rsidR="00690AA1">
        <w:t>. Finally</w:t>
      </w:r>
      <w:r w:rsidR="00011CB2">
        <w:t>,</w:t>
      </w:r>
      <w:r w:rsidR="00690AA1">
        <w:t xml:space="preserve"> we </w:t>
      </w:r>
      <w:r w:rsidR="009D6346">
        <w:t xml:space="preserve">found </w:t>
      </w:r>
      <w:r w:rsidR="00690AA1">
        <w:t xml:space="preserve">that the red meat </w:t>
      </w:r>
      <w:r w:rsidR="00AF2716">
        <w:t>metabolite</w:t>
      </w:r>
      <w:r w:rsidR="00C139F0">
        <w:t xml:space="preserve"> </w:t>
      </w:r>
      <w:r w:rsidR="00690AA1">
        <w:t xml:space="preserve">score </w:t>
      </w:r>
      <w:r w:rsidR="00286D12">
        <w:t xml:space="preserve">was </w:t>
      </w:r>
      <w:r w:rsidR="00690AA1">
        <w:t xml:space="preserve">associated with </w:t>
      </w:r>
      <w:r w:rsidR="00286D12">
        <w:t xml:space="preserve">T2D </w:t>
      </w:r>
      <w:r w:rsidR="00690AA1">
        <w:t xml:space="preserve">incidence and potentially </w:t>
      </w:r>
      <w:r w:rsidR="006B2B68">
        <w:t xml:space="preserve">also associated </w:t>
      </w:r>
      <w:r w:rsidR="00690AA1">
        <w:t xml:space="preserve">with other </w:t>
      </w:r>
      <w:proofErr w:type="spellStart"/>
      <w:r w:rsidR="00690AA1">
        <w:t>cardiometabolic</w:t>
      </w:r>
      <w:proofErr w:type="spellEnd"/>
      <w:r w:rsidR="00690AA1">
        <w:t xml:space="preserve"> diseases</w:t>
      </w:r>
      <w:r w:rsidR="006B2B68">
        <w:t xml:space="preserve">. </w:t>
      </w:r>
    </w:p>
    <w:p w14:paraId="0EFA9FCC" w14:textId="17B48B34" w:rsidR="00D71372" w:rsidRDefault="00AF2716" w:rsidP="00EF3667">
      <w:pPr>
        <w:pStyle w:val="Heading2"/>
      </w:pPr>
      <w:r>
        <w:t>Metabolite</w:t>
      </w:r>
      <w:r w:rsidR="00D71372">
        <w:t xml:space="preserve"> score</w:t>
      </w:r>
      <w:r w:rsidR="001966C5">
        <w:t>s</w:t>
      </w:r>
      <w:r w:rsidR="00D71372">
        <w:t xml:space="preserve"> </w:t>
      </w:r>
      <w:r w:rsidR="001966C5">
        <w:t xml:space="preserve">of </w:t>
      </w:r>
      <w:r w:rsidR="00D71372">
        <w:t xml:space="preserve">meat </w:t>
      </w:r>
      <w:r w:rsidR="001966C5">
        <w:t xml:space="preserve">consumption </w:t>
      </w:r>
    </w:p>
    <w:p w14:paraId="158BC27F" w14:textId="2E44E548" w:rsidR="00690AA1" w:rsidRDefault="00690AA1" w:rsidP="00D71372">
      <w:r>
        <w:t>Previous</w:t>
      </w:r>
      <w:r w:rsidR="001966C5">
        <w:t xml:space="preserve"> </w:t>
      </w:r>
      <w:r w:rsidR="00D71372">
        <w:t xml:space="preserve">evidence on combining biomarkers into scores to measure meat intake </w:t>
      </w:r>
      <w:r>
        <w:t>i</w:t>
      </w:r>
      <w:r w:rsidR="00D71372">
        <w:t>s limited. A</w:t>
      </w:r>
      <w:r w:rsidR="0074254E">
        <w:t xml:space="preserve"> trial </w:t>
      </w:r>
      <w:r w:rsidR="00D71372">
        <w:t>in Denmark indicated that</w:t>
      </w:r>
      <w:r w:rsidR="0074254E">
        <w:t xml:space="preserve"> combinations of several</w:t>
      </w:r>
      <w:r w:rsidR="00C20382">
        <w:t xml:space="preserve"> </w:t>
      </w:r>
      <w:r w:rsidR="00AF2716">
        <w:t>metabolic</w:t>
      </w:r>
      <w:r w:rsidR="0074254E">
        <w:t xml:space="preserve"> biomarkers of red meat intake </w:t>
      </w:r>
      <w:r w:rsidR="00D71372">
        <w:t xml:space="preserve">were more efficient than a single biomarker to classify </w:t>
      </w:r>
      <w:r w:rsidR="0074254E">
        <w:t>red m</w:t>
      </w:r>
      <w:r>
        <w:t>e</w:t>
      </w:r>
      <w:r w:rsidR="0074254E">
        <w:t xml:space="preserve">at consumers </w:t>
      </w:r>
      <w:r>
        <w:t>compared to</w:t>
      </w:r>
      <w:r w:rsidR="0074254E">
        <w:t xml:space="preserve"> other</w:t>
      </w:r>
      <w:r w:rsidR="000E0604">
        <w:t xml:space="preserve"> participants</w:t>
      </w:r>
      <w:r w:rsidR="00D47385">
        <w:t xml:space="preserve"> </w:t>
      </w:r>
      <w:r w:rsidR="00D71372">
        <w:fldChar w:fldCharType="begin" w:fldLock="1"/>
      </w:r>
      <w:r w:rsidR="003D41CF">
        <w:instrText>ADDIN CSL_CITATION {"citationItems":[{"id":"ITEM-1","itemData":{"DOI":"10.1002/mnfr.201900106","ISSN":"1613-4133 (Electronic) 1613-4125 (Linking)","abstract":"SCOPE: Biomarkers of red meat may clarify the relationship between meat intake and health. This paper explores the discovery of biomarkers of intake for three types of meat with varying heme iron content. Candidate biomarkers for red and general meat are further evaluated based on defined validation criteria. METHODS AND RESULTS: In a randomized cross-over meal study, healthy volunteers consume a randomized sequence of four test meals: chicken, pork, beef, and a control made of egg white and pea. Fasting and postprandial urine samples are collected to cover 48 h and profiled by untargeted LC-ESI-qTOF-MS metabolomics. The profiles following the meal challenges are explored by univariate and multivariate analyses. Nine red, four white, and eight general meat biomarkers are selected as putative biomarkers, originating from collagen degradation, flavour compounds, and amino acid metabolism. Heme-related metabolites are masked by the chlorophyll content of the control meal. The candidate biomarkers are confirmed in an independent meal study and validated for plausibility, robustness, time-response, and prediction performance. Combinations of biomarkers are more efficient than single markers in predicting meat intake. CONCLUSION: New combinations of partially validated biomarkers are proposed to assess terrestrial meat intake and thus help disentangle the effects of meat consumption on human health.","author":[{"dropping-particle":"","family":"Cuparencu","given":"C","non-dropping-particle":"","parse-names":false,"suffix":""},{"dropping-particle":"","family":"Rinnan","given":"A","non-dropping-particle":"","parse-names":false,"suffix":""},{"dropping-particle":"","family":"Dragsted","given":"L O","non-dropping-particle":"","parse-names":false,"suffix":""}],"container-title":"Mol Nutr Food Res","id":"ITEM-1","issued":{"date-parts":[["2019"]]},"note":"Cuparencu, Catalina\nRinnan, Asmund\nDragsted, Lars O\neng\nDanish Innovation Foundation\nGermany\n2019/05/30 06:00\nMol Nutr Food Res. 2019 May 29:e1900106. doi: 10.1002/mnfr.201900106.","page":"e1900106","publisher-place":"Department of Nutrition, Exercise and Sports, Faculty of Science, University of Copenhagen, 1958, Frederiksberg, Denmark. Department of Food Science, Faculty of Science, University of Copenhagen, 1958, Frederiksberg, Denmark.","title":"Combined Markers to Assess Meat Intake-Human Metabolomic Studies of Discovery and Validation","type":"article-journal"},"uris":["http://www.mendeley.com/documents/?uuid=c1378293-175c-44d0-86d5-1e1bca525ad0"]}],"mendeley":{"formattedCitation":"(12)","plainTextFormattedCitation":"(12)","previouslyFormattedCitation":"(12)"},"properties":{"noteIndex":0},"schema":"https://github.com/citation-style-language/schema/raw/master/csl-citation.json"}</w:instrText>
      </w:r>
      <w:r w:rsidR="00D71372">
        <w:rPr>
          <w:vertAlign w:val="superscript"/>
        </w:rPr>
        <w:fldChar w:fldCharType="separate"/>
      </w:r>
      <w:r w:rsidR="00AB1D57" w:rsidRPr="00AB1D57">
        <w:rPr>
          <w:noProof/>
        </w:rPr>
        <w:t>(12)</w:t>
      </w:r>
      <w:r w:rsidR="00D71372">
        <w:fldChar w:fldCharType="end"/>
      </w:r>
      <w:r w:rsidR="00D71372">
        <w:t>. However,</w:t>
      </w:r>
      <w:r w:rsidR="0074254E">
        <w:t xml:space="preserve"> </w:t>
      </w:r>
      <w:r w:rsidR="00C77E3C" w:rsidRPr="00C77E3C">
        <w:t xml:space="preserve">previous studies had not evaluated a dose-response association between meat </w:t>
      </w:r>
      <w:r w:rsidR="007845BB">
        <w:t>intake</w:t>
      </w:r>
      <w:r w:rsidR="007845BB" w:rsidRPr="00C77E3C">
        <w:t xml:space="preserve"> </w:t>
      </w:r>
      <w:r w:rsidR="00C77E3C" w:rsidRPr="00C77E3C">
        <w:t>and a combination of biomarke</w:t>
      </w:r>
      <w:r w:rsidR="00C77E3C">
        <w:t>rs</w:t>
      </w:r>
      <w:r w:rsidR="00D71372">
        <w:t xml:space="preserve">. </w:t>
      </w:r>
      <w:r w:rsidR="00C77E3C" w:rsidRPr="00C77E3C">
        <w:t xml:space="preserve">In this large population-based study, we estimated the absolute amounts of meat </w:t>
      </w:r>
      <w:r w:rsidR="007845BB">
        <w:t>intake</w:t>
      </w:r>
      <w:r w:rsidR="007845BB" w:rsidRPr="00C77E3C">
        <w:t xml:space="preserve"> </w:t>
      </w:r>
      <w:r w:rsidR="00C77E3C" w:rsidRPr="00C77E3C">
        <w:t>with 7dDD, which provide</w:t>
      </w:r>
      <w:r w:rsidR="00CC3918">
        <w:t>s</w:t>
      </w:r>
      <w:r w:rsidR="00C77E3C" w:rsidRPr="00C77E3C">
        <w:t xml:space="preserve"> more accurate estimates than a </w:t>
      </w:r>
      <w:r w:rsidR="00AE7C91">
        <w:t>FFQ</w:t>
      </w:r>
      <w:r w:rsidR="00C77E3C" w:rsidRPr="00C77E3C">
        <w:t xml:space="preserve"> to rank consumption</w:t>
      </w:r>
      <w:r w:rsidR="00C77E3C">
        <w:t xml:space="preserve"> levels</w:t>
      </w:r>
      <w:r w:rsidR="00D47385">
        <w:t xml:space="preserve"> </w:t>
      </w:r>
      <w:r w:rsidR="00AC4EFB">
        <w:fldChar w:fldCharType="begin" w:fldLock="1"/>
      </w:r>
      <w:r w:rsidR="00AC4EFB">
        <w:instrText>ADDIN CSL_CITATION {"citationItems":[{"id":"ITEM-1","itemData":{"DOI":"10.1079/phn2000102","ISSN":"1368-9800","PMID":"11415493","abstract":"OBJECTIVE To describe methods and dietary habits of a large population cohort. DESIGN Prospective assessment of diet using diet diaries and food-frequency questionnaires, and biomarkers of diet in 24-h urine collections and blood samples. SETTING Free living individuals aged 45 to 75 years living in Norfolk, UK. SUBJECTS Food and nutrient intake from a food-frequency questionnaire on 23 003 men and women, and from a 7-day diet diary from 2117 men and women. Nitrogen, sodium and potassium excretion was obtained from single 24-h urine samples from 300 individuals in the EPIC cohort. Plasma vitamin C was measured for 20 846 men and women. RESULTS The food-frequency questionnaire (FFQ) and the food diary were able to determine differences in foods and nutrients between the sexes and were reliable as judged by repeated administrations of each method. Plasma vitamin C was significantly higher in women than men. There were significant differences in mean intake of all nutrients measured by the two different methods in women but less so in men. The questionnaire overestimated dairy products and vegetables in both men and women when compared with intakes derived from the diary, but underestimated cereal and meat intake in men. There were some consistent trends with age in food and nutrient intakes assessed by both methods, particularly in men. Correlation coefficients between dietary intake assessed from the diary and excretion of nitrogen and potassium in a single 24-h urine sample ranged from 0.36 to 0.47. Those comparing urine excretion and intake assessed from the FFQ were 0.09 to 0.26. The correlations between plasma vitamin C and dietary intake from the first FFQ, 24-h recall or diary were 0.28, 0.35 and 0.40. CONCLUSIONS EPIC Norfolk is one of the largest epidemiological studies of nutrition in the UK and the largest on which plasma vitamin C has been obtained. Methods for obtaining food and nutrient intake are described in detail. The results shown here for food and nutrient intakes can be compared with results from other population studies utilising different methods of assessing dietary intake. The utility of different methods used in different settings within the main EPIC cohort is described. The FFQ is to be used particularly in pooled analyses of risk from diet in relation to cancer incidence within the larger European EPIC study, where measurement error is more likely to be overcome by large dietary heterogeneity on an international basis. Finding…","author":[{"dropping-particle":"","family":"Bingham","given":"Sheila A","non-dropping-particle":"","parse-names":false,"suffix":""},{"dropping-particle":"","family":"Welch","given":"Ailsa A","non-dropping-particle":"","parse-names":false,"suffix":""},{"dropping-particle":"","family":"McTaggart","given":"Alison","non-dropping-particle":"","parse-names":false,"suffix":""},{"dropping-particle":"","family":"Mulligan","given":"Angela A","non-dropping-particle":"","parse-names":false,"suffix":""},{"dropping-particle":"","family":"Runswick","given":"Shirley A","non-dropping-particle":"","parse-names":false,"suffix":""},{"dropping-particle":"","family":"Luben","given":"Robert","non-dropping-particle":"","parse-names":false,"suffix":""},{"dropping-particle":"","family":"Oakes","given":"Suzy","non-dropping-particle":"","parse-names":false,"suffix":""},{"dropping-particle":"","family":"Khaw","given":"Kay Tee","non-dropping-particle":"","parse-names":false,"suffix":""},{"dropping-particle":"","family":"Wareham","given":"Nicholas","non-dropping-particle":"","parse-names":false,"suffix":""},{"dropping-particle":"","family":"Day","given":"Nicholas E","non-dropping-particle":"","parse-names":false,"suffix":""}],"container-title":"Public Health Nutrition","id":"ITEM-1","issue":"3","issued":{"date-parts":[["2001"]]},"page":"847-858","title":"Nutritional methods in the European Prospective Investigation of Cancer in Norfolk","type":"article-journal","volume":"4"},"uris":["http://www.mendeley.com/documents/?uuid=c6ad462a-d7f4-4edc-aa73-6a3e4c8c3d98"]}],"mendeley":{"formattedCitation":"(27)","plainTextFormattedCitation":"(27)","previouslyFormattedCitation":"(27)"},"properties":{"noteIndex":0},"schema":"https://github.com/citation-style-language/schema/raw/master/csl-citation.json"}</w:instrText>
      </w:r>
      <w:r w:rsidR="00AC4EFB">
        <w:fldChar w:fldCharType="separate"/>
      </w:r>
      <w:r w:rsidR="00AC4EFB" w:rsidRPr="00AC4EFB">
        <w:rPr>
          <w:noProof/>
        </w:rPr>
        <w:t>(27)</w:t>
      </w:r>
      <w:r w:rsidR="00AC4EFB">
        <w:fldChar w:fldCharType="end"/>
      </w:r>
      <w:r w:rsidR="00C77E3C" w:rsidRPr="00C77E3C">
        <w:t>.</w:t>
      </w:r>
      <w:r w:rsidR="00C77E3C">
        <w:t xml:space="preserve"> </w:t>
      </w:r>
      <w:r w:rsidR="00D71372">
        <w:t xml:space="preserve">Our results indicate the utility of untargeted metabolomics </w:t>
      </w:r>
      <w:r w:rsidR="0074254E">
        <w:t xml:space="preserve">to </w:t>
      </w:r>
      <w:r w:rsidR="00743BAE">
        <w:t>generate</w:t>
      </w:r>
      <w:r w:rsidR="00D71372">
        <w:t xml:space="preserve"> an overall score </w:t>
      </w:r>
      <w:r w:rsidR="00743BAE">
        <w:t>to predict</w:t>
      </w:r>
      <w:r w:rsidR="00D71372">
        <w:t xml:space="preserve"> the level of meat </w:t>
      </w:r>
      <w:r w:rsidR="007845BB">
        <w:t xml:space="preserve">intake </w:t>
      </w:r>
      <w:r>
        <w:t>rather than</w:t>
      </w:r>
      <w:r w:rsidR="006B2C42">
        <w:t xml:space="preserve"> </w:t>
      </w:r>
      <w:r w:rsidR="006B2B68">
        <w:t>only being able</w:t>
      </w:r>
      <w:r>
        <w:t xml:space="preserve"> to discriminate between consumers and non-consumers</w:t>
      </w:r>
      <w:r w:rsidR="00D71372">
        <w:t>.</w:t>
      </w:r>
    </w:p>
    <w:p w14:paraId="3AE43B07" w14:textId="31BEA147" w:rsidR="001E0F06" w:rsidRDefault="00AB0D79" w:rsidP="001966C5">
      <w:r w:rsidRPr="005C135C">
        <w:t xml:space="preserve">The </w:t>
      </w:r>
      <w:r w:rsidR="00AF2716">
        <w:t>metabolite</w:t>
      </w:r>
      <w:r w:rsidRPr="005C135C">
        <w:t xml:space="preserve"> scores of meat consumption were </w:t>
      </w:r>
      <w:r w:rsidR="001C3E9B" w:rsidRPr="005C135C">
        <w:t>characterized</w:t>
      </w:r>
      <w:r w:rsidRPr="005C135C">
        <w:t xml:space="preserve"> by a wide range of metabolites, including lipids, amino acids</w:t>
      </w:r>
      <w:r w:rsidR="00286D12">
        <w:t>,</w:t>
      </w:r>
      <w:r w:rsidRPr="005C135C">
        <w:t xml:space="preserve"> and </w:t>
      </w:r>
      <w:proofErr w:type="spellStart"/>
      <w:r w:rsidRPr="005C135C">
        <w:t>xenobiotics</w:t>
      </w:r>
      <w:proofErr w:type="spellEnd"/>
      <w:r w:rsidRPr="005C135C">
        <w:t xml:space="preserve">. </w:t>
      </w:r>
      <w:r w:rsidR="00D71372">
        <w:t>Se</w:t>
      </w:r>
      <w:r w:rsidR="00CA7181">
        <w:t>veral</w:t>
      </w:r>
      <w:r w:rsidR="00D71372">
        <w:t xml:space="preserve"> metabolites that constitute the </w:t>
      </w:r>
      <w:r w:rsidR="00B53502">
        <w:t xml:space="preserve">derived </w:t>
      </w:r>
      <w:r w:rsidR="00D71372" w:rsidRPr="00563C84">
        <w:t>scores have b</w:t>
      </w:r>
      <w:r w:rsidR="00D71372">
        <w:t xml:space="preserve">een identified by previous </w:t>
      </w:r>
      <w:r w:rsidR="001966C5">
        <w:t>studies</w:t>
      </w:r>
      <w:r w:rsidR="00F3040D">
        <w:t xml:space="preserve">, such as </w:t>
      </w:r>
      <w:r w:rsidR="00587E7C">
        <w:t>TMAO,</w:t>
      </w:r>
      <w:r w:rsidR="00FA1932">
        <w:t xml:space="preserve"> </w:t>
      </w:r>
      <w:r w:rsidR="001C69C0">
        <w:t xml:space="preserve">trans-4-hydroxyproline, </w:t>
      </w:r>
      <w:proofErr w:type="spellStart"/>
      <w:r w:rsidR="001C69C0">
        <w:t>creatine</w:t>
      </w:r>
      <w:proofErr w:type="spellEnd"/>
      <w:r w:rsidR="001C69C0">
        <w:t xml:space="preserve">, </w:t>
      </w:r>
      <w:r w:rsidR="00C139F0">
        <w:t xml:space="preserve">and </w:t>
      </w:r>
      <w:proofErr w:type="spellStart"/>
      <w:r w:rsidR="001C69C0">
        <w:t>stearoylcarnitine</w:t>
      </w:r>
      <w:proofErr w:type="spellEnd"/>
      <w:r w:rsidR="00D47385">
        <w:t xml:space="preserve"> </w:t>
      </w:r>
      <w:r w:rsidR="001966C5">
        <w:fldChar w:fldCharType="begin" w:fldLock="1"/>
      </w:r>
      <w:r w:rsidR="00AC4EFB">
        <w:instrText xml:space="preserve">ADDIN CSL_CITATION {"citationItems":[{"id":"ITEM-1","itemData":{"DOI":"10.1186/s12263-019-0656-4","ISSN":"18653499","abstract":"Meat, including fish and shellfish, represents a valuable constituent of most balanced diets. Consumption of different types of meat and fish has been associated with both beneficial and adverse health effects. While white meats and fish are generally associated with positive health outcomes, red and especially processed meats have been associated with colorectal cancer and other diseases. The contribution of these foods to the development or prevention of chronic diseases is still not fully elucidated. One of the main problems is the difficulty in properly evaluating meat intake, as the existing self-reporting tools for dietary assessment may be imprecise and therefore affected by systematic and random errors. Dietary biomarkers measured in biological fluids have been proposed as possible objective measurements of the actual intake of specific foods and as a support for classical assessment methods. Good biomarkers for meat intake should reflect total dietary intake of meat, independent of source or processing and should be able to differentiate meat consumption from that of other protein-rich foods; alternatively, meat intake biomarkers should be specific to each of the different meat sources (e.g., red vs. white; fish, bird, or mammal) and/or cooking methods. In this paper, we present a systematic investigation of the scientific literature while providing a comprehensive overview of the possible biomarker(s) for the intake of different types of meat, including fish and shellfish, and processed and heated meats according to published guidelines for biomarker reviews (BFIrev). The most promising biomarkers are further validated </w:instrText>
      </w:r>
      <w:r w:rsidR="00AC4EFB">
        <w:rPr>
          <w:rFonts w:hint="eastAsia"/>
        </w:rPr>
        <w:instrText>for their usefulness for dietary assessment by published validation criteria.","author":[{"dropping-particle":"","family":"Cuparencu","given":"C</w:instrText>
      </w:r>
      <w:r w:rsidR="00AC4EFB">
        <w:rPr>
          <w:rFonts w:hint="eastAsia"/>
        </w:rPr>
        <w:instrText>ǎ</w:instrText>
      </w:r>
      <w:r w:rsidR="00AC4EFB">
        <w:rPr>
          <w:rFonts w:hint="eastAsia"/>
        </w:rPr>
        <w:instrText>t</w:instrText>
      </w:r>
      <w:r w:rsidR="00AC4EFB">
        <w:rPr>
          <w:rFonts w:hint="eastAsia"/>
        </w:rPr>
        <w:instrText>ǎ</w:instrText>
      </w:r>
      <w:r w:rsidR="00AC4EFB">
        <w:rPr>
          <w:rFonts w:hint="eastAsia"/>
        </w:rPr>
        <w:instrText>lina","non-dropping-particle":"","parse-names":false,"suffix":""},{"dropping-particle":"","family":"Pratic</w:instrText>
      </w:r>
      <w:r w:rsidR="00AC4EFB">
        <w:rPr>
          <w:rFonts w:hint="eastAsia"/>
        </w:rPr>
        <w:instrText>ó</w:instrText>
      </w:r>
      <w:r w:rsidR="00AC4EFB">
        <w:rPr>
          <w:rFonts w:hint="eastAsia"/>
        </w:rPr>
        <w:instrText>"</w:instrText>
      </w:r>
      <w:r w:rsidR="00AC4EFB">
        <w:instrText>,"given":"Giulia","non-dropping-particle":"","parse-names":false,"suffix":""},{"dropping-particle":"","family":"Hemeryck","given":"Lieselot Y.","non-dropping-particle":"","parse-names":false,"suffix":""},{"dropping-particle":"","family":"Sri Harsha","given":"Pedapati S.C.","non-dropping-particle":"","parse-names":false,"suffix":""},{"dropping-particle":"","family":"Noerman","given":"Stefania","non-dropping-particle":"","parse-names":false,"suffix":""},{"dropping-particle":"","family":"Rombouts","given":"Caroline","non-dropping-particle":"","parse-names":false,"suffix":""},{"dropping-particle":"","family":"Xi","given":"Muyao","non-dropping-particle":"","parse-names":false,"suffix":""},{"dropping-particle":"","family":"Vanhaecke","given":"Lynn","non-dropping-particle":"","parse-names":false,"suffix":""},{"dropping-particle":"","family":"Hanhineva","given":"Kati","non-dropping-particle":"","parse-names":false,"suffix":""},{"dropping-particle":"","family":"Brennan","given":"Lorraine","non-dropping-particle":"","parse-names":false,"suffix":""},{"dropping-particle":"","family":"Dragsted","given":"Lars O.","non-dropping-particle":"","parse-names":false,"suffix":""}],"container-title":"Genes and Nutrition","id":"ITEM-1","issue":"1","issued":{"date-parts":[["2019","12","30"]]},"publisher":"BioMed Central Ltd.","title":"Biomarkers of meat and seafood intake: An extensive literature review","type":"article","volume":"14"},"uris":["http://www.mendeley.com/documents/?uuid=63504ac3-47e6-36bc-9ff0-6cf275a96272"]},{"id":"ITEM-2","itemData":{"DOI":"10.1093/ajcn/nqaa140","ISSN":"19383207","PMID":"32492168","abstract":"Background: Acylcarnitines (ACs) play a major role in fatty acid metabolism and are potential markers of metabolic dysfunction with higher blood concentrations reported in obese and diabetic individuals. Diet, and in particular red and processed meat intake, has been shown to influence AC concentrations but data on the effect of meat consumption on AC concentrations is limited. Objectives: To investigate the effect of red and processed meat intake on AC concentrations in plasma and urine using a randomized controlled trial with replication in an observational cohort. Methods: In the randomized crossover trial, 12 volunteers successively consumed 2 different diets containing either pork or tofu for 3 d each. A panel of 44 ACs including several oxidized ACs was analyzed by LC-MS in plasma and urine samples collected after the 3-d period. ACs that were associated with pork intake were then measured in urine (n = 474) and serum samples (n = 451) from the European Prospective Investigation into Cancer and nutrition (EPIC) study and tested for associations with habitual red and processed meat intake derived from dietary questionnaires. Results: In urine samples from the intervention study, pork intake was positively associated with concentrations of 18 short- and medium-chain ACs. Eleven of these were also positively associated with habitual red and processed meat intake in the EPIC cross-sectional study. In blood, C18:0 was positively associated with red meat intake in both the intervention study (q = 0.004, Student's t-test) and the cross-sectional study (q = 0.033, linear regression). Conclusions: AC concentrations in urine and blood were associated with red meat intake in both a highly controlled intervention study and in subjects of a cross-sectional study. Our data on the role of meat intake on this important pathway of fatty acid and energy metabolism may help understanding the role of red meat consumption in the etiology of some chronic diseases. This trial was registered at clinicaltrials.gov as NCT03354130. Am J Clin Nutr 2020;112:381-388.","author":[{"dropping-particle":"","family":"Wedekind","given":"Roland","non-dropping-particle":"","parse-names":false,"suffix":""},{"dropping-particle":"","family":"Kiss","given":"Agneta","non-dropping-particle":"","parse-names":false,"suffix":""},{"dropping-particle":"","family":"Keski-Rahkonen","given":"Pekka","non-dropping-particle":"","parse-names":false,"suffix":""},{"dropping-particle":"","family":"Viallon","given":"Vivian","non-dropping-particle":"","parse-names":false,"suffix":""},{"dropping-particle":"","family":"Rothwell","given":"Joseph A.","non-dropping-particle":"","parse-names":false,"suffix":""},{"dropping-particle":"","family":"Cross","given":"Amanda J.","non-dropping-particle":"","parse-names":false,"suffix":""},{"dropping-particle":"","family":"Rostgaard-Hansen","given":"Agnetha Linn","non-dropping-particle":"","parse-names":false,"suffix":""},{"dropping-particle":"","family":"Sandanger","given":"Torkjel M.","non-dropping-particle":"","parse-names":false,"suffix":""},{"dropping-particle":"","family":"Jakszyn","given":"Paula","non-dropping-particle":"","parse-names":false,"suffix":""},{"dropping-particle":"","family":"Schmidt","given":"Julie A.","non-dropping-particle":"","parse-names":false,"suffix":""},{"dropping-particle":"","family":"Pala","given":"Valeria","non-dropping-particle":"","parse-names":false,"suffix":""},{"dropping-particle":"","family":"Vermeulen","given":"Roel","non-dropping-particle":"","parse-names":false,"suffix":""},{"dropping-particle":"","family":"Schulze","given":"Matthias B.","non-dropping-particle":"","parse-names":false,"suffix":""},{"dropping-particle":"","family":"Kühn","given":"Tilman","non-dropping-particle":"","parse-names":false,"suffix":""},{"dropping-particle":"","family":"Johnson","given":"Theron","non-dropping-particle":"","parse-names":false,"suffix":""},{"dropping-particle":"","family":"Trichopoulou","given":"Antonia","non-dropping-particle":"","parse-names":false,"suffix":""},{"dropping-particle":"","family":"Peppa","given":"Eleni","non-dropping-particle":"","parse-names":false,"suffix":""},{"dropping-particle":"La","family":"Vechia","given":"Carlo","non-dropping-particle":"","parse-names":false,"suffix":""},{"dropping-particle":"","family":"Masala","given":"Giovanna","non-dropping-particle":"","parse-names":false,"suffix":""},{"dropping-particle":"","family":"Tumino","given":"Rosario","non-dropping-particle":"","parse-names":false,"suffix":""},{"dropping-particle":"","family":"Sacerdote","given":"Carlotta","non-dropping-particle":"","parse-names":false,"suffix":""},{"dropping-particle":"","family":"Wittenbecher","given":"Clemens","non-dropping-particle":"","parse-names":false,"suffix":""},{"dropping-particle":"","family":"Magistris","given":"Maria Santucci","non-dropping-particle":"de","parse-names":false,"suffix":""},{"dropping-particle":"","family":"Dahm","given":"Christina C.","non-dropping-particle":"","parse-names":false,"suffix":""},{"dropping-particle":"","family":"Severi","given":"Gianluca","non-dropping-particle":"","parse-names":false,"suffix":""},{"dropping-particle":"","family":"Mancini","given":"Francesca Romana","non-dropping-particle":"","parse-names":false,"suffix":""},{"dropping-particle":"","family":"Weiderpass","given":"Elisabete","non-dropping-particle":"","parse-names":false,"suffix":""},{"dropping-particle":"","family":"Gunter","given":"Marc J.","non-dropping-particle":"","parse-names":false,"suffix":""},{"dropping-particle":"","family":"Huybrechts","given":"Inge","non-dropping-particle":"","parse-names":false,"suffix":""},{"dropping-particle":"","family":"Scalbert","given":"Augustin","non-dropping-particle":"","parse-names":false,"suffix":""}],"container-title":"American Journal of Clinical Nutrition","id":"ITEM-2","issue":"2","issued":{"date-parts":[["2020"]]},"page":"381-388","title":"A metabolomic study of red and processed meat intake and acylcarnitine concentrations in human urine and blood","type":"article-journal","volume":"112"},"uris":["http://www.mendeley.com/documents/?uuid=7ec26679-7da3-41f0-bc9e-f392d206931f"]},{"id":"ITEM-3","itemData":{"DOI":"10.3945/ajcn.116.146639","ISSN":"0002-9165","abstract":"Background: Meat and fish intakes have been associated with various chronic diseases. The use of specific biomarkers may help to assess meat and fish intake and improve subject classification according to the amount and type of meat or fish consumed. Objective: A metabolomic approach was applied to search for biomarkers of meat and fish intake in a dietary intervention study and in free-living subjects from the European Prospective Investigation into Cancer and Nutrition (EPIC) study. Design: In the dietary intervention study, 4 groups of 10 subjects consumed increasing quantities of chicken, red meat, processed meat, and fish over 3 successive weeks. Twenty-four-hour urine samples were collected during each period and analyzed by high-resolution liquid chromatography-mass spectrometry. Signals characteristic of meat or fish intake were replicated in 50 EPIC subjects for whom a 24-h urine sample and 24-h dietary recall were available and who were selected for their exclusive intake or no intake of any of the 4 same foods. Results: A total of 249 mass spectrometric features showed a positive dose-dependent response to meat or fish intake in the intervention study. Eighteen of these features best predicted intake of the 4 food groups in the EPIC urine samples on the basis of partial receiver operator curve analyses with permutation testing (areas under the curve ranging between 0.61 and 1.0). Of these signals, 8 metabolites were identified. Anserine was found to be specific for chicken intake, whereas trimethylamine-N-oxide showed good specificity for fish. Carnosine and 3 acylcarnitines (acetylcarnitine, propionylcarnitine, and 2-methylbutyrylcarnitine) appeared to be more generic indicators of meat and meat and fish intake, respectively. Conclusion: The meat and fish biomarkers identified in this work may be used to study associations between meat and fish intake and disease risk in epidemiologic studies.","author":[{"dropping-particle":"","family":"Cheung","given":"W","non-dropping-particle":"","parse-names":false,"suffix":""},{"dropping-particle":"","family":"Keski-Rahkonen","given":"P","non-dropping-particle":"","parse-names":false,"suffix":""},{"dropping-particle":"","family":"Assi","given":"N","non-dropping-particle":"","parse-names":false,"suffix":""},{"dropping-particle":"","family":"Ferrari","given":"P","non-dropping-particle":"","parse-names":false,"suffix":""},{"dropping-particle":"","family":"Freisling","given":"H","non-dropping-particle":"","parse-names":false,"suffix":""},{"dropping-particle":"","family":"Rinaldi","given":"S","non-dropping-particle":"","parse-names":false,"suffix":""},{"dropping-particle":"","family":"Slimani","given":"N","non-dropping-particle":"","parse-names":false,"suffix":""},{"dropping-particle":"","family":"Zamora-Ros","given":"R","non-dropping-particle":"","parse-names":false,"suffix":""},{"dropping-particle":"","family":"Rundle","given":"M","non-dropping-particle":"","parse-names":false,"suffix":""},{"dropping-particle":"","family":"Frost","given":"G","non-dropping-particle":"","parse-names":false,"suffix":""},{"dropping-particle":"","family":"Gibbons","given":"H","non-dropping-particle":"","parse-names":false,"suffix":""},{"dropping-particle":"","family":"Carr","given":"E","non-dropping-particle":"","parse-names":false,"suffix":""},{"dropping-particle":"","family":"Brennan","given":"L","non-dropping-particle":"","parse-names":false,"suffix":""},{"dropping-particle":"","family":"Cross","given":"A J","non-dropping-particle":"","parse-names":false,"suffix":""},{"dropping-particle":"","family":"Pala","given":"V","non-dropping-particle":"","parse-names":false,"suffix":""},{"dropping-particle":"","family":"Panico","given":"S","non-dropping-particle":"","parse-names":false,"suffix":""},{"dropping-particle":"","family":"Sacerdote","given":"C","non-dropping-particle":"","parse-names":false,"suffix":""},{"dropping-particle":"","family":"Palli","given":"D","non-dropping-particle":"","parse-names":false,"suffix":""},{"dropping-particle":"","family":"Tumino","given":"R","non-dropping-particle":"","parse-names":false,"suffix":""},{"dropping-particle":"","family":"Kuehn","given":"T","non-dropping-particle":"","parse-names":false,"suffix":""},{"dropping-particle":"","family":"Kaaks","given":"R","non-dropping-particle":"","parse-names":false,"suffix":""},{"dropping-particle":"","family":"Boeing","given":"H","non-dropping-particle":"","parse-names":false,"suffix":""},{"dropping-particle":"","family":"Floegel","given":"A","non-dropping-particle":"","parse-names":false,"suffix":""},{"dropping-particle":"","family":"Mancini","given":"F","non-dropping-particle":"","parse-names":false,"suffix":""},{"dropping-particle":"","family":"Boutron-Ruault","given":"M C","non-dropping-particle":"","parse-names":false,"suffix":""},{"dropping-particle":"","family":"Baglietto","given":"L","non-dropping-particle":"","parse-names":false,"suffix":""},{"dropping-particle":"","family":"Trichopoulou","given":"A","non-dropping-particle":"","parse-names":false,"suffix":""},{"dropping-particle":"","family":"Naska","given":"A","non-dropping-particle":"","parse-names":false,"suffix":""},{"dropping-particle":"","family":"Orfanos","given":"P","non-dropping-particle":"","parse-names":false,"suffix":""},{"dropping-particle":"","family":"Scalbert","given":"A","non-dropping-particle":"","parse-names":false,"suffix":""}],"container-title":"American Journal of Clinical Nutrition","id":"ITEM-3","issue":"3","issued":{"date-parts":[["2017"]]},"language":"English","note":"Er6qn\nTimes Cited:18\nCited References Count:53","page":"600-608","publisher-place":"Int Agcy Res Canc, Lyon, France Imperial Coll London, Sch Publ Hlth, Nutr &amp; Dietet Res Grp, Div Endocrinol &amp; Metab, London, England Imperial Coll London, Sch Publ Hlth, Dept Epidemiol &amp; Biostat, London, England Univ Coll Dublin, Sch Agr &amp; Food Sci, Inst F","title":"A metabolomic study of biomarkers of meat and fish intake","type":"article-journal","volume":"105"},"uris":["http://www.mendeley.com/documents/?uuid=4cb3896d-efc2-4cf3-aa61-5b235aaa348a"]}],"mendeley":{"formattedCitation":"(10,11,28)","plainTextFormattedCitation":"(10,11,28)","previouslyFormattedCitation":"(10,11,28)"},"properties":{"noteIndex":0},"schema":"https://github.com/citation-style-language/schema/raw/master/csl-citation.json"}</w:instrText>
      </w:r>
      <w:r w:rsidR="001966C5">
        <w:rPr>
          <w:vertAlign w:val="superscript"/>
        </w:rPr>
        <w:fldChar w:fldCharType="separate"/>
      </w:r>
      <w:r w:rsidR="00AC4EFB" w:rsidRPr="00AC4EFB">
        <w:rPr>
          <w:noProof/>
        </w:rPr>
        <w:t>(10,11,28)</w:t>
      </w:r>
      <w:r w:rsidR="001966C5">
        <w:fldChar w:fldCharType="end"/>
      </w:r>
      <w:r w:rsidR="001966C5">
        <w:t>.</w:t>
      </w:r>
      <w:r w:rsidR="00C139F0">
        <w:t xml:space="preserve"> </w:t>
      </w:r>
      <w:r w:rsidR="003F3F11">
        <w:t>Specifically, a</w:t>
      </w:r>
      <w:r w:rsidR="006E32DB" w:rsidRPr="006E32DB">
        <w:t>n RCT in the U</w:t>
      </w:r>
      <w:r w:rsidR="00923063">
        <w:t>nited States</w:t>
      </w:r>
      <w:r w:rsidR="006E32DB" w:rsidRPr="006E32DB">
        <w:t xml:space="preserve"> (n=113) reported that TMAO in plasma significantly increased after red meat </w:t>
      </w:r>
      <w:r w:rsidR="006E32DB" w:rsidRPr="006E32DB">
        <w:lastRenderedPageBreak/>
        <w:t xml:space="preserve">consumption compared to consumption of poultry </w:t>
      </w:r>
      <w:r w:rsidR="00672BDA">
        <w:t>or</w:t>
      </w:r>
      <w:r w:rsidR="006E32DB" w:rsidRPr="006E32DB">
        <w:t xml:space="preserve"> non-meat</w:t>
      </w:r>
      <w:r w:rsidR="00672BDA">
        <w:t xml:space="preserve"> products</w:t>
      </w:r>
      <w:r w:rsidR="006E32DB" w:rsidRPr="006E32DB">
        <w:t>. Positive associations of plasma TMAO levels with risk of cardiovascular disease, diabetes and all-cause mortality have been reported in several meta-analyses of clinical studies</w:t>
      </w:r>
      <w:r w:rsidR="00D47385">
        <w:t xml:space="preserve"> </w:t>
      </w:r>
      <w:r w:rsidR="00947A24">
        <w:fldChar w:fldCharType="begin" w:fldLock="1"/>
      </w:r>
      <w:r w:rsidR="00947A24">
        <w:instrText>ADDIN CSL_CITATION {"citationItems":[{"id":"ITEM-1","itemData":{"DOI":"10.1161/JAHA.116.004947","ISSN":"20479980","PMID":"28663251","abstract":"Background-Gut microbial metabolites have been implicated as novel risk factors for cardiovascular events and premature death. The strength and consistency of associations between blood concentrations of the gut microbial metabolites, trimethylamine-Noxide (TMAO) and its precursors, with major adverse cardiovascular events (MACE) or death have not been comprehensively assessed. We quantified associations of blood concentrations of TMAO and its precursors with risks of MACE and mortality. Methods and Results-PubMed and Embase databases were searched up, and a total of 19 prospective studies from 16 publications (n=19 256, including 3315 incident cases) with quantitative estimates of the associations of TMAO with the development of MACE or death were included in our main analysis. Multivariate-adjusted relative risks (RRs) were used when these were available. Elevated concentrations of TMAO were associated with a pooled RR of 1.62 (95% CI, 1.45, 1.80; Pheterogeneity=0.2; I2=23.5%) for MACE compared with low TMAO levels, and 1 study of black participants influenced the heterogeneity of the association. After excluding the data of blacks, the RRs were not different according to body mass index, prevalence of diabetes mellitus, history of cardiovascular diseases, and kidney dysfunction. Furthermore, elevated TMAO concentrations were associated with a pooled RR of 1.63 (1.36, 1.95) for all-cause mortality. Individuals with elevated concentrations of TMAO precursors (L-carnitine, choline, or betaine) had an approximately 1.3 to 1.4 times higher risk for MACE compared to those with low concentrations. Conclusions-Elevated concentrations of TMAO and its precursors were associated with increased risks of MACE and all-cause mortality independently of traditional risk factors.","author":[{"dropping-particle":"","family":"Heianza","given":"Yoriko","non-dropping-particle":"","parse-names":false,"suffix":""},{"dropping-particle":"","family":"Ma","given":"Wenjie","non-dropping-particle":"","parse-names":false,"suffix":""},{"dropping-particle":"","family":"Manson","given":"Jo Ann E.","non-dropping-particle":"","parse-names":false,"suffix":""},{"dropping-particle":"","family":"Rexrode","given":"Kathryn M.","non-dropping-particle":"","parse-names":false,"suffix":""},{"dropping-particle":"","family":"Qi","given":"Lu","non-dropping-particle":"","parse-names":false,"suffix":""}],"container-title":"Journal of the American Heart Association","id":"ITEM-1","issue":"7","issued":{"date-parts":[["2017","7","1"]]},"publisher":"John Wiley and Sons Inc.","title":"Gut microbiota metabolites and risk of major adverse cardiovascular disease events and death: A systematic review and meta-analysis of prospective studies","type":"article-journal","volume":"6"},"uris":["http://www.mendeley.com/documents/?uuid=bdab51ec-b550-3259-ac03-cd0433736bbd"]},{"id":"ITEM-2","itemData":{"DOI":"10.1016/j.nut.2020.110856","ISSN":"18731244","PMID":"32592979","abstract":"The gut microbiota-derived metabolite trimethylamine N-oxide (TMAO) has been regarded as one of the potent risk factors for cardiovascular events and diabetes. In the current meta-analysis we quantitatively summarized and updated the results of studies regarding the association between TMAO and mortality. A systematic search was performed from PubMed, ProQuest, Scopus, and Embase. All of the studies that evaluated the association between TMAO and mortality were included in the systematic review and meta-analysis. Subgroup analysis and meta-regression were performed to identify the source of heterogeneity. There were 31 230 participants included and the results showed that being in the highest category of TMAO increased the hazard ratio (HR) of mortality by 47%. Moreover, there was a non-linear association between increased TMAO concentrations and HR of mortality. In the current dose-response meta-analysis, we revealed a positive association between TMAO and mortality risk among an adult population.","author":[{"dropping-particle":"","family":"Farhangi","given":"Mahdieh Abbasalizad","non-dropping-particle":"","parse-names":false,"suffix":""}],"container-title":"Nutrition","id":"ITEM-2","issued":{"date-parts":[["2020","10","1"]]},"publisher":"Elsevier Inc.","title":"Gut microbiota-dependent trimethylamine N-oxide and all-cause mortality: Findings from an updated systematic review and meta-analysis","type":"article-journal","volume":"78"},"uris":["http://www.mendeley.com/documents/?uuid=8777da08-7078-35e8-b5a5-4d05404b8cc0"]},{"id":"ITEM-3","itemData":{"DOI":"10.1111/obr.12843","ISSN":"1467789X","PMID":"30868721","abstract":"Elevated circulating concentrations of the gut bacteria choline metabolite trimethylamine N-oxide (TMAO) were found in patients with type 2 diabetes mellitus (T2DM). However, whether a high level of TMAO is related to the risk of diabetes has not been studied. We aimed to synthesize the evidence on the relation between TMAO levels and the risk of diabetes mellitus (DM) and to investigate the association further in a dose-response meta-analysis. PubMed, Web of Science, and Scopus databases were searched for studies from inception to June 2018. A total of 12 clinical studies were included in this study, and 15 314 enrolled subjects were included. A meta-analysis of two-class variables and continuous variables were used to obtain pooled effects. Dose-response meta-analysis was used to investigate the dose-response relationship between TMAO concentrations and the risk of DM. Meta-regression and subgroup analyses were applied to identify the source of heterogeneity in this study. High levels of circulating TMAO were associated with an increased risk of DM (odds ratio [OR] = 1.89) using the two-class meta-analysis. Plasma levels of TMAO in patients with diabetes were higher than in subjects without diabetes (standardized mean difference [SMD]: 0.36) using a meta-analysis of continuous variables. The OR for DM prevalence increased by 54% per 5 μmol L−1 increment of plasma TMAO (OR = 1.54) according to the dose-response meta-analysis. This is the first systematic review and meta-analysis to demonstrate a positive dose-dependent association between circulating TMAO levels and increased diabetes risk.","author":[{"dropping-particle":"","family":"Zhuang","given":"Rulin","non-dropping-particle":"","parse-names":false,"suffix":""},{"dropping-particle":"","family":"Ge","given":"Xinyu","non-dropping-particle":"","parse-names":false,"suffix":""},{"dropping-particle":"","family":"Han","given":"Lu","non-dropping-particle":"","parse-names":false,"suffix":""},{"dropping-particle":"","family":"Yu","given":"Ping","non-dropping-particle":"","parse-names":false,"suffix":""},{"dropping-particle":"","family":"Gong","given":"Xin","non-dropping-particle":"","parse-names":false,"suffix":""},{"dropping-particle":"","family":"Meng","given":"Qingshu","non-dropping-particle":"","parse-names":false,"suffix":""},{"dropping-particle":"","family":"Zhang","given":"Yuzhen","non-dropping-particle":"","parse-names":false,"suffix":""},{"dropping-particle":"","family":"Fan","given":"Huimin","non-dropping-particle":"","parse-names":false,"suffix":""},{"dropping-particle":"","family":"Zheng","given":"Liang","non-dropping-particle":"","parse-names":false,"suffix":""},{"dropping-particle":"","family":"Liu","given":"Zhongmin","non-dropping-particle":"","parse-names":false,"suffix":""},{"dropping-particle":"","family":"Zhou","given":"Xiaohui","non-dropping-particle":"","parse-names":false,"suffix":""}],"container-title":"Obesity Reviews","id":"ITEM-3","issue":"6","issued":{"date-parts":[["2019","6","1"]]},"page":"883-894","publisher":"Blackwell Publishing Ltd","title":"Gut microbe–generated metabolite trimethylamine N-oxide and the risk of diabetes: A systematic review and dose-response meta-analysis","type":"article-journal","volume":"20"},"uris":["http://www.mendeley.com/documents/?uuid=372b6799-5312-3767-bf4a-adf4c9b50d97"]}],"mendeley":{"formattedCitation":"(29–31)","plainTextFormattedCitation":"(29–31)","previouslyFormattedCitation":"(29–31)"},"properties":{"noteIndex":0},"schema":"https://github.com/citation-style-language/schema/raw/master/csl-citation.json"}</w:instrText>
      </w:r>
      <w:r w:rsidR="00947A24">
        <w:fldChar w:fldCharType="separate"/>
      </w:r>
      <w:r w:rsidR="00947A24" w:rsidRPr="00AC4EFB">
        <w:rPr>
          <w:noProof/>
        </w:rPr>
        <w:t>(29–31)</w:t>
      </w:r>
      <w:r w:rsidR="00947A24">
        <w:fldChar w:fldCharType="end"/>
      </w:r>
      <w:r w:rsidR="006E32DB" w:rsidRPr="006E32DB">
        <w:t xml:space="preserve">. </w:t>
      </w:r>
      <w:r w:rsidR="00736F15">
        <w:t xml:space="preserve">These results </w:t>
      </w:r>
      <w:r w:rsidR="006E32DB" w:rsidRPr="006E32DB">
        <w:t>suggest that TMAO might be involved as part of underlying mechanisms between red meat intake and the devel</w:t>
      </w:r>
      <w:r w:rsidR="006E32DB">
        <w:t>opment of chronic disease</w:t>
      </w:r>
      <w:r w:rsidR="006E32DB" w:rsidRPr="006E32DB">
        <w:t>.</w:t>
      </w:r>
      <w:r w:rsidR="006E32DB">
        <w:t xml:space="preserve"> </w:t>
      </w:r>
      <w:r w:rsidR="000B2250">
        <w:t>In addition</w:t>
      </w:r>
      <w:r w:rsidR="00C139F0">
        <w:t xml:space="preserve"> to metabolites in the score of red meat intake</w:t>
      </w:r>
      <w:r w:rsidR="000B2250">
        <w:t xml:space="preserve">, several </w:t>
      </w:r>
      <w:r w:rsidR="00533C41">
        <w:t>metabolites specific to processed meat (e.g.</w:t>
      </w:r>
      <w:r w:rsidR="000B2250">
        <w:t>,</w:t>
      </w:r>
      <w:r w:rsidR="00533C41">
        <w:t xml:space="preserve"> </w:t>
      </w:r>
      <w:r w:rsidR="000B2250">
        <w:t xml:space="preserve">o-cresol </w:t>
      </w:r>
      <w:proofErr w:type="spellStart"/>
      <w:r w:rsidR="000B2250">
        <w:t>sulphate</w:t>
      </w:r>
      <w:proofErr w:type="spellEnd"/>
      <w:r w:rsidR="00533C41">
        <w:t>)</w:t>
      </w:r>
      <w:r w:rsidR="00D47385">
        <w:t xml:space="preserve"> </w:t>
      </w:r>
      <w:r w:rsidR="003B1361">
        <w:fldChar w:fldCharType="begin" w:fldLock="1"/>
      </w:r>
      <w:r w:rsidR="00AC4EFB">
        <w:instrText>ADDIN CSL_CITATION {"citationItems":[{"id":"ITEM-1","itemData":{"DOI":"10.1007/S00394-017-1546-4","ISSN":"1436-6215","PMID":"29086061","abstract":"Purpose: There is considerable interest in the effects of the intestinal microbiota (IM) composition, its activities in relation with the metabolism of dietary substrates and the impact these effects may have in the development and prevention of certain non-communicable diseases. It is acknowledged that a complex interdependence exists between the IM and the mammalian host and that the IM possesses a far greater diversity of genes and repertoire of metabolic and enzymatic capabilities than their hosts. However, full knowledge of the metabolic activities and interactions of the IM and the functional redundancy that may exist are lacking. Thus, the current review aims to assess recent literature relating to the role played by the IM in the absorption and metabolism of key nutrients and non-nutrients. Methods: A systematic review (PROSPERO registration: CRD42015019087) was carried out focussing on energy and the following candidate dietary substrates: protein, carbohydrate, fat, fibre, resistant starch (RS), and polyphenols to further understand the effect of the IM on the dietary substrates and the resulting by-products and host impacts. Particular attention was paid to the characterisation of the IM which are predominantly implicated in each case, changes in metabolites, and indirect markers and any potential impacts on the host. Results: Studies show that the IM plays a key role in the metabolism of the substrates studied. However, with the exception of studies focusing on fibre and polyphenols, there have been relatively few recent human studies specifically evaluating microbial metabolism. In addition, comparison of the effects of the IM across studies was difficult due to lack of specific analysis/description of the bacteria involved. Considerable animal-derived data exist, but experience suggests that care must be taken when extrapolating these results to humans. Nevertheless, it appears that the IM plays a role in energy homeostasis and that protein microbial breakdown and fermentation produced ammonia, amines, phenols and branch chain fatty acids, and a greater diversity in the microbes present. Few recent studies appear to have evaluated the effect of the IM composition and metabolism per se in relation with digestible dietary carbohydrate or fat in humans. Intakes of RS and prebiotics altered levels of specific taxa that selectively metabolised specific prebiotic/carbohydrate-type substances and levels of bifidobacteria and lactobacilli were obs…","author":[{"dropping-particle":"","family":"Shortt","given":"C","non-dropping-particle":"","parse-names":false,"suffix":""},{"dropping-particle":"","family":"Hasselwander","given":"O","non-dropping-particle":"","parse-names":false,"suffix":""},{"dropping-particle":"","family":"A Meynie","given":"R","non-dropping-particle":"","parse-names":false,"suffix":""},{"dropping-particle":"","family":"Nauta","given":"A","non-dropping-particle":"","parse-names":false,"suffix":""},{"dropping-particle":"","family":"Fernández","given":"EN","non-dropping-particle":"","parse-names":false,"suffix":""},{"dropping-particle":"","family":"P","given":"Putz","non-dropping-particle":"","parse-names":false,"suffix":""},{"dropping-particle":"","family":"Rowland","given":"I","non-dropping-particle":"","parse-names":false,"suffix":""},{"dropping-particle":"","family":"Swann","given":"J","non-dropping-particle":"","parse-names":false,"suffix":""},{"dropping-particle":"","family":"Türk","given":"J","non-dropping-particle":"","parse-names":false,"suffix":""},{"dropping-particle":"","family":"Vermeiren","given":"J","non-dropping-particle":"","parse-names":false,"suffix":""},{"dropping-particle":"","family":"Antoine","given":"JM","non-dropping-particle":"","parse-names":false,"suffix":""}],"container-title":"European journal of nutrition","id":"ITEM-1","issue":"1","issued":{"date-parts":[["2018","2","1"]]},"page":"25-49","publisher":"Eur J Nutr","title":"Systematic review of the effects of the intestinal microbiota on selected nutrients and non-nutrients","type":"article-journal","volume":"57"},"uris":["http://www.mendeley.com/documents/?uuid=7e2abe52-3407-33ba-87d5-6198fd5fc11d"]},{"id":"ITEM-2","itemData":{"DOI":"10.1002/MNFR.201700834","ISSN":"1613-4133","PMID":"29468821","abstract":"Scope: The impact of meat consumption on human health is widely examined in nutritional epidemiological studies, especially due to the connection between the consumption of red and processed meat and the risk of colon cancer. Food questionnaires do not assess the exposure to different methods of meat cooking. This study aimed to identify biomarkers of the acute ingestion of bovine meat cooked with two different processes. Methods and results: Non-targeted UPLC-MS metabolite profiling was done on urine samples obtained from 24 healthy volunteers before and 8 h after the ingestion of a single meal composed of intrinsically 15N labelled bovine meat, either cooked at 55 °C for 5 min or at 90 °C for 30 min. A discriminant analysis extension of independent components analysis was applied to the mass spectral data. After meat ingestion, the urinary excretion of 1-methylhistidine, phenylacetylglutamine, and short- and medium-chained acylcarnitines was observed. 15N labelling was detected in these metabolites, thus confirming their origin from ingested meat. However, no difference was observed in urinary metabolomic profiles according to the meat cooking process used. Conclusion: Meat ingestion led to the excretion of several nitrogen-containing compounds, but although a metabolic signature was detected for meat ingestion, the impact of the cooking process was not detectable at the level of urinary metabolic signature in our experimental conditions.","author":[{"dropping-particle":"","family":"Khodorova","given":"NV","non-dropping-particle":"","parse-names":false,"suffix":""},{"dropping-particle":"","family":"Rutledge","given":"DN","non-dropping-particle":"","parse-names":false,"suffix":""},{"dropping-particle":"","family":"Oberli","given":"M","non-dropping-particle":"","parse-names":false,"suffix":""},{"dropping-particle":"","family":"Mathiron","given":"D","non-dropping-particle":"","parse-names":false,"suffix":""},{"dropping-particle":"","family":"Marcelo","given":"P","non-dropping-particle":"","parse-names":false,"suffix":""},{"dropping-particle":"","family":"Benamouzig","given":"R","non-dropping-particle":"","parse-names":false,"suffix":""},{"dropping-particle":"","family":"Tomé","given":"D","non-dropping-particle":"","parse-names":false,"suffix":""},{"dropping-particle":"","family":"Gaudichon","given":"C","non-dropping-particle":"","parse-names":false,"suffix":""},{"dropping-particle":"","family":"Pilard","given":"S","non-dropping-particle":"","parse-names":false,"suffix":""}],"container-title":"Molecular nutrition &amp; food research","id":"ITEM-2","issue":"1","issued":{"date-parts":[["2019","1","1"]]},"publisher":"Mol Nutr Food Res","title":"Urinary Metabolomics Profiles Associated to Bovine Meat Ingestion in Humans","type":"article-journal","volume":"63"},"uris":["http://www.mendeley.com/documents/?uuid=9892e0a0-934d-35d3-a162-170ff87f3282"]}],"mendeley":{"formattedCitation":"(32,33)","plainTextFormattedCitation":"(32,33)","previouslyFormattedCitation":"(32,33)"},"properties":{"noteIndex":0},"schema":"https://github.com/citation-style-language/schema/raw/master/csl-citation.json"}</w:instrText>
      </w:r>
      <w:r w:rsidR="003B1361">
        <w:fldChar w:fldCharType="separate"/>
      </w:r>
      <w:r w:rsidR="00AC4EFB" w:rsidRPr="00AC4EFB">
        <w:rPr>
          <w:noProof/>
        </w:rPr>
        <w:t>(32,33)</w:t>
      </w:r>
      <w:r w:rsidR="003B1361">
        <w:fldChar w:fldCharType="end"/>
      </w:r>
      <w:r w:rsidR="00533C41">
        <w:t xml:space="preserve"> o</w:t>
      </w:r>
      <w:r w:rsidR="000B2250">
        <w:t>r</w:t>
      </w:r>
      <w:r w:rsidR="00533C41">
        <w:t xml:space="preserve"> poultry</w:t>
      </w:r>
      <w:r w:rsidR="00F41CD3">
        <w:t xml:space="preserve"> consumption</w:t>
      </w:r>
      <w:r w:rsidR="00E230E1">
        <w:t xml:space="preserve"> </w:t>
      </w:r>
      <w:r w:rsidR="00533C41">
        <w:t>(e.g.,</w:t>
      </w:r>
      <w:r w:rsidR="000B2250">
        <w:t xml:space="preserve"> 3-methylhistidine</w:t>
      </w:r>
      <w:r w:rsidR="00C139F0">
        <w:t>)</w:t>
      </w:r>
      <w:r w:rsidR="00D47385">
        <w:t xml:space="preserve"> </w:t>
      </w:r>
      <w:r w:rsidR="00F41CD3">
        <w:fldChar w:fldCharType="begin" w:fldLock="1"/>
      </w:r>
      <w:r w:rsidR="003D41CF">
        <w:instrText>ADDIN CSL_CITATION {"citationItems":[{"id":"ITEM-1","itemData":{"DOI":"10.3945/ajcn.116.146639","ISSN":"0002-9165","abstract":"Background: Meat and fish intakes have been associated with various chronic diseases. The use of specific biomarkers may help to assess meat and fish intake and improve subject classification according to the amount and type of meat or fish consumed. Objective: A metabolomic approach was applied to search for biomarkers of meat and fish intake in a dietary intervention study and in free-living subjects from the European Prospective Investigation into Cancer and Nutrition (EPIC) study. Design: In the dietary intervention study, 4 groups of 10 subjects consumed increasing quantities of chicken, red meat, processed meat, and fish over 3 successive weeks. Twenty-four-hour urine samples were collected during each period and analyzed by high-resolution liquid chromatography-mass spectrometry. Signals characteristic of meat or fish intake were replicated in 50 EPIC subjects for whom a 24-h urine sample and 24-h dietary recall were available and who were selected for their exclusive intake or no intake of any of the 4 same foods. Results: A total of 249 mass spectrometric features showed a positive dose-dependent response to meat or fish intake in the intervention study. Eighteen of these features best predicted intake of the 4 food groups in the EPIC urine samples on the basis of partial receiver operator curve analyses with permutation testing (areas under the curve ranging between 0.61 and 1.0). Of these signals, 8 metabolites were identified. Anserine was found to be specific for chicken intake, whereas trimethylamine-N-oxide showed good specificity for fish. Carnosine and 3 acylcarnitines (acetylcarnitine, propionylcarnitine, and 2-methylbutyrylcarnitine) appeared to be more generic indicators of meat and meat and fish intake, respectively. Conclusion: The meat and fish biomarkers identified in this work may be used to study associations between meat and fish intake and disease risk in epidemiologic studies.","author":[{"dropping-particle":"","family":"Cheung","given":"W","non-dropping-particle":"","parse-names":false,"suffix":""},{"dropping-particle":"","family":"Keski-Rahkonen","given":"P","non-dropping-particle":"","parse-names":false,"suffix":""},{"dropping-particle":"","family":"Assi","given":"N","non-dropping-particle":"","parse-names":false,"suffix":""},{"dropping-particle":"","family":"Ferrari","given":"P","non-dropping-particle":"","parse-names":false,"suffix":""},{"dropping-particle":"","family":"Freisling","given":"H","non-dropping-particle":"","parse-names":false,"suffix":""},{"dropping-particle":"","family":"Rinaldi","given":"S","non-dropping-particle":"","parse-names":false,"suffix":""},{"dropping-particle":"","family":"Slimani","given":"N","non-dropping-particle":"","parse-names":false,"suffix":""},{"dropping-particle":"","family":"Zamora-Ros","given":"R","non-dropping-particle":"","parse-names":false,"suffix":""},{"dropping-particle":"","family":"Rundle","given":"M","non-dropping-particle":"","parse-names":false,"suffix":""},{"dropping-particle":"","family":"Frost","given":"G","non-dropping-particle":"","parse-names":false,"suffix":""},{"dropping-particle":"","family":"Gibbons","given":"H","non-dropping-particle":"","parse-names":false,"suffix":""},{"dropping-particle":"","family":"Carr","given":"E","non-dropping-particle":"","parse-names":false,"suffix":""},{"dropping-particle":"","family":"Brennan","given":"L","non-dropping-particle":"","parse-names":false,"suffix":""},{"dropping-particle":"","family":"Cross","given":"A J","non-dropping-particle":"","parse-names":false,"suffix":""},{"dropping-particle":"","family":"Pala","given":"V","non-dropping-particle":"","parse-names":false,"suffix":""},{"dropping-particle":"","family":"Panico","given":"S","non-dropping-particle":"","parse-names":false,"suffix":""},{"dropping-particle":"","family":"Sacerdote","given":"C","non-dropping-particle":"","parse-names":false,"suffix":""},{"dropping-particle":"","family":"Palli","given":"D","non-dropping-particle":"","parse-names":false,"suffix":""},{"dropping-particle":"","family":"Tumino","given":"R","non-dropping-particle":"","parse-names":false,"suffix":""},{"dropping-particle":"","family":"Kuehn","given":"T","non-dropping-particle":"","parse-names":false,"suffix":""},{"dropping-particle":"","family":"Kaaks","given":"R","non-dropping-particle":"","parse-names":false,"suffix":""},{"dropping-particle":"","family":"Boeing","given":"H","non-dropping-particle":"","parse-names":false,"suffix":""},{"dropping-particle":"","family":"Floegel","given":"A","non-dropping-particle":"","parse-names":false,"suffix":""},{"dropping-particle":"","family":"Mancini","given":"F","non-dropping-particle":"","parse-names":false,"suffix":""},{"dropping-particle":"","family":"Boutron-Ruault","given":"M C","non-dropping-particle":"","parse-names":false,"suffix":""},{"dropping-particle":"","family":"Baglietto","given":"L","non-dropping-particle":"","parse-names":false,"suffix":""},{"dropping-particle":"","family":"Trichopoulou","given":"A","non-dropping-particle":"","parse-names":false,"suffix":""},{"dropping-particle":"","family":"Naska","given":"A","non-dropping-particle":"","parse-names":false,"suffix":""},{"dropping-particle":"","family":"Orfanos","given":"P","non-dropping-particle":"","parse-names":false,"suffix":""},{"dropping-particle":"","family":"Scalbert","given":"A","non-dropping-particle":"","parse-names":false,"suffix":""}],"container-title":"American Journal of Clinical Nutrition","id":"ITEM-1","issue":"3","issued":{"date-parts":[["2017"]]},"language":"English","note":"Er6qn\nTimes Cited:18\nCited References Count:53","page":"600-608","publisher-place":"Int Agcy Res Canc, Lyon, France Imperial Coll London, Sch Publ Hlth, Nutr &amp; Dietet Res Grp, Div Endocrinol &amp; Metab, London, England Imperial Coll London, Sch Publ Hlth, Dept Epidemiol &amp; Biostat, London, England Univ Coll Dublin, Sch Agr &amp; Food Sci, Inst F","title":"A metabolomic study of biomarkers of meat and fish intake","type":"article-journal","volume":"105"},"uris":["http://www.mendeley.com/documents/?uuid=4cb3896d-efc2-4cf3-aa61-5b235aaa348a"]}],"mendeley":{"formattedCitation":"(10)","plainTextFormattedCitation":"(10)","previouslyFormattedCitation":"(10)"},"properties":{"noteIndex":0},"schema":"https://github.com/citation-style-language/schema/raw/master/csl-citation.json"}</w:instrText>
      </w:r>
      <w:r w:rsidR="00F41CD3">
        <w:fldChar w:fldCharType="separate"/>
      </w:r>
      <w:r w:rsidR="00AB1D57" w:rsidRPr="00AB1D57">
        <w:rPr>
          <w:noProof/>
        </w:rPr>
        <w:t>(10)</w:t>
      </w:r>
      <w:r w:rsidR="00F41CD3">
        <w:fldChar w:fldCharType="end"/>
      </w:r>
      <w:r w:rsidR="003B1361">
        <w:t xml:space="preserve"> </w:t>
      </w:r>
      <w:r w:rsidR="000B2250">
        <w:t>in our study were also reported by previous intervention studies.</w:t>
      </w:r>
    </w:p>
    <w:p w14:paraId="536AB96A" w14:textId="7F87210B" w:rsidR="009D386A" w:rsidRDefault="00CE2AFE" w:rsidP="00052B50">
      <w:r>
        <w:t>W</w:t>
      </w:r>
      <w:r w:rsidR="00D71372">
        <w:t xml:space="preserve">e also identified </w:t>
      </w:r>
      <w:r w:rsidR="0094224E">
        <w:t xml:space="preserve">several </w:t>
      </w:r>
      <w:r w:rsidR="00C426B6">
        <w:t xml:space="preserve">yet unreported </w:t>
      </w:r>
      <w:r w:rsidR="00D71372">
        <w:t>metabolites</w:t>
      </w:r>
      <w:r w:rsidR="0094224E">
        <w:t xml:space="preserve"> that were associated with red meat consumption </w:t>
      </w:r>
      <w:r w:rsidR="00D71372">
        <w:t xml:space="preserve">in </w:t>
      </w:r>
      <w:r w:rsidR="00F531FA">
        <w:t xml:space="preserve">both the observational </w:t>
      </w:r>
      <w:r w:rsidR="000E0DA3">
        <w:t xml:space="preserve">study </w:t>
      </w:r>
      <w:r w:rsidR="00F531FA">
        <w:t xml:space="preserve">and </w:t>
      </w:r>
      <w:r w:rsidR="000E0DA3">
        <w:t xml:space="preserve">the </w:t>
      </w:r>
      <w:r w:rsidR="007E1666">
        <w:t>RCT</w:t>
      </w:r>
      <w:r w:rsidR="00D71372">
        <w:t xml:space="preserve">, </w:t>
      </w:r>
      <w:r w:rsidR="00C426B6">
        <w:t>in particular</w:t>
      </w:r>
      <w:r w:rsidR="00C35650">
        <w:t xml:space="preserve"> several</w:t>
      </w:r>
      <w:r w:rsidR="00C426B6">
        <w:t xml:space="preserve"> </w:t>
      </w:r>
      <w:proofErr w:type="spellStart"/>
      <w:r w:rsidR="00D9426E">
        <w:t>plasmalogen</w:t>
      </w:r>
      <w:r w:rsidR="00C35650">
        <w:t>s</w:t>
      </w:r>
      <w:proofErr w:type="spellEnd"/>
      <w:r w:rsidR="00D9426E">
        <w:t xml:space="preserve">, </w:t>
      </w:r>
      <w:r w:rsidR="00D71372">
        <w:t xml:space="preserve">such </w:t>
      </w:r>
      <w:r w:rsidR="00C426B6">
        <w:t xml:space="preserve">as </w:t>
      </w:r>
      <w:r w:rsidR="00C426B6" w:rsidRPr="000D1D61">
        <w:t>1-(1-enyl-stearoyl)-2-arachidonoyl-GPE (P-18:0/20:4)</w:t>
      </w:r>
      <w:r w:rsidR="003A6D07">
        <w:t xml:space="preserve">, </w:t>
      </w:r>
      <w:r w:rsidR="003A6D07" w:rsidRPr="009E4378">
        <w:t>1-margaroyl-2-oleoyl-GPC (17:0/18:1</w:t>
      </w:r>
      <w:r w:rsidR="003A6D07">
        <w:t>)</w:t>
      </w:r>
      <w:r w:rsidR="00C426B6">
        <w:t xml:space="preserve"> and 1-palmityl-GPC (O-16:0)</w:t>
      </w:r>
      <w:r w:rsidR="003A6D07">
        <w:t xml:space="preserve">. </w:t>
      </w:r>
      <w:proofErr w:type="spellStart"/>
      <w:r w:rsidR="003A6D07">
        <w:t>Plasmalogen</w:t>
      </w:r>
      <w:r w:rsidR="00C35650">
        <w:t>s</w:t>
      </w:r>
      <w:proofErr w:type="spellEnd"/>
      <w:r w:rsidR="00DE3DA9">
        <w:t xml:space="preserve">, </w:t>
      </w:r>
      <w:r w:rsidR="009B510A">
        <w:t xml:space="preserve">a subclass of </w:t>
      </w:r>
      <w:r w:rsidR="00851CC7">
        <w:t xml:space="preserve"> </w:t>
      </w:r>
      <w:r w:rsidR="00851CC7" w:rsidRPr="009112E9">
        <w:rPr>
          <w:rFonts w:cs="Times New Roman"/>
        </w:rPr>
        <w:t xml:space="preserve">membrane </w:t>
      </w:r>
      <w:proofErr w:type="spellStart"/>
      <w:r w:rsidR="00851CC7" w:rsidRPr="009112E9">
        <w:rPr>
          <w:rFonts w:cs="Times New Roman"/>
        </w:rPr>
        <w:t>glycerophospholipids</w:t>
      </w:r>
      <w:proofErr w:type="spellEnd"/>
      <w:r w:rsidR="00DE3DA9">
        <w:rPr>
          <w:rFonts w:cs="Times New Roman"/>
        </w:rPr>
        <w:t>,</w:t>
      </w:r>
      <w:r w:rsidR="00851CC7" w:rsidRPr="009112E9">
        <w:rPr>
          <w:rFonts w:cs="Times New Roman"/>
        </w:rPr>
        <w:t xml:space="preserve"> </w:t>
      </w:r>
      <w:r w:rsidR="00DE3DA9" w:rsidRPr="009112E9">
        <w:rPr>
          <w:rFonts w:cs="Times New Roman"/>
        </w:rPr>
        <w:t>contain</w:t>
      </w:r>
      <w:r w:rsidR="00DE3DA9">
        <w:rPr>
          <w:rFonts w:cs="Times New Roman"/>
        </w:rPr>
        <w:t xml:space="preserve"> </w:t>
      </w:r>
      <w:r w:rsidR="00851CC7" w:rsidRPr="009112E9">
        <w:rPr>
          <w:rFonts w:cs="Times New Roman"/>
        </w:rPr>
        <w:t>a vinyl-ether bond at the</w:t>
      </w:r>
      <w:r w:rsidR="00476784">
        <w:rPr>
          <w:rFonts w:cs="Times New Roman"/>
        </w:rPr>
        <w:t xml:space="preserve"> </w:t>
      </w:r>
      <w:r w:rsidR="00851CC7" w:rsidRPr="009112E9">
        <w:rPr>
          <w:rFonts w:cs="Times New Roman"/>
        </w:rPr>
        <w:t>sn-1 position</w:t>
      </w:r>
      <w:r w:rsidR="00851CC7">
        <w:rPr>
          <w:rFonts w:cs="Times New Roman"/>
        </w:rPr>
        <w:t xml:space="preserve"> </w:t>
      </w:r>
      <w:r w:rsidR="00851CC7" w:rsidRPr="009112E9">
        <w:rPr>
          <w:rFonts w:cs="Times New Roman"/>
        </w:rPr>
        <w:t>and</w:t>
      </w:r>
      <w:r w:rsidR="00851CC7">
        <w:rPr>
          <w:rFonts w:cs="Times New Roman"/>
        </w:rPr>
        <w:t xml:space="preserve"> </w:t>
      </w:r>
      <w:r w:rsidR="00E230E1">
        <w:rPr>
          <w:rFonts w:cs="Times New Roman"/>
        </w:rPr>
        <w:t xml:space="preserve">are </w:t>
      </w:r>
      <w:r w:rsidR="00C35650" w:rsidRPr="009112E9">
        <w:rPr>
          <w:rFonts w:cs="Times New Roman"/>
        </w:rPr>
        <w:t>enrich</w:t>
      </w:r>
      <w:r w:rsidR="00E230E1">
        <w:rPr>
          <w:rFonts w:cs="Times New Roman"/>
        </w:rPr>
        <w:t>ed</w:t>
      </w:r>
      <w:r w:rsidR="00851CC7">
        <w:rPr>
          <w:rFonts w:cs="Times New Roman"/>
        </w:rPr>
        <w:t xml:space="preserve"> </w:t>
      </w:r>
      <w:r w:rsidR="00851CC7" w:rsidRPr="009112E9">
        <w:rPr>
          <w:rFonts w:cs="Times New Roman"/>
        </w:rPr>
        <w:t>in</w:t>
      </w:r>
      <w:r w:rsidR="00851CC7">
        <w:rPr>
          <w:rFonts w:cs="Times New Roman"/>
        </w:rPr>
        <w:t xml:space="preserve"> </w:t>
      </w:r>
      <w:r w:rsidR="00E230E1">
        <w:rPr>
          <w:rFonts w:cs="Times New Roman"/>
        </w:rPr>
        <w:t>poly</w:t>
      </w:r>
      <w:r w:rsidR="00851CC7" w:rsidRPr="009112E9">
        <w:rPr>
          <w:rFonts w:cs="Times New Roman"/>
        </w:rPr>
        <w:t>unsaturated</w:t>
      </w:r>
      <w:r w:rsidR="00851CC7">
        <w:rPr>
          <w:rFonts w:cs="Times New Roman"/>
        </w:rPr>
        <w:t xml:space="preserve"> </w:t>
      </w:r>
      <w:r w:rsidR="00851CC7" w:rsidRPr="009112E9">
        <w:rPr>
          <w:rFonts w:cs="Times New Roman"/>
        </w:rPr>
        <w:t>fatty</w:t>
      </w:r>
      <w:r w:rsidR="00851CC7">
        <w:rPr>
          <w:rFonts w:cs="Times New Roman"/>
        </w:rPr>
        <w:t xml:space="preserve"> </w:t>
      </w:r>
      <w:r w:rsidR="00851CC7" w:rsidRPr="009112E9">
        <w:rPr>
          <w:rFonts w:cs="Times New Roman"/>
        </w:rPr>
        <w:t>acids at</w:t>
      </w:r>
      <w:r w:rsidR="00851CC7">
        <w:rPr>
          <w:rFonts w:cs="Times New Roman"/>
        </w:rPr>
        <w:t xml:space="preserve"> </w:t>
      </w:r>
      <w:r w:rsidR="00851CC7" w:rsidRPr="009112E9">
        <w:rPr>
          <w:rFonts w:cs="Times New Roman"/>
        </w:rPr>
        <w:t>the</w:t>
      </w:r>
      <w:r w:rsidR="00851CC7">
        <w:rPr>
          <w:rFonts w:cs="Times New Roman"/>
        </w:rPr>
        <w:t xml:space="preserve"> </w:t>
      </w:r>
      <w:r w:rsidR="00851CC7" w:rsidRPr="009112E9">
        <w:rPr>
          <w:rFonts w:cs="Times New Roman"/>
        </w:rPr>
        <w:t>sn-2</w:t>
      </w:r>
      <w:r w:rsidR="00851CC7">
        <w:rPr>
          <w:rFonts w:cs="Times New Roman"/>
        </w:rPr>
        <w:t xml:space="preserve"> </w:t>
      </w:r>
      <w:r w:rsidR="00851CC7" w:rsidRPr="009112E9">
        <w:rPr>
          <w:rFonts w:cs="Times New Roman"/>
        </w:rPr>
        <w:t>position</w:t>
      </w:r>
      <w:r w:rsidR="00851CC7">
        <w:rPr>
          <w:rFonts w:cs="Times New Roman"/>
        </w:rPr>
        <w:t xml:space="preserve"> </w:t>
      </w:r>
      <w:r w:rsidR="00851CC7" w:rsidRPr="009112E9">
        <w:rPr>
          <w:rFonts w:cs="Times New Roman"/>
        </w:rPr>
        <w:t>of</w:t>
      </w:r>
      <w:r w:rsidR="00851CC7">
        <w:rPr>
          <w:rFonts w:cs="Times New Roman"/>
        </w:rPr>
        <w:t xml:space="preserve"> </w:t>
      </w:r>
      <w:r w:rsidR="00851CC7" w:rsidRPr="009112E9">
        <w:rPr>
          <w:rFonts w:cs="Times New Roman"/>
        </w:rPr>
        <w:t>the</w:t>
      </w:r>
      <w:r w:rsidR="00851CC7">
        <w:rPr>
          <w:rFonts w:cs="Times New Roman"/>
        </w:rPr>
        <w:t xml:space="preserve"> </w:t>
      </w:r>
      <w:r w:rsidR="00851CC7" w:rsidRPr="009112E9">
        <w:rPr>
          <w:rFonts w:cs="Times New Roman"/>
        </w:rPr>
        <w:t>glycerol backbone</w:t>
      </w:r>
      <w:r w:rsidR="00D47385">
        <w:rPr>
          <w:rFonts w:cs="Times New Roman"/>
        </w:rPr>
        <w:t xml:space="preserve"> </w:t>
      </w:r>
      <w:r w:rsidR="00851CC7">
        <w:rPr>
          <w:rFonts w:cs="Times New Roman"/>
        </w:rPr>
        <w:fldChar w:fldCharType="begin" w:fldLock="1"/>
      </w:r>
      <w:r w:rsidR="00AC4EFB">
        <w:rPr>
          <w:rFonts w:cs="Times New Roman"/>
        </w:rPr>
        <w:instrText>ADDIN CSL_CITATION {"citationItems":[{"id":"ITEM-1","itemData":{"DOI":"10.1016/j.bbadis.2012.05.008","ISSN":"0925-4439","abstract":"Plasmalogens are a unique class of membrane glycerophospholipids containing a fatty alcohol with a vinyl-ether bond at the sn-1 position, and enriched in polyunsaturated fatty acids at the sn-2 position of the glycerol backbone. These two features provide novel properties to these compounds. Although plasmalogens represent up to 20% of the total phospholipid mass in humans their physiological roles have been challenging to identify, and are likely to be particular to different tissues, metabolic processes and developmental stages. Their biosynthesis starts in peroxisomes, and defects at these steps cause the malformation syndrome, Rhizomelic Chondrodysplasia Punctata (RCDP). The RCDP phenotype predicts developmental roles for plasmalogens in bone, brain, lens, lung, kidney and heart. Recent studies have revealed secondary plasmalogen deficiencies associated with more common disorders and allow us to tease out additional pathways dependent on plasmalogen functions. In this review, we present current knowledge of plasmalogen biology in health and disease. This article is part of a Special Issue entitled: Metabolic Functions and Biogenesis of peroxisomes in Health and Disease. (C) 2012 Elsevier B.V. All rights reserved.","author":[{"dropping-particle":"","family":"Braverman","given":"N E","non-dropping-particle":"","parse-names":false,"suffix":""},{"dropping-particle":"","family":"Moser","given":"A B","non-dropping-particle":"","parse-names":false,"suffix":""}],"container-title":"Biochimica Et Biophysica Acta-Molecular Basis of Disease","id":"ITEM-1","issue":"9","issued":{"date-parts":[["2012"]]},"language":"English","note":"Sp. Iss. SI\n982zp\nTimes Cited:286\nCited References Count:121","page":"1442-1452","publisher-place":"McGill Univ, Montreal Childrens Hosp, Res Inst, Dept Human Genet &amp; Pediat, Montreal, PQ H3Z 2Z3, Canada Johns Hopkins Univ Hosp, Kennedy Krieger Inst, Dept Neurogenet, Baltimore, MD 21287 USA","title":"Functions of plasmalogen lipids in health and disease","type":"article-journal","volume":"1822"},"uris":["http://www.mendeley.com/documents/?uuid=0b1982d2-fbb3-4d87-8636-434ecdb988da"]}],"mendeley":{"formattedCitation":"(34)","plainTextFormattedCitation":"(34)","previouslyFormattedCitation":"(34)"},"properties":{"noteIndex":0},"schema":"https://github.com/citation-style-language/schema/raw/master/csl-citation.json"}</w:instrText>
      </w:r>
      <w:r w:rsidR="00851CC7">
        <w:rPr>
          <w:rFonts w:cs="Times New Roman"/>
        </w:rPr>
        <w:fldChar w:fldCharType="separate"/>
      </w:r>
      <w:r w:rsidR="00AC4EFB" w:rsidRPr="00AC4EFB">
        <w:rPr>
          <w:rFonts w:cs="Times New Roman"/>
          <w:noProof/>
        </w:rPr>
        <w:t>(34)</w:t>
      </w:r>
      <w:r w:rsidR="00851CC7">
        <w:rPr>
          <w:rFonts w:cs="Times New Roman"/>
        </w:rPr>
        <w:fldChar w:fldCharType="end"/>
      </w:r>
      <w:r w:rsidR="003A6D07">
        <w:t xml:space="preserve">. </w:t>
      </w:r>
      <w:r w:rsidR="00DE3DA9" w:rsidRPr="003A14E4">
        <w:rPr>
          <w:rFonts w:cs="Times New Roman"/>
          <w:noProof/>
          <w:szCs w:val="24"/>
        </w:rPr>
        <w:t>Mazzilli</w:t>
      </w:r>
      <w:r w:rsidR="00DE3DA9">
        <w:rPr>
          <w:rFonts w:cs="Times New Roman"/>
          <w:noProof/>
          <w:szCs w:val="24"/>
        </w:rPr>
        <w:t xml:space="preserve"> et al</w:t>
      </w:r>
      <w:r w:rsidR="00DE3DA9">
        <w:t>. found s</w:t>
      </w:r>
      <w:r w:rsidR="00851CC7">
        <w:t xml:space="preserve">everal </w:t>
      </w:r>
      <w:proofErr w:type="spellStart"/>
      <w:r w:rsidR="009B510A">
        <w:t>p</w:t>
      </w:r>
      <w:r w:rsidR="00851CC7">
        <w:t>lasmalogen</w:t>
      </w:r>
      <w:r w:rsidR="009B510A">
        <w:t>s</w:t>
      </w:r>
      <w:proofErr w:type="spellEnd"/>
      <w:r w:rsidR="009B510A">
        <w:t xml:space="preserve"> were</w:t>
      </w:r>
      <w:r w:rsidR="00A927DE">
        <w:t xml:space="preserve"> correlated with</w:t>
      </w:r>
      <w:r w:rsidR="00851CC7">
        <w:t xml:space="preserve"> self-reported</w:t>
      </w:r>
      <w:r w:rsidR="00A927DE">
        <w:t xml:space="preserve"> red meat </w:t>
      </w:r>
      <w:r w:rsidR="003A14E4">
        <w:fldChar w:fldCharType="begin" w:fldLock="1"/>
      </w:r>
      <w:r w:rsidR="00AC4EFB">
        <w:instrText>ADDIN CSL_CITATION {"citationItems":[{"id":"ITEM-1","itemData":{"DOI":"10.1093/jn/nxz300","ISSN":"15416100","PMID":"31848620","abstract":"Background: Metabolomics has proven useful for detecting objective biomarkers of diet that may help to improve dietary measurement. Studies to date, however, have focused on a relatively narrow set of lipid classes. Objective: The aim of this study was to uncover candidate dietary biomarkers by identifying serum metabolites correlated with self-reported diet, particularly metabolites in underinvestigated lipid classes, e.g. triglycerides and plasmalogens. Methods: We assessed dietary questionnaire data and serum metabolite correlations from 491 male and female participants aged 55-75 y in an exploratory cross-sectional study within the Prostate, Lung, Colorectal, and Ovarian Cancer Screening Trial (PLCO). Self-reported intake was categorized into 50 foods, food groups, beverages, and supplements. We examined 522 identified metabolites using 2 metabolomics platforms (Broad Institute and Massachusetts General Hospital). Correlations were identified using partial Pearson's correlations adjusted for age, sex, BMI, smoking status, study site, and total energy intake [Bonferroni-corrected level of 0.05/(50 × 522) = 1.9 × 10-6]. We assessed prediction of dietary intake by multiple-metabolite linear models with the use of 10-fold crossvalidation least absolute shrinkage and selection operator (LASSO) regression. Results: Eighteen foods, beverages, and supplements were correlate</w:instrText>
      </w:r>
      <w:r w:rsidR="00AC4EFB">
        <w:rPr>
          <w:rFonts w:hint="eastAsia"/>
        </w:rPr>
        <w:instrText xml:space="preserve">d with </w:instrText>
      </w:r>
      <w:r w:rsidR="00AC4EFB">
        <w:rPr>
          <w:rFonts w:hint="eastAsia"/>
        </w:rPr>
        <w:instrText>≥</w:instrText>
      </w:r>
      <w:r w:rsidR="00AC4EFB">
        <w:rPr>
          <w:rFonts w:hint="eastAsia"/>
        </w:rPr>
        <w:instrText>1 serum metabolite at the Bonferroni-corrected significance threshold, for a total of 102 correlations. Of these, only 5 have been reported previously, to our knowledge. Our strongest correlations were between citrus and proline betaine (r = 0.55)</w:instrText>
      </w:r>
      <w:r w:rsidR="00AC4EFB">
        <w:instrText>, supplements and pantothenic acid (r = 0.46), and fish and C40:9 phosphatidylcholine (PC) (r = 0.35). The multivariate analysis similarly found reasonably large correlations between metabolite profiles and citrus (r = 0.59), supplements (r = 0.57), and fish (r = 0.44). Conclusions: Our study of PLCO participants identified many novel food-metabolite associations and replicated 5 previous associations. These candidate biomarkers of diet may help to complement measures of self-reported diet in nutritional epidemiology studies, though further validation work is still needed.","author":[{"dropping-particle":"","family":"Mazzilli","given":"Kaitlyn M.","non-dropping-particle":"","parse-names":false,"suffix":""},{"dropping-particle":"","family":"McClain","given":"Kathleen M.","non-dropping-particle":"","parse-names":false,"suffix":""},{"dropping-particle":"","family":"Lipworth","given":"Loren","non-dropping-particle":"","parse-names":false,"suffix":""},{"dropping-particle":"","family":"Playdon","given":"Mary C.","non-dropping-particle":"","parse-names":false,"suffix":""},{"dropping-particle":"","family":"Sampson","given":"Joshua N.","non-dropping-particle":"","parse-names":false,"suffix":""},{"dropping-particle":"","family":"Clish","given":"Clary B.","non-dropping-particle":"","parse-names":false,"suffix":""},{"dropping-particle":"","family":"Gerszten","given":"Robert E.","non-dropping-particle":"","parse-names":false,"suffix":""},{"dropping-particle":"","family":"Freedman","given":"Neal D.","non-dropping-particle":"","parse-names":false,"suffix":""},{"dropping-particle":"","family":"Moore","given":"Steven C.","non-dropping-particle":"","parse-names":false,"suffix":""}],"container-title":"Journal of Nutrition","id":"ITEM-1","issue":"4","issued":{"date-parts":[["2020","4","1"]]},"page":"694-703","publisher":"Oxford University Press","title":"Identification of 102 Correlations between Serum Metabolites and Habitual Diet in a Metabolomics Study of the Prostate, Lung, Colorectal, and Ovarian Cancer Trial","type":"article-journal","volume":"150"},"uris":["http://www.mendeley.com/documents/?uuid=6dd607cd-9d5b-3961-8538-19b72e9f8232"]}],"mendeley":{"formattedCitation":"(35)","plainTextFormattedCitation":"(35)","previouslyFormattedCitation":"(35)"},"properties":{"noteIndex":0},"schema":"https://github.com/citation-style-language/schema/raw/master/csl-citation.json"}</w:instrText>
      </w:r>
      <w:r w:rsidR="003A14E4">
        <w:fldChar w:fldCharType="separate"/>
      </w:r>
      <w:r w:rsidR="00AC4EFB" w:rsidRPr="00AC4EFB">
        <w:rPr>
          <w:noProof/>
        </w:rPr>
        <w:t>(35)</w:t>
      </w:r>
      <w:r w:rsidR="003A14E4">
        <w:fldChar w:fldCharType="end"/>
      </w:r>
      <w:r w:rsidR="003A14E4">
        <w:t>.</w:t>
      </w:r>
      <w:r w:rsidR="0045451C">
        <w:t xml:space="preserve"> </w:t>
      </w:r>
      <w:r w:rsidR="00A76351">
        <w:t xml:space="preserve">However, most of </w:t>
      </w:r>
      <w:proofErr w:type="spellStart"/>
      <w:r w:rsidR="00A76351">
        <w:t>plasmalogens</w:t>
      </w:r>
      <w:proofErr w:type="spellEnd"/>
      <w:r w:rsidR="00A76351">
        <w:t xml:space="preserve"> identified in our study were not reported in t</w:t>
      </w:r>
      <w:r w:rsidR="00515822">
        <w:t>hat</w:t>
      </w:r>
      <w:r w:rsidR="00A76351">
        <w:t xml:space="preserve"> previous study, partly due to different platforms</w:t>
      </w:r>
      <w:r w:rsidR="00466204">
        <w:t xml:space="preserve"> </w:t>
      </w:r>
      <w:r w:rsidR="00A76351">
        <w:t>used to measure and annotate metabol</w:t>
      </w:r>
      <w:r w:rsidR="00E230E1">
        <w:t>ites</w:t>
      </w:r>
      <w:r w:rsidR="00A76351">
        <w:t xml:space="preserve"> in different studies. </w:t>
      </w:r>
      <w:r w:rsidR="007A6D25">
        <w:t xml:space="preserve">These compounds present a very promising group of potential new biomarkers for meat intake. </w:t>
      </w:r>
      <w:r w:rsidR="00A76351">
        <w:t>T</w:t>
      </w:r>
      <w:r w:rsidR="00C426B6">
        <w:t>he</w:t>
      </w:r>
      <w:r w:rsidR="007A6D25">
        <w:t>ir</w:t>
      </w:r>
      <w:r w:rsidR="00C426B6">
        <w:t xml:space="preserve"> role in meat metabolism and disease development </w:t>
      </w:r>
      <w:r w:rsidR="006B2B68">
        <w:t xml:space="preserve">is </w:t>
      </w:r>
      <w:r w:rsidR="00C426B6">
        <w:t>largely unknown</w:t>
      </w:r>
      <w:r w:rsidR="007A6D25">
        <w:t xml:space="preserve"> and warrant</w:t>
      </w:r>
      <w:r w:rsidR="006B2B68">
        <w:t>s</w:t>
      </w:r>
      <w:r w:rsidR="007A6D25">
        <w:t xml:space="preserve"> additional investigation.</w:t>
      </w:r>
      <w:r w:rsidR="0009106F">
        <w:t xml:space="preserve"> </w:t>
      </w:r>
      <w:r w:rsidR="006E32DB" w:rsidRPr="006E32DB">
        <w:t xml:space="preserve">Some drug metabolites were also identified in the red meat metabolite score, such as </w:t>
      </w:r>
      <w:r w:rsidR="00736F15">
        <w:t>V</w:t>
      </w:r>
      <w:r w:rsidR="006E32DB" w:rsidRPr="006E32DB">
        <w:t xml:space="preserve">erapamil and </w:t>
      </w:r>
      <w:r w:rsidR="00736F15">
        <w:t>R</w:t>
      </w:r>
      <w:r w:rsidR="006E32DB" w:rsidRPr="006E32DB">
        <w:t xml:space="preserve">anitidine. These metabolites </w:t>
      </w:r>
      <w:r w:rsidR="00BE32F5" w:rsidRPr="00BE32F5">
        <w:t>were detected in only a small number of participants</w:t>
      </w:r>
      <w:r w:rsidR="001D6C3B">
        <w:t xml:space="preserve"> (</w:t>
      </w:r>
      <w:r w:rsidR="001D6C3B" w:rsidRPr="00DC08FA">
        <w:rPr>
          <w:b/>
          <w:i/>
        </w:rPr>
        <w:t>Supplementary Table 9</w:t>
      </w:r>
      <w:r w:rsidR="001D6C3B">
        <w:t>)</w:t>
      </w:r>
      <w:r w:rsidR="00BE32F5" w:rsidRPr="00BE32F5">
        <w:t>,</w:t>
      </w:r>
      <w:r w:rsidR="006E32DB" w:rsidRPr="006E32DB">
        <w:t xml:space="preserve"> so</w:t>
      </w:r>
      <w:r w:rsidR="00736F15">
        <w:t xml:space="preserve"> are likely to represent a sub-group of</w:t>
      </w:r>
      <w:r w:rsidR="006E32DB" w:rsidRPr="006E32DB">
        <w:t xml:space="preserve"> </w:t>
      </w:r>
      <w:r w:rsidR="00736F15">
        <w:t xml:space="preserve">patients who have  </w:t>
      </w:r>
      <w:r w:rsidR="006E32DB" w:rsidRPr="006E32DB">
        <w:t xml:space="preserve">chronic disease and </w:t>
      </w:r>
      <w:r w:rsidR="00736F15">
        <w:t xml:space="preserve">are </w:t>
      </w:r>
      <w:r w:rsidR="006E32DB" w:rsidRPr="006E32DB">
        <w:t>taking these drugs</w:t>
      </w:r>
      <w:r w:rsidR="00BE32F5">
        <w:t xml:space="preserve"> (</w:t>
      </w:r>
      <w:r w:rsidR="00736F15">
        <w:t>V</w:t>
      </w:r>
      <w:r w:rsidR="00BE32F5" w:rsidRPr="00BE32F5">
        <w:t xml:space="preserve">erapamil for cardiac illness and </w:t>
      </w:r>
      <w:r w:rsidR="00736F15">
        <w:t>R</w:t>
      </w:r>
      <w:r w:rsidR="00BE32F5" w:rsidRPr="00BE32F5">
        <w:t xml:space="preserve">anitidine for gastrointestinal illness). </w:t>
      </w:r>
      <w:r w:rsidR="00736F15" w:rsidRPr="00736F15">
        <w:t xml:space="preserve">Since these conditions could themselves be linked to red meat consumption, it is likely that the association between these drug </w:t>
      </w:r>
      <w:r w:rsidR="00736F15" w:rsidRPr="00736F15">
        <w:lastRenderedPageBreak/>
        <w:t xml:space="preserve">metabolites and dietary behavior is confounded by indication. </w:t>
      </w:r>
    </w:p>
    <w:p w14:paraId="7612821B" w14:textId="4622737C" w:rsidR="00DF4B25" w:rsidRDefault="00DF4B25" w:rsidP="00052B50">
      <w:r w:rsidRPr="00DF4B25">
        <w:t xml:space="preserve">One group of metabolites </w:t>
      </w:r>
      <w:r w:rsidR="006A7EC1">
        <w:t>which make major</w:t>
      </w:r>
      <w:r w:rsidRPr="00DF4B25">
        <w:t xml:space="preserve"> contributions to the red meat metabolite score are small meat-derived molecules with short half-lives</w:t>
      </w:r>
      <w:r w:rsidR="008E3071">
        <w:t xml:space="preserve"> (e.g.,</w:t>
      </w:r>
      <w:r w:rsidRPr="00DF4B25">
        <w:t xml:space="preserve"> TMAO, trans-4</w:t>
      </w:r>
      <w:r w:rsidR="00603D58">
        <w:t xml:space="preserve"> </w:t>
      </w:r>
      <w:proofErr w:type="spellStart"/>
      <w:r w:rsidRPr="00DF4B25">
        <w:t>hydroxyproline</w:t>
      </w:r>
      <w:proofErr w:type="spellEnd"/>
      <w:r w:rsidRPr="00DF4B25">
        <w:t xml:space="preserve"> or </w:t>
      </w:r>
      <w:proofErr w:type="spellStart"/>
      <w:r w:rsidRPr="00DF4B25">
        <w:t>creatine</w:t>
      </w:r>
      <w:proofErr w:type="spellEnd"/>
      <w:r w:rsidR="008E3071">
        <w:t>)</w:t>
      </w:r>
      <w:r w:rsidR="00D47385">
        <w:t xml:space="preserve"> </w:t>
      </w:r>
      <w:r w:rsidRPr="00DF4B25">
        <w:t>(</w:t>
      </w:r>
      <w:r w:rsidR="004A1D07">
        <w:t>10</w:t>
      </w:r>
      <w:r w:rsidRPr="00DF4B25">
        <w:t xml:space="preserve">). These compounds are </w:t>
      </w:r>
      <w:r w:rsidR="00453717">
        <w:t>un</w:t>
      </w:r>
      <w:r w:rsidRPr="00DF4B25">
        <w:t xml:space="preserve">likely </w:t>
      </w:r>
      <w:r w:rsidR="00453717">
        <w:t>to be</w:t>
      </w:r>
      <w:r w:rsidRPr="00DF4B25">
        <w:t xml:space="preserve"> good long-term markers </w:t>
      </w:r>
      <w:r w:rsidR="006A7EC1">
        <w:t xml:space="preserve">of meat </w:t>
      </w:r>
      <w:r w:rsidR="005D5749">
        <w:t xml:space="preserve">intake </w:t>
      </w:r>
      <w:r w:rsidR="006A7EC1">
        <w:t xml:space="preserve">in people who consume meat occasionally because the metabolites would be </w:t>
      </w:r>
      <w:r w:rsidRPr="00DF4B25">
        <w:t xml:space="preserve">cleared from the body </w:t>
      </w:r>
      <w:r w:rsidR="00453717">
        <w:t>relatively quickly</w:t>
      </w:r>
      <w:r w:rsidR="006A7EC1">
        <w:t xml:space="preserve">. By contrast, these biomarkers </w:t>
      </w:r>
      <w:r w:rsidR="00BA75DC" w:rsidRPr="00BA75DC">
        <w:t xml:space="preserve">may reflect regular red meat </w:t>
      </w:r>
      <w:r w:rsidR="005D5749">
        <w:t>intake</w:t>
      </w:r>
      <w:r w:rsidR="005D5749" w:rsidRPr="00BA75DC">
        <w:t xml:space="preserve"> </w:t>
      </w:r>
      <w:r w:rsidR="00BA75DC" w:rsidRPr="00BA75DC">
        <w:t>well.</w:t>
      </w:r>
      <w:r w:rsidR="004D7162">
        <w:t xml:space="preserve"> </w:t>
      </w:r>
      <w:r w:rsidR="0098499D">
        <w:t>The</w:t>
      </w:r>
      <w:r w:rsidRPr="00DF4B25">
        <w:t xml:space="preserve"> second group of metabolites that rank highest in the score are lipophilic compounds</w:t>
      </w:r>
      <w:r w:rsidR="008E3071">
        <w:t xml:space="preserve"> (e.g.,</w:t>
      </w:r>
      <w:r w:rsidR="007249A0">
        <w:t xml:space="preserve"> </w:t>
      </w:r>
      <w:proofErr w:type="spellStart"/>
      <w:r w:rsidRPr="00DF4B25">
        <w:t>plasmalogens</w:t>
      </w:r>
      <w:proofErr w:type="spellEnd"/>
      <w:r w:rsidR="008E3071">
        <w:t>)</w:t>
      </w:r>
      <w:r w:rsidRPr="00DF4B25">
        <w:t xml:space="preserve">. These compounds have half-lives of days or even weeks and </w:t>
      </w:r>
      <w:r w:rsidR="006A7EC1">
        <w:t xml:space="preserve">are likely to be good markers of </w:t>
      </w:r>
      <w:r>
        <w:t xml:space="preserve">long-term dietary </w:t>
      </w:r>
      <w:r w:rsidR="006A7EC1">
        <w:t>habits</w:t>
      </w:r>
      <w:r w:rsidR="00D47385">
        <w:t xml:space="preserve"> </w:t>
      </w:r>
      <w:r w:rsidR="00950D93">
        <w:fldChar w:fldCharType="begin" w:fldLock="1"/>
      </w:r>
      <w:r w:rsidR="00950D93">
        <w:instrText>ADDIN CSL_CITATION {"citationItems":[{"id":"ITEM-1","itemData":{"DOI":"10.1007/s00394-002-0381-3","ISSN":"14366207","PMID":"12395217","abstract":"Background: Bioavailability of β-carotene is highly variable and depends on the source, the formulation and other nutritional factors. Objective: It was the aim of the study to compare β-carotene plasma response to β-carotene dosing with two commercially available drinks, containing β-carotene from carrot juice or as water dispersible β-carotene powder. Design: In a randomized, parallel group study design, 4 volunteers per group received daily β-carotene doses of 6-7 or 18-22 mg of either drink over 6 weeks. Blood samples for determination of carotenoid and vitamin A plasma concentrations were collected before supplementation and over the dosing period. Results: Apparent steady-state β-carotene concentrations were attained after 40 days of supplementation. Consumption of the beverage containing β-carotene as a water dispersible powder resulted in a higher response of β-carotene plasma concentrations with increments of 3.84 ± 0.60 μmol/L (p &lt; 0.05, dose: 7.2 mg/d) and 5.04 ± 0.72 μmol/L (p &lt; 0.05, dose: 21.6 mg/d), respectively, in comparison to the carrot juice-based drink with increments of 0.42 ± 0.33 μmol/L (dose: 6 mg/d) and 1.71 ± 0.55 μmol/L (dose: 18 mg/d), respectively. β-carotene was cleared from the plasma with an apparent half-life of 6-11 days. Plasma concentrations of α-carotene, β-cryptoxanthin, lutein, zeaxanthin, and lycopene remained almost unchanged, whereas retinol plasma concentrations increased slightly. By contrast, with the exception of elevated 13-cis-retinoic acid in one group (21.6 mg/d, water dispersible powder), the concentrations of alltrans-retinoic acid, and the oxo-derivatives or retinoic acid were not significantly affected by β-carotene supplementation. Conclusions: The results confirm that the relative bioavailability of β-carotene depends largely on the source of β-carotene and demonstrate the superior bioavailability of β-carotene powder in comparison to that in carrot juice.","author":[{"dropping-particle":"","family":"Thürmann","given":"Petra A.","non-dropping-particle":"","parse-names":false,"suffix":""},{"dropping-particle":"","family":"Steffen","given":"Joachim","non-dropping-particle":"","parse-names":false,"suffix":""},{"dropping-particle":"","family":"Zwernemann","given":"Christoph","non-dropping-particle":"","parse-names":false,"suffix":""},{"dropping-particle":"","family":"Aebischer","given":"Claude Pierre","non-dropping-particle":"","parse-names":false,"suffix":""},{"dropping-particle":"","family":"Cohn","given":"Willy","non-dropping-particle":"","parse-names":false,"suffix":""},{"dropping-particle":"","family":"Wendt","given":"Gernot","non-dropping-particle":"","parse-names":false,"suffix":""},{"dropping-particle":"","family":"Schalch","given":"Wolfgang","non-dropping-particle":"","parse-names":false,"suffix":""}],"container-title":"European Journal of Nutrition","id":"ITEM-1","issue":"5","issued":{"date-parts":[["2002"]]},"page":"228-235","title":"Plasma concentration response to drinks containing β-carotene as carrot juice or formulated as a water dispersible powder","type":"article-journal","volume":"41"},"uris":["http://www.mendeley.com/documents/?uuid=de53ae2a-abec-4f12-a127-a139f1f104a7"]},{"id":"ITEM-2","itemData":{"DOI":"10.1093/jn/136.3.565","ISSN":"15416100","PMID":"16484525","abstract":"The dietary-induced changes in the fatty acid composition of plasma, platelet, and erythrocyte lipids were measured as a function of time. Healthy adults consumed a diet rich in saturated fat (18% total energy, TE) for 19 d and then crossed over, without washout, to a diet rich in (n-6) polyunsaturated fat (10% TE) for a further 19 d. The fatty acid composition of plasma and blood cell lipids was measured in blood samples collected from fasting subjects on d 0, 1, 2, 5, 8, 12, and 19 of consuming the diet rich in (n-6) polyunsaturated fats. The linoleic acid composition of all plasma, platelet, and erythrocyte lipids increased to a plateau within 19 d, reaching at least 70% of maximum within 5 d. The maximum increase in linoleic acid composition of erythrocyte phosphatidylcholine was 3.8 mol% at d 12; the increase at d 1 was 2 mol% and at d 5 was 3.2 mol%. The decrease in pentadecanoic acid composition followed a similar time course in all lipids with the exception of plasma phospholipids. Our results show that the time course of dietary-induced changes in erythrocyte fatty acid composition is similar to that in plasma and platelet lipids. These results provide convincing, albeit indirect evidence that the exchange of fatty acids from plasma to erythrocytes and platelets is a major determinant of their membrane fatty acid composition. © 2006 American Society for Nutrition.","author":[{"dropping-particle":"","family":"Skeaff","given":"C. Murray","non-dropping-particle":"","parse-names":false,"suffix":""},{"dropping-particle":"","family":"Hodson","given":"Leanne","non-dropping-particle":"","parse-names":false,"suffix":""},{"dropping-particle":"","family":"McKenzie","given":"Joanne E.","non-dropping-particle":"","parse-names":false,"suffix":""}],"container-title":"Journal of Nutrition","id":"ITEM-2","issue":"3","issued":{"date-parts":[["2006"]]},"page":"565-569","title":"Dietary-induced changes in fatty acid composition of human plasma, platelet, and erythrocyte lipids follow a similar time course","type":"article-journal","volume":"136"},"uris":["http://www.mendeley.com/documents/?uuid=c91f3cab-f3fc-4b42-859e-61d8b59d47ec"]}],"mendeley":{"formattedCitation":"(36,37)","plainTextFormattedCitation":"(36,37)"},"properties":{"noteIndex":0},"schema":"https://github.com/citation-style-language/schema/raw/master/csl-citation.json"}</w:instrText>
      </w:r>
      <w:r w:rsidR="00950D93">
        <w:fldChar w:fldCharType="separate"/>
      </w:r>
      <w:r w:rsidR="00950D93" w:rsidRPr="00950D93">
        <w:rPr>
          <w:noProof/>
        </w:rPr>
        <w:t>(36,37)</w:t>
      </w:r>
      <w:r w:rsidR="00950D93">
        <w:fldChar w:fldCharType="end"/>
      </w:r>
      <w:r w:rsidR="006A7EC1">
        <w:t xml:space="preserve">, including </w:t>
      </w:r>
      <w:r w:rsidRPr="00DF4B25">
        <w:t xml:space="preserve">the identification of foods that are consumed rarely. </w:t>
      </w:r>
      <w:r w:rsidR="00BA75DC" w:rsidRPr="00BA75DC">
        <w:t xml:space="preserve">These two groups of metabolites in the meat metabolite score ensure that </w:t>
      </w:r>
      <w:r w:rsidR="00BA75DC">
        <w:t xml:space="preserve">the </w:t>
      </w:r>
      <w:r w:rsidRPr="00DF4B25">
        <w:t>score reflect</w:t>
      </w:r>
      <w:r w:rsidR="006A7EC1">
        <w:t>s</w:t>
      </w:r>
      <w:r w:rsidRPr="00DF4B25">
        <w:t xml:space="preserve"> not </w:t>
      </w:r>
      <w:r w:rsidR="006A7EC1">
        <w:t>only</w:t>
      </w:r>
      <w:r w:rsidRPr="00DF4B25">
        <w:t xml:space="preserve"> recent food intake but </w:t>
      </w:r>
      <w:r w:rsidR="006A7EC1">
        <w:t xml:space="preserve">also </w:t>
      </w:r>
      <w:r w:rsidRPr="00DF4B25">
        <w:t>diet</w:t>
      </w:r>
      <w:r w:rsidR="006A7EC1">
        <w:t>ary intake</w:t>
      </w:r>
      <w:r w:rsidRPr="00DF4B25">
        <w:t xml:space="preserve"> over a longer time frame.</w:t>
      </w:r>
      <w:r w:rsidR="00BA75DC">
        <w:t xml:space="preserve"> </w:t>
      </w:r>
      <w:r w:rsidR="006A7EC1">
        <w:t>The focus on longer term habitual intake as well as short</w:t>
      </w:r>
      <w:r w:rsidR="005D5749">
        <w:t>-</w:t>
      </w:r>
      <w:r w:rsidR="006A7EC1">
        <w:t xml:space="preserve">term intake is a </w:t>
      </w:r>
      <w:r w:rsidR="00BA75DC" w:rsidRPr="00BA75DC">
        <w:t xml:space="preserve">strength of </w:t>
      </w:r>
      <w:r w:rsidR="006A7EC1">
        <w:t xml:space="preserve">this study not only in respect of the biomarkers, but also of the </w:t>
      </w:r>
      <w:r w:rsidR="00BA75DC" w:rsidRPr="00BA75DC">
        <w:t xml:space="preserve">7dDDs </w:t>
      </w:r>
      <w:r w:rsidR="006A7EC1">
        <w:t xml:space="preserve">which have previously been shown to </w:t>
      </w:r>
      <w:r w:rsidR="00BA75DC" w:rsidRPr="00BA75DC">
        <w:t xml:space="preserve">capture short-term and </w:t>
      </w:r>
      <w:r w:rsidR="00BA75DC">
        <w:t>habitual dietary intakes</w:t>
      </w:r>
      <w:r w:rsidR="00D47385">
        <w:t xml:space="preserve"> </w:t>
      </w:r>
      <w:r w:rsidR="00AC4EFB">
        <w:fldChar w:fldCharType="begin" w:fldLock="1"/>
      </w:r>
      <w:r w:rsidR="00950D93">
        <w:instrText>ADDIN CSL_CITATION {"citationItems":[{"id":"ITEM-1","itemData":{"DOI":"10.1093/AJCN/84.6.1330","ISSN":"0002-9165","PMID":"17158413","abstract":"Background: The n-3 polyunsaturated fatty acids (n-3 PUFAs) docosahexaenoic acid and eicosapentaenoic acid, found in fish and fish-oil supplements and also formed by conversion of α-linolenic acid in soy and rapeseed (canola) oils, are thought to have cardioprotective effects. Objective: Because the relative feasibility and measurement error of dietary methods varies, this study compared fish and fish-oil intakes obtained from 4 dietary methods with plasma n-3PUFAs in men and women in a general population. Design: The study participants were 4949 men and women aged 40-79 y from the European Prospective Investigation into Cancer-Norfolk United Kingdom cohort. Measurements of plasma phospholipid n-3 PUFA concentrations and fish intakes were made with the use of 4 dietary methods (food-frequency questionnaire, health and lifestyle questionnaire, 7-d diary, and first-day recall from the 7-d diary). Results: Amounts of fish consumed and relations with plasma phospholipid n-3 PUFAs were not substantially different between the 4 dietary methods. Plasma n-3 PUFA concentrations were significantly higher in women than in me</w:instrText>
      </w:r>
      <w:r w:rsidR="00950D93">
        <w:rPr>
          <w:rFonts w:hint="eastAsia"/>
        </w:rPr>
        <w:instrText xml:space="preserve">n, were 20% higher in fish-oil consumers than in non-fish-oil consumers, and were twice as high in fatty fish consumers as in total fish consumers. Only </w:instrText>
      </w:r>
      <w:r w:rsidR="00950D93">
        <w:rPr>
          <w:rFonts w:hint="eastAsia"/>
        </w:rPr>
        <w:instrText>≈</w:instrText>
      </w:r>
      <w:r w:rsidR="00950D93">
        <w:rPr>
          <w:rFonts w:hint="eastAsia"/>
        </w:rPr>
        <w:instrText xml:space="preserve">25% of the variation in plasma n-3 PUFA was explained by fish and fish-oil consumption. Conclusions: </w:instrText>
      </w:r>
      <w:r w:rsidR="00950D93">
        <w:instrText>This large study found no substantial differences between dietary methods and observed clear sex differences in plasma n-3 PUFAs. Because variation in n-3 PUFA was only partially determined by fish and fish-oil consumption, this could explain the inconsistent results of observational and intervention studies on coronary artery disease protection. © 2006 American Society for Nutrition.","author":[{"dropping-particle":"","family":"Welch","given":"Ailsa A.","non-dropping-particle":"","parse-names":false,"suffix":""},{"dropping-particle":"","family":"Bingham","given":"Sheila A.","non-dropping-particle":"","parse-names":false,"suffix":""},{"dropping-particle":"","family":"Ive","given":"Jessica","non-dropping-particle":"","parse-names":false,"suffix":""},{"dropping-particle":"","family":"Friesen","given":"Marlin D.","non-dropping-particle":"","parse-names":false,"suffix":""},{"dropping-particle":"","family":"Wareham","given":"Nick J.","non-dropping-particle":"","parse-names":false,"suffix":""},{"dropping-particle":"","family":"Riboli","given":"Elio","non-dropping-particle":"","parse-names":false,"suffix":""},{"dropping-particle":"","family":"Khaw","given":"K. T.","non-dropping-particle":"","parse-names":false,"suffix":""}],"container-title":"The American journal of clinical nutrition","id":"ITEM-1","issue":"6","issued":{"date-parts":[["2006","12","1"]]},"page":"1330-1339","publisher":"Am J Clin Nutr","title":"Dietary fish intake and plasma phospholipid n-3 polyunsaturated fatty acid concentrations in men and women in the European Prospective Investigation into Cancer-Norfolk United Kingdom cohort","type":"article-journal","volume":"84"},"uris":["http://www.mendeley.com/documents/?uuid=0586b3a8-0fec-3ea0-9073-fa6b517787c9"]}],"mendeley":{"formattedCitation":"(38)","plainTextFormattedCitation":"(38)","previouslyFormattedCitation":"(36)"},"properties":{"noteIndex":0},"schema":"https://github.com/citation-style-language/schema/raw/master/csl-citation.json"}</w:instrText>
      </w:r>
      <w:r w:rsidR="00AC4EFB">
        <w:fldChar w:fldCharType="separate"/>
      </w:r>
      <w:r w:rsidR="00950D93" w:rsidRPr="00950D93">
        <w:rPr>
          <w:noProof/>
        </w:rPr>
        <w:t>(38)</w:t>
      </w:r>
      <w:r w:rsidR="00AC4EFB">
        <w:fldChar w:fldCharType="end"/>
      </w:r>
      <w:r w:rsidR="00BA75DC" w:rsidRPr="00BA75DC">
        <w:t>.</w:t>
      </w:r>
    </w:p>
    <w:p w14:paraId="6A88934B" w14:textId="2E39A37B" w:rsidR="00A40734" w:rsidRDefault="00FE2DFA" w:rsidP="00EF3667">
      <w:pPr>
        <w:pStyle w:val="Heading2"/>
      </w:pPr>
      <w:r>
        <w:t xml:space="preserve">Associations with </w:t>
      </w:r>
      <w:r w:rsidR="006C7199">
        <w:t>T2D risk</w:t>
      </w:r>
    </w:p>
    <w:p w14:paraId="146F7883" w14:textId="21F29395" w:rsidR="00D71372" w:rsidRPr="006C7199" w:rsidRDefault="00321829" w:rsidP="006C7199">
      <w:r>
        <w:t xml:space="preserve">The red meat </w:t>
      </w:r>
      <w:r w:rsidR="00AF2716">
        <w:t>metabolite</w:t>
      </w:r>
      <w:r>
        <w:t xml:space="preserve"> score</w:t>
      </w:r>
      <w:r w:rsidR="009303DB">
        <w:t xml:space="preserve">, as </w:t>
      </w:r>
      <w:r w:rsidR="00ED57C9">
        <w:t xml:space="preserve">a </w:t>
      </w:r>
      <w:r w:rsidR="009303DB">
        <w:t xml:space="preserve">proxy for red meat </w:t>
      </w:r>
      <w:r w:rsidR="00F413B4">
        <w:t>intake</w:t>
      </w:r>
      <w:r w:rsidR="009303DB">
        <w:t xml:space="preserve">, </w:t>
      </w:r>
      <w:r w:rsidR="0027028F">
        <w:t>showed a</w:t>
      </w:r>
      <w:r w:rsidR="009303DB">
        <w:t xml:space="preserve"> positive</w:t>
      </w:r>
      <w:r>
        <w:t xml:space="preserve"> association </w:t>
      </w:r>
      <w:r w:rsidR="00ED57C9">
        <w:t xml:space="preserve">with </w:t>
      </w:r>
      <w:r>
        <w:t>T2D</w:t>
      </w:r>
      <w:r w:rsidR="009303DB">
        <w:t xml:space="preserve"> risk</w:t>
      </w:r>
      <w:r w:rsidR="006151B8">
        <w:t xml:space="preserve"> </w:t>
      </w:r>
      <w:r w:rsidR="0027028F">
        <w:t>consistent with</w:t>
      </w:r>
      <w:r>
        <w:t xml:space="preserve"> </w:t>
      </w:r>
      <w:r w:rsidR="00ED57C9">
        <w:t xml:space="preserve">results from several large cohort studies that have reported associations with T2D risk with </w:t>
      </w:r>
      <w:r w:rsidR="009303DB">
        <w:t>self-reported intake</w:t>
      </w:r>
      <w:r w:rsidR="006151B8">
        <w:t xml:space="preserve"> as dietary exposures</w:t>
      </w:r>
      <w:r w:rsidR="00D47385">
        <w:t xml:space="preserve"> </w:t>
      </w:r>
      <w:r w:rsidR="000D1D61">
        <w:fldChar w:fldCharType="begin" w:fldLock="1"/>
      </w:r>
      <w:r w:rsidR="00950D93">
        <w:instrText>ADDIN CSL_CITATION {"citationItems":[{"id":"ITEM-1","itemData":{"DOI":"10.1016/j.diabet.2020.03.004","ISSN":"18781780","PMID":"32302686","abstract":"Aims: This meta-analysis aimed to quantitatively examine the possible associations between total meat, red meat, processed meat, poultry and fish intakes and type 2 diabetes (T2D). Methods: Relevant articles were identified in PubMed, Embase and Web of Science databases using a search time up to January 2019. Generalized least-squares trend estimations and restricted cubic spline regression models were used for analysis. Results: Twenty-eight articles were included in the analysis. When comparing the highest with the lowest category of meat intake, the summary relative risk of T2D was 1.33 (95% CI: 1.16–1.52) for total meat, 1.22 (95% CI: 1.16–1.28) for red meat, 1.25 (95% CI: 1.13–1.37) for processed meat, 1.00 (95% CI: 0.93–1.07) for poultry and 1.01 (95% CI: 0.93–1.10) for fish. In the dose–response analysis, each additional 100 g/day of total and red meat, and 50 g/day of processed meat, were found to be associated with a 36% (95% CI: 1.23–1.49), 31% (95% CI: 1.19–1.45) and 46% (95% CI: 1.26–1.69) increased risk of T2D, respectively. In addition, there was evidence of a non-linear dose–response association between processed meat and T2D (P = 0.004), with the risk increasing by 30% with increasing intakes up to 30 g/day. Conclusion: Our meta-analysis has shown a linear dose–response relationship between total meat, red meat and processed meat intakes and T2D risk. In addition, a non-linear relationship of intake of processed meat with risk of T2D was detected.","author":[{"dropping-particle":"","family":"Yang","given":"Xiu","non-dropping-particle":"","parse-names":false,"suffix":""},{"dropping-particle":"","family":"Li","given":"Yuqian","non-dropping-particle":"","parse-names":false,"suffix":""},{"dropping-particle":"","family":"Wang","given":"Chongjian","non-dropping-particle":"","parse-names":false,"suffix":""},{"dropping-particle":"","family":"Mao","given":"Zhenxing","non-dropping-particle":"","parse-names":false,"suffix":""},{"dropping-particle":"","family":"Zhou","given":"Wen","non-dropping-particle":"","parse-names":false,"suffix":""},{"dropping-particle":"","family":"Zhang","given":"Lulu","non-dropping-particle":"","parse-names":false,"suffix":""},{"dropping-particle":"","family":"Fan","given":"Mengying","non-dropping-particle":"","parse-names":false,"suffix":""},{"dropping-particle":"","family":"Cui","given":"Songyang","non-dropping-particle":"","parse-names":false,"suffix":""},{"dropping-particle":"","family":"Li","given":"Linlin","non-dropping-particle":"","parse-names":false,"suffix":""}],"container-title":"Diabetes and Metabolism","id":"ITEM-1","issue":"5","issued":{"date-parts":[["2020","10","1"]]},"page":"345-352","publisher":"Elsevier Masson s.r.l.","title":"Meat and fish intake and type 2 diabetes: Dose–response meta-analysis of prospective cohort studies","type":"article","volume":"46"},"uris":["http://www.mendeley.com/documents/?uuid=a6f445e4-5c11-34ae-b2c3-ab4e1a5f1f44"]},{"id":"ITEM-2","itemData":{"DOI":"10.1136/bmj.l2368","ISSN":"1756-1833 (Electronic) 0959-8138 (Linking)","abstract":"OBJECTIVE: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author":[{"dropping-particle":"","family":"Neuenschwander","given":"M","non-dropping-particle":"","parse-names":false,"suffix":""},{"dropping-particle":"","family":"Ballon","given":"A","non-dropping-particle":"","parse-names":false,"suffix":""},{"dropping-particle":"","family":"Weber","given":"K S","non-dropping-particle":"","parse-names":false,"suffix":""},{"dropping-particle":"","family":"Norat","given":"T","non-dropping-particle":"","parse-names":false,"suffix":""},{"dropping-particle":"","family":"Aune","given":"D","non-dropping-particle":"","parse-names":false,"suffix":""},{"dropping-particle":"","family":"Schwingshackl","given":"L","non-dropping-particle":"","parse-names":false,"suffix":""},{"dropping-particle":"","family":"Schlesinger","given":"S","non-dropping-particle":"","parse-names":false,"suffix":""}],"container-title":"BMJ","id":"ITEM-2","issued":{"date-parts":[["2019"]]},"note":"Neuenschwander, Manuela\nBallon, Aurelie\nWeber, Katharina S\nNorat, Teresa\nAune, Dagfinn\nSchwingshackl, Lukas\nSchlesinger, Sabrina\neng\nMeta-Analysis\nReview\nEngland\nClinical research ed.\n2019/07/05 06:00\nBMJ. 2019 Jul 3;366:l2368. doi: 10.1136/bmj.l2368.","page":"l2368","publisher-place":"Institute for Biometrics and Epidemiology, German Diabetes Centre, Leibniz Centre for Diabetes Research at Heinrich Heine University Dusseldorf, Auf'm Hennekamp 65, D-40225 Dusseldorf, Germany. Institute for Clinical Diabetology, German Diabetes Centre, L","title":"Role of diet in type 2 diabetes incidence: umbrella review of meta-analyses of prospective observational studies","type":"article-journal","volume":"366"},"uris":["http://www.mendeley.com/documents/?uuid=8310e461-6978-4579-a0d4-d5cec20eb1ef"]},{"id":"ITEM-3","itemData":{"DOI":"10.1007/s00125-012-2718-7","ISSN":"0012186X","PMID":"22983636","abstract":"Aims/hypothesis: A diet rich in meat has been reported to contribute to the risk of type 2 diabetes. The present study aims to investigate the association between meat consumption and incident type 2 diabetes in the EPIC-InterAct study, a large prospective case-cohort study nested within the European Prospective Investigation into Cancer and Nutrition (EPIC) study. Methods: During 11.7 years of follow-up, 12,403 incident cases of type 2 diabetes were identified among 340,234 adults from eight European countries. A centre-stratified random subsample of 16,835 individuals was selected in order to perform a case-cohort design. Prentice-weighted Cox regression analyses were used to estimate HR and 95% CI for incident diabetes according to meat consumption. Results: Overall, multivariate analyses showed significant positive associations with incident type 2 diabetes for increasing consumption of total meat (50 g increments: HR 1.08; 95% CI 1.05, 1.12), red meat (HR 1.08; 95% CI 1.03, 1.13) and processed meat (HR 1.12; 95% CI 1.05, 1.19), and a borderline positive association with meat iron intake. Effect modifications by sex and class of BMI were observed. In men, the results of the overall analyses were confirmed. In women, the association with total and red meat persisted, although attenuated, while an association with poultry consumption also emerged (HR 1.20; 95% CI 1.07, 1.34). These associations were not evident among obese participants. Conclusions/interpretation: This prospective study confirms a positive association between high consumption of total and red meat and incident type 2 diabetes in a large cohort of European adults. © 2012 Springer-Verlag.","author":[{"dropping-particle":"","family":"Bendinelli","given":"B.","non-dropping-particle":"","parse-names":false,"suffix":""},{"dropping-particle":"","family":"Palli","given":"D.","non-dropping-particle":"","parse-names":false,"suffix":""},{"dropping-particle":"","family":"Masala","given":"G.","non-dropping-particle":"","parse-names":false,"suffix":""},{"dropping-particle":"","family":"Sharp","given":"S. J.","non-dropping-particle":"","parse-names":false,"suffix":""},{"dropping-particle":"","family":"Schulze","given":"M. B.","non-dropping-particle":"","parse-names":false,"suffix":""},{"dropping-particle":"","family":"Guevara","given":"M.","non-dropping-particle":"","parse-names":false,"suffix":""},{"dropping-particle":"","family":"A","given":"D. L.","non-dropping-particle":"van der","parse-names":false,"suffix":""},{"dropping-particle":"","family":"Sera","given":"F.","non-dropping-particle":"","parse-names":false,"suffix":""},{"dropping-particle":"","family":"Amiano","given":"P.","non-dropping-particle":"","parse-names":false,"suffix":""},{"dropping-particle":"","family":"Balkau","given":"B.","non-dropping-particle":"","parse-names":false,"suffix":""},{"dropping-particle":"","family":"Barricarte","given":"A.","non-dropping-particle":"","parse-names":false,"suffix":""},{"dropping-particle":"","family":"Boeing","given":"H.","non-dropping-particle":"","parse-names":false,"suffix":""},{"dropping-particle":"","family":"Crowe","given":"F. L.","non-dropping-particle":"","parse-names":false,"suffix":""},{"dropping-particle":"","family":"Dahm","given":"C. C.","non-dropping-particle":"","parse-names":false,"suffix":""},{"dropping-particle":"","family":"Dalmeijer","given":"G.","non-dropping-particle":"","parse-names":false,"suffix":""},{"dropping-particle":"","family":"Lauzon-Guillain","given":"B.","non-dropping-particle":"de","parse-names":false,"suffix":""},{"dropping-particle":"","family":"Egeberg","given":"R.","non-dropping-particle":"","parse-names":false,"suffix":""},{"dropping-particle":"","family":"Fagherazzi","given":"G.","non-dropping-particle":"","parse-names":false,"suffix":""},{"dropping-particle":"","family":"Franks","given":"P. W.","non-dropping-particle":"","parse-names":false,"suffix":""},{"dropping-particle":"","family":"Krogh","given":"V.","non-dropping-particle":"","parse-names":false,"suffix":""},{"dropping-particle":"","family":"Huerta","given":"J. M.","non-dropping-particle":"","parse-names":false,"suffix":""},{"dropping-particle":"","family":"Jakszyn","given":"P.","non-dropping-particle":"","parse-names":false,"suffix":""},{"dropping-particle":"","family":"Khaw","given":"K. T.","non-dropping-particle":"","parse-names":false,"suffix":""},{"dropping-particle":"","family":"Li","given":"K.","non-dropping-particle":"","parse-names":false,"suffix":""},{"dropping-particle":"","family":"Mattiello","given":"A.","non-dropping-particle":"","parse-names":false,"suffix":""},{"dropping-particle":"","family":"Nilsson","given":"P. M.","non-dropping-particle":"","parse-names":false,"suffix":""},{"dropping-particle":"","family":"Overvad","given":"K.","non-dropping-particle":"","parse-names":false,"suffix":""},{"dropping-particle":"","family":"Ricceri","given":"F.","non-dropping-particle":"","parse-names":false,"suffix":""},{"dropping-particle":"","family":"Rodríguez-Suárez","given":"L.","non-dropping-particle":"","parse-names":false,"suffix":""},{"dropping-particle":"","family":"Rolandsson","given":"O.","non-dropping-particle":"","parse-names":false,"suffix":""},{"dropping-particle":"","family":"Sánchez","given":"M. J.","non-dropping-particle":"","parse-names":false,"suffix":""},{"dropping-particle":"","family":"Slimani","given":"N.","non-dropping-particle":"","parse-names":false,"suffix":""},{"dropping-particle":"","family":"Sluijs","given":"I.","non-dropping-particle":"","parse-names":false,"suffix":""},{"dropping-particle":"","family":"Spijkerman","given":"A. M.W.","non-dropping-particle":"","parse-names":false,"suffix":""},{"dropping-particle":"","family":"Teucher","given":"B.","non-dropping-particle":"","parse-names":false,"suffix":""},{"dropping-particle":"","family":"Tjonneland","given":"A.","non-dropping-particle":"","parse-names":false,"suffix":""},{"dropping-particle":"","family":"Tumino","given":"R.","non-dropping-particle":"","parse-names":false,"suffix":""},{"dropping-particle":"","family":"Berg","given":"S. W.","non-dropping-particle":"van den","parse-names":false,"suffix":""},{"dropping-particle":"","family":"Forouhi","given":"N. G.","non-dropping-particle":"","parse-names":false,"suffix":""},{"dropping-particle":"","family":"Langenberg","given":"C.","non-dropping-particle":"","parse-names":false,"suffix":""},{"dropping-particle":"","family":"Feskens","given":"E. J.M.","non-dropping-particle":"","parse-names":false,"suffix":""},{"dropping-particle":"","family":"Riboli","given":"E.","non-dropping-particle":"","parse-names":false,"suffix":""},{"dropping-particle":"","family":"Wareham","given":"N. J.","non-dropping-particle":"","parse-names":false,"suffix":""}],"container-title":"Diabetologia","id":"ITEM-3","issue":"1","issued":{"date-parts":[["2013","1"]]},"page":"47-59","title":"Association between dietary meat consumption and incident type 2 diabetes: The EPIC-InterAct study","type":"article-journal","volume":"56"},"uris":["http://www.mendeley.com/documents/?uuid=4cb27d2c-9356-33e6-97b3-80530b25800f"]},{"id":"ITEM-4","itemData":{"DOI":"10.3945/ajcn.111.018978","ISSN":"0002-9165","abstract":"Background: The relation between consumption of different types of red meats and risk of type 2 diabetes (T2D) remains uncertain. Objective: We evaluated the association between unprocessed and processed red meat consumption and incident T2D in US adults. Design: We followed 37,083 men in the Health Professionals Follow-Up Study (1986-2006), 79,570 women in the Nurses' Health Study I (1980-2008), and 87,504 women in the Nurses' Health Study II (1991-2005). Diet was assessed by validated food-frequency questionnaires, and data were updated every 4 y. Incident T2D was confirmed by a validated supplementary questionnaire. Results: During 4,033,322 person-years of follow-up, we documented 13,759 incident T2D cases. After adjustment for age, BMI, and other lifestyle and dietary risk factors, both unprocessed and processed red meat intakes were positively associated with T2D risk in each cohort (all P-trend &lt;0.001). The pooled HRs (95% CIs) for a one serving/d increase in unprocessed, processed, and total red meat consumption were 1.12 (1.08, 1.16), 1.32 (1.25, 1.40), and 1.14 (1.10, 1.18), respectively. The results were confirmed by a meta-analysis (442,101 participants and 28,228 diabetes cases): the RRs (95% CIs) were 1.19 (1.04, 1.37) and 1.51 (1.25, 1.83) for 100 g unprocessed red meat/d and for 50 g processed red meat/d, respectively. We estimated that substitutions of one serving of nuts, low-fat dairy, and whole grains per day for one serving of red meat per day were associated with a 16-35% lower risk of T2D. Conclusion: Our results suggest that red meat consumption, particularly processed red meat, is associated with an increased risk of T2D. Am J Clin Nutr 2011;94:1088-96.","author":[{"dropping-particle":"","family":"Pan","given":"A","non-dropping-particle":"","parse-names":false,"suffix":""},{"dropping-particle":"","family":"Sun","given":"Q","non-dropping-particle":"","parse-names":false,"suffix":""},{"dropping-particle":"","family":"Bernstein","given":"A M","non-dropping-particle":"","parse-names":false,"suffix":""},{"dropping-particle":"","family":"Schulze","given":"M B","non-dropping-particle":"","parse-names":false,"suffix":""},{"dropping-particle":"","family":"Manson","given":"J E","non-dropping-particle":"","parse-names":false,"suffix":""},{"dropping-particle":"","family":"Willett","given":"W C","non-dropping-particle":"","parse-names":false,"suffix":""},{"dropping-particle":"","family":"Hu","given":"F B","non-dropping-particle":"","parse-names":false,"suffix":""}],"container-title":"American Journal of Clinical Nutrition","id":"ITEM-4","issue":"4","issued":{"date-parts":[["2011"]]},"language":"English","note":"822GN\nTimes Cited:237\nCited References Count:42","page":"1088-1096","publisher-place":"Harvard Univ, Sch Publ Hlth, Dept Nutr, Boston, MA 02115 USA Harvard Univ, Sch Publ Hlth, Dept Epidemiol, Boston, MA 02115 USA Brigham &amp; Womens Hosp, Dept Med, Channing Lab, Boston, MA USA Brigham &amp; Womens Hosp, Dept Med, Div Prevent Med, Boston, MA 02115","title":"Red meat consumption and risk of type 2 diabetes: 3 cohorts of US adults and an updated meta-analysis","type":"article-journal","volume":"94"},"uris":["http://www.mendeley.com/documents/?uuid=3cdc7edd-b4a7-4e0a-a1b2-f873beed382f"]}],"mendeley":{"formattedCitation":"(3,4,39,40)","plainTextFormattedCitation":"(3,4,39,40)","previouslyFormattedCitation":"(3,4,37,38)"},"properties":{"noteIndex":0},"schema":"https://github.com/citation-style-language/schema/raw/master/csl-citation.json"}</w:instrText>
      </w:r>
      <w:r w:rsidR="000D1D61">
        <w:rPr>
          <w:vertAlign w:val="superscript"/>
        </w:rPr>
        <w:fldChar w:fldCharType="separate"/>
      </w:r>
      <w:r w:rsidR="00950D93" w:rsidRPr="00950D93">
        <w:rPr>
          <w:noProof/>
        </w:rPr>
        <w:t>(3,4,39,40)</w:t>
      </w:r>
      <w:r w:rsidR="000D1D61">
        <w:fldChar w:fldCharType="end"/>
      </w:r>
      <w:r w:rsidR="00AD120E">
        <w:t xml:space="preserve">. </w:t>
      </w:r>
      <w:r w:rsidR="00C45D79">
        <w:t>The</w:t>
      </w:r>
      <w:r w:rsidR="0048041C">
        <w:t xml:space="preserve"> score</w:t>
      </w:r>
      <w:r w:rsidR="001C062C">
        <w:t>-</w:t>
      </w:r>
      <w:r w:rsidR="0048041C">
        <w:t>derived association appeared</w:t>
      </w:r>
      <w:r w:rsidR="006C7199">
        <w:t xml:space="preserve"> to </w:t>
      </w:r>
      <w:r w:rsidR="00CF019C">
        <w:t xml:space="preserve">be </w:t>
      </w:r>
      <w:r w:rsidR="00221CF9">
        <w:t xml:space="preserve">comparable </w:t>
      </w:r>
      <w:r w:rsidR="00840F97">
        <w:t xml:space="preserve">in magnitude </w:t>
      </w:r>
      <w:r w:rsidR="00221CF9">
        <w:t xml:space="preserve">with </w:t>
      </w:r>
      <w:r w:rsidR="00A12963">
        <w:t>that</w:t>
      </w:r>
      <w:r w:rsidR="006C7199">
        <w:t xml:space="preserve"> using 7dDD</w:t>
      </w:r>
      <w:r w:rsidR="001F4C77">
        <w:t>-</w:t>
      </w:r>
      <w:r w:rsidR="006C7199">
        <w:t>measured meat intake</w:t>
      </w:r>
      <w:r w:rsidR="00D71372">
        <w:t xml:space="preserve">. </w:t>
      </w:r>
      <w:r w:rsidR="00A12963">
        <w:t xml:space="preserve">Similar results were reported </w:t>
      </w:r>
      <w:r w:rsidR="004C1831">
        <w:t>in</w:t>
      </w:r>
      <w:r w:rsidR="00A12963">
        <w:t xml:space="preserve"> a study </w:t>
      </w:r>
      <w:r w:rsidR="004C1831">
        <w:t xml:space="preserve">on </w:t>
      </w:r>
      <w:r w:rsidR="008051AF">
        <w:t xml:space="preserve">a </w:t>
      </w:r>
      <w:r w:rsidR="008B408E">
        <w:t>metabol</w:t>
      </w:r>
      <w:r w:rsidR="00F413B4">
        <w:t>omics</w:t>
      </w:r>
      <w:r w:rsidR="008B408E">
        <w:t xml:space="preserve"> </w:t>
      </w:r>
      <w:r w:rsidR="008051AF">
        <w:t>signature of the</w:t>
      </w:r>
      <w:r w:rsidR="00563C84">
        <w:t xml:space="preserve"> M</w:t>
      </w:r>
      <w:r w:rsidR="00563C84" w:rsidRPr="00563C84">
        <w:t>editerranean</w:t>
      </w:r>
      <w:r w:rsidR="00563C84">
        <w:t xml:space="preserve"> diet</w:t>
      </w:r>
      <w:r w:rsidR="008051AF">
        <w:t xml:space="preserve"> and its association with </w:t>
      </w:r>
      <w:r w:rsidR="009F093C">
        <w:t>cardiovascular disease</w:t>
      </w:r>
      <w:r w:rsidR="00F413B4">
        <w:t xml:space="preserve"> risk</w:t>
      </w:r>
      <w:r w:rsidR="00D47385">
        <w:t xml:space="preserve"> </w:t>
      </w:r>
      <w:r w:rsidR="00D71372">
        <w:fldChar w:fldCharType="begin" w:fldLock="1"/>
      </w:r>
      <w:r w:rsidR="00950D93">
        <w:instrText>ADDIN CSL_CITATION {"citationItems":[{"id":"ITEM-1","itemData":{"DOI":"10.1093/eurheartj/ehaa209","ISSN":"15229645","PMID":"32406924","abstract":"AIMS: To investigate whether metabolic signature composed of multiple plasma metabolites can be used to characterize adherence and metabolic response to the Mediterranean diet and whether such a metabolic signature is associated with cardiovascular disease (CVD) risk. METHODS AND RESULTS: Our primary study cohort included 1859 participants from the Spanish PREDIMED trial, and validation cohorts included 6868 participants from the US Nurses' Health Studies I and II, and Health Professionals Follow-up Study (NHS/HPFS). Adherence to the Mediterranean diet was assessed using a validated Mediterranean Diet Adherence Screener (MEDAS), and plasma metabolome was profiled by liquid chromatography-tandem mass spectrometry. We observed substantial metabolomic variation with respect to Mediterranean diet adherence, with nearly one-third of the assayed metabolites significantly associated with MEDAS (false discovery rate &lt; 0.05). Using elastic net regularized regressions, we identified a metabolic signature, comprised of 67 metabolites, robustly correlated with Mediterranean diet adherence in both PREDIMED and NHS/HPFS (r = 0.28-0.37 between the signature and MEDAS; P = 3 × 10-35 to 4 × 10-118). In multivariable Cox regressions, the metabolic signature showed a significant inverse association with CVD incidence after adjusting for known risk factors (PREDIMED: hazard ratio [HR] per standard deviation increment in the signature = 0.71, P &lt; 0.001; NHS/HPFS: HR = 0.85, P = 0.001), and the association persisted after further adjustment for MEDAS scores (PREDIMED: HR = 0.73, P = 0.004; NHS/HPFS: HR = 0.85, P = 0.004). Further genome-wide association analysis revealed that the metabolic signature was significantly associated with genetic loci involved in fatty acids and amino acids metabolism. Mendelian randomization analyses showed that the genetically inferred metabolic signature was significantly associated with risk of coronary heart disease (CHD) and stroke (odds ratios per SD increment in the genetically inferred metabolic signature = 0.92 for CHD and 0.91 for stroke; P &lt; 0.001). CONCLUSIONS: We identified a metabolic signature that robustly reflects adherence and metabolic response to a Mediterranean diet, and predicts future CVD risk independent of traditional risk factors, in Spanish and US cohorts.","author":[{"dropping-particle":"","family":"Li","given":"Jun","non-dropping-particle":"","parse-names":false,"suffix":""},{"dropping-particle":"","family":"Guasch-Ferré","given":"Marta","non-dropping-particle":"","parse-names":false,"suffix":""},{"dropping-particle":"","family":"Chung","given":"Wonil","non-dropping-particle":"","parse-names":false,"suffix":""},{"dropping-particle":"","family":"Ruiz-Canela","given":"Miguel","non-dropping-particle":"","parse-names":false,"suffix":""},{"dropping-particle":"","family":"Toledo","given":"Estefanía","non-dropping-particle":"","parse-names":false,"suffix":""},{"dropping-particle":"","family":"Corella","given":"Dolores","non-dropping-particle":"","parse-names":false,"suffix":""},{"dropping-particle":"","family":"Bhupathiraju","given":"Shilpa N.","non-dropping-particle":"","parse-names":false,"suffix":""},{"dropping-particle":"","family":"Tobias","given":"Deirdre K.","non-dropping-particle":"","parse-names":false,"suffix":""},{"dropping-particle":"","family":"Tabung","given":"Fred K.","non-dropping-particle":"","parse-names":false,"suffix":""},{"dropping-particle":"","family":"Hu","given":"Jie","non-dropping-particle":"","parse-names":false,"suffix":""},{"dropping-particle":"","family":"Zhao","given":"Tong","non-dropping-particle":"","parse-names":false,"suffix":""},{"dropping-particle":"","family":"Turman","given":"Constance","non-dropping-particle":"","parse-names":false,"suffix":""},{"dropping-particle":"","family":"Feng","given":"Yen Chen Anne","non-dropping-particle":"","parse-names":false,"suffix":""},{"dropping-particle":"","family":"Clish","given":"Clary B.","non-dropping-particle":"","parse-names":false,"suffix":""},{"dropping-particle":"","family":"Mucci","given":"Lorelei","non-dropping-particle":"","parse-names":false,"suffix":""},{"dropping-particle":"","family":"Eliassen","given":"A. Heather","non-dropping-particle":"","parse-names":false,"suffix":""},{"dropping-particle":"","family":"Costenbader","given":"Karen H.","non-dropping-particle":"","parse-names":false,"suffix":""},{"dropping-particle":"","family":"Karlson","given":"Elizabeth W.","non-dropping-particle":"","parse-names":false,"suffix":""},{"dropping-particle":"","family":"Wolpin","given":"Brian M.","non-dropping-particle":"","parse-names":false,"suffix":""},{"dropping-particle":"","family":"Ascherio","given":"Alberto","non-dropping-particle":"","parse-names":false,"suffix":""},{"dropping-particle":"","family":"Rimm","given":"Eric B.","non-dropping-particle":"","parse-names":false,"suffix":""},{"dropping-particle":"","family":"Manson","given":"Jo Ann E.","non-dropping-particle":"","parse-names":false,"suffix":""},{"dropping-particle":"","family":"Qi","given":"Lu","non-dropping-particle":"","parse-names":false,"suffix":""},{"dropping-particle":"","family":"Martínez-González","given":"Miguel Ángel","non-dropping-particle":"","parse-names":false,"suffix":""},{"dropping-particle":"","family":"Salas-Salvadó","given":"Jordi","non-dropping-particle":"","parse-names":false,"suffix":""},{"dropping-particle":"","family":"Hu","given":"Frank B.","non-dropping-particle":"","parse-names":false,"suffix":""},{"dropping-particle":"","family":"Liang","given":"Liming","non-dropping-particle":"","parse-names":false,"suffix":""}],"container-title":"European heart journal","id":"ITEM-1","issue":"28","issued":{"date-parts":[["2020"]]},"page":"2645-2656","title":"The Mediterranean diet, plasma metabolome, and cardiovascular disease risk","type":"article-journal","volume":"41"},"uris":["http://www.mendeley.com/documents/?uuid=87c57012-9431-47b3-8648-65639f6c83cb"]}],"mendeley":{"formattedCitation":"(41)","plainTextFormattedCitation":"(41)","previouslyFormattedCitation":"(39)"},"properties":{"noteIndex":0},"schema":"https://github.com/citation-style-language/schema/raw/master/csl-citation.json"}</w:instrText>
      </w:r>
      <w:r w:rsidR="00D71372">
        <w:rPr>
          <w:vertAlign w:val="superscript"/>
        </w:rPr>
        <w:fldChar w:fldCharType="separate"/>
      </w:r>
      <w:r w:rsidR="00950D93" w:rsidRPr="00950D93">
        <w:rPr>
          <w:noProof/>
        </w:rPr>
        <w:t>(41)</w:t>
      </w:r>
      <w:r w:rsidR="00D71372">
        <w:fldChar w:fldCharType="end"/>
      </w:r>
      <w:r w:rsidR="00D71372">
        <w:t xml:space="preserve">. </w:t>
      </w:r>
      <w:r w:rsidR="00F84020">
        <w:t xml:space="preserve">Future evaluations of </w:t>
      </w:r>
      <w:r w:rsidR="00F84020" w:rsidRPr="00840F97">
        <w:t>the additional complementary information that can be obtained by measurement of metabolites over and above traditional dietary assessment methods should include investigation of cost-effectiveness and predictive utility for disease outcomes.</w:t>
      </w:r>
    </w:p>
    <w:p w14:paraId="03355102" w14:textId="3F8B807C" w:rsidR="00AD120E" w:rsidRDefault="00AD120E" w:rsidP="00EF3667">
      <w:pPr>
        <w:pStyle w:val="Heading2"/>
      </w:pPr>
      <w:r>
        <w:lastRenderedPageBreak/>
        <w:t>Strengths and limitations</w:t>
      </w:r>
    </w:p>
    <w:p w14:paraId="5277868A" w14:textId="24FF5DF9" w:rsidR="00833105" w:rsidRDefault="009708CA" w:rsidP="00A26082">
      <w:r>
        <w:t>To our knowledge, t</w:t>
      </w:r>
      <w:r w:rsidR="00AD120E">
        <w:t xml:space="preserve">his study was the first of this kind to </w:t>
      </w:r>
      <w:r>
        <w:t xml:space="preserve">develop and </w:t>
      </w:r>
      <w:r w:rsidR="008736EA">
        <w:t xml:space="preserve">validate </w:t>
      </w:r>
      <w:r>
        <w:t xml:space="preserve">a </w:t>
      </w:r>
      <w:r w:rsidR="00AF2716">
        <w:t>metabolite</w:t>
      </w:r>
      <w:r>
        <w:t xml:space="preserve"> score </w:t>
      </w:r>
      <w:r w:rsidR="00A12963">
        <w:t xml:space="preserve">for red </w:t>
      </w:r>
      <w:r>
        <w:t xml:space="preserve">meat intake </w:t>
      </w:r>
      <w:r w:rsidR="00AD120E">
        <w:t xml:space="preserve">in a large </w:t>
      </w:r>
      <w:r w:rsidR="00BE2839">
        <w:t xml:space="preserve">population study </w:t>
      </w:r>
      <w:r w:rsidR="00A12963">
        <w:t xml:space="preserve">which has </w:t>
      </w:r>
      <w:r w:rsidR="00AD120E">
        <w:t>comprehensive diet</w:t>
      </w:r>
      <w:r>
        <w:t xml:space="preserve">ary </w:t>
      </w:r>
      <w:r w:rsidR="00A12963">
        <w:t xml:space="preserve">measurements </w:t>
      </w:r>
      <w:r>
        <w:t xml:space="preserve">and metabolomics </w:t>
      </w:r>
      <w:r w:rsidRPr="00CB6FD1">
        <w:t>data</w:t>
      </w:r>
      <w:r w:rsidR="00AD120E" w:rsidRPr="00CB6FD1">
        <w:t xml:space="preserve">. </w:t>
      </w:r>
      <w:r w:rsidR="002F4793" w:rsidRPr="00CB6FD1">
        <w:t>Metabol</w:t>
      </w:r>
      <w:r w:rsidR="00EF4349">
        <w:t>ite</w:t>
      </w:r>
      <w:r w:rsidR="002F4793" w:rsidRPr="00CB6FD1">
        <w:t xml:space="preserve"> profiling</w:t>
      </w:r>
      <w:r w:rsidR="00AD120E">
        <w:t xml:space="preserve"> provided a</w:t>
      </w:r>
      <w:r>
        <w:t xml:space="preserve"> complementary </w:t>
      </w:r>
      <w:r w:rsidR="00AD120E">
        <w:t xml:space="preserve">approach to assess </w:t>
      </w:r>
      <w:r w:rsidR="003C0F58">
        <w:t xml:space="preserve">types </w:t>
      </w:r>
      <w:r w:rsidR="00A12963">
        <w:t>of meat consumption</w:t>
      </w:r>
      <w:r w:rsidR="00AD120E">
        <w:t xml:space="preserve"> objectively</w:t>
      </w:r>
      <w:r w:rsidR="00A26082">
        <w:t>.</w:t>
      </w:r>
      <w:r w:rsidR="005402FA">
        <w:t xml:space="preserve"> </w:t>
      </w:r>
      <w:r w:rsidR="006172B0">
        <w:t>T</w:t>
      </w:r>
      <w:r w:rsidR="00AD120E">
        <w:t xml:space="preserve">he </w:t>
      </w:r>
      <w:r w:rsidR="005440A5">
        <w:t>application of metabolomics to</w:t>
      </w:r>
      <w:r w:rsidR="00AD120E">
        <w:t xml:space="preserve"> </w:t>
      </w:r>
      <w:r w:rsidR="006172B0">
        <w:t xml:space="preserve">a meat </w:t>
      </w:r>
      <w:r w:rsidR="00AD120E">
        <w:t xml:space="preserve">intervention </w:t>
      </w:r>
      <w:r w:rsidR="006172B0">
        <w:t xml:space="preserve">trial </w:t>
      </w:r>
      <w:r w:rsidR="0015478E">
        <w:t>provided additional evidence on</w:t>
      </w:r>
      <w:r w:rsidR="00AD120E">
        <w:t xml:space="preserve"> biological plausibility and reproducibility of the</w:t>
      </w:r>
      <w:r w:rsidR="006172B0">
        <w:t xml:space="preserve"> red meat</w:t>
      </w:r>
      <w:r w:rsidR="00AD120E">
        <w:t xml:space="preserve"> </w:t>
      </w:r>
      <w:r w:rsidR="00AF2716">
        <w:t>metabolite</w:t>
      </w:r>
      <w:r w:rsidR="00AD120E">
        <w:t xml:space="preserve"> score. </w:t>
      </w:r>
      <w:r w:rsidR="006172B0">
        <w:t xml:space="preserve">Additionally, in the EPIC-Norfolk study, a long follow-up with detailed information of multiple incident diseases enabled us to </w:t>
      </w:r>
      <w:r w:rsidR="001C20A0">
        <w:t>examine</w:t>
      </w:r>
      <w:r w:rsidR="006172B0">
        <w:t xml:space="preserve"> association</w:t>
      </w:r>
      <w:r w:rsidR="008736EA">
        <w:t>s</w:t>
      </w:r>
      <w:r w:rsidR="006172B0">
        <w:t xml:space="preserve"> between the </w:t>
      </w:r>
      <w:r w:rsidR="001C20A0">
        <w:t xml:space="preserve">meat </w:t>
      </w:r>
      <w:r w:rsidR="00AF2716">
        <w:t>metabolite</w:t>
      </w:r>
      <w:r w:rsidR="001C20A0">
        <w:t xml:space="preserve"> score and </w:t>
      </w:r>
      <w:r w:rsidR="006172B0">
        <w:t xml:space="preserve">multiple health </w:t>
      </w:r>
      <w:r w:rsidR="00FB656F">
        <w:t xml:space="preserve">outcomes </w:t>
      </w:r>
      <w:r w:rsidR="006172B0">
        <w:t>simultaneously.</w:t>
      </w:r>
    </w:p>
    <w:p w14:paraId="3A30AAC5" w14:textId="75BEA90F" w:rsidR="00833105" w:rsidRDefault="00AD120E" w:rsidP="00052B50">
      <w:r>
        <w:t>Several limitations warrant discussion. First</w:t>
      </w:r>
      <w:r w:rsidR="00BC7586">
        <w:t>ly</w:t>
      </w:r>
      <w:r>
        <w:t>, the study was based on a</w:t>
      </w:r>
      <w:r w:rsidR="00DE1F4B">
        <w:t xml:space="preserve"> </w:t>
      </w:r>
      <w:r w:rsidR="004633F9">
        <w:t>British population</w:t>
      </w:r>
      <w:r w:rsidR="00A26082">
        <w:t xml:space="preserve"> so </w:t>
      </w:r>
      <w:r w:rsidR="001C3E9B">
        <w:t>generalizability</w:t>
      </w:r>
      <w:r w:rsidR="003C0F58">
        <w:t xml:space="preserve"> is limited for</w:t>
      </w:r>
      <w:r w:rsidR="004633F9">
        <w:t xml:space="preserve"> other populations</w:t>
      </w:r>
      <w:r w:rsidR="001C20A0">
        <w:t xml:space="preserve"> and further validation stud</w:t>
      </w:r>
      <w:r w:rsidR="00BC7586">
        <w:t>ies</w:t>
      </w:r>
      <w:r w:rsidR="001C20A0">
        <w:t xml:space="preserve"> </w:t>
      </w:r>
      <w:r w:rsidR="00BC7586">
        <w:t>should</w:t>
      </w:r>
      <w:r w:rsidR="001C20A0">
        <w:t xml:space="preserve"> be considered</w:t>
      </w:r>
      <w:r w:rsidR="004633F9">
        <w:t>.</w:t>
      </w:r>
      <w:r>
        <w:t xml:space="preserve"> Second</w:t>
      </w:r>
      <w:r w:rsidR="00BC7586">
        <w:t>ly</w:t>
      </w:r>
      <w:r w:rsidR="00ED57C9">
        <w:t>, although</w:t>
      </w:r>
      <w:r>
        <w:t xml:space="preserve"> </w:t>
      </w:r>
      <w:r w:rsidR="00ED57C9">
        <w:t>we have adjusted for a comprehensive set of confounders to examine the association between the red meat metabolite score and risks of non-communicable</w:t>
      </w:r>
      <w:r w:rsidR="00ED57C9" w:rsidDel="001152F7">
        <w:t xml:space="preserve"> </w:t>
      </w:r>
      <w:r w:rsidR="00ED57C9">
        <w:t xml:space="preserve">diseases, the results may be affected by </w:t>
      </w:r>
      <w:r>
        <w:t>residual confounding. Third</w:t>
      </w:r>
      <w:r w:rsidR="00BC7586">
        <w:t>ly</w:t>
      </w:r>
      <w:r>
        <w:t xml:space="preserve">, while we have </w:t>
      </w:r>
      <w:r w:rsidR="001C20A0">
        <w:t xml:space="preserve">tested the change of </w:t>
      </w:r>
      <w:r>
        <w:t xml:space="preserve">metabolites </w:t>
      </w:r>
      <w:r w:rsidR="001C20A0">
        <w:t xml:space="preserve">after meat intervention </w:t>
      </w:r>
      <w:r>
        <w:t xml:space="preserve">in </w:t>
      </w:r>
      <w:r w:rsidR="001C20A0">
        <w:t>a trial</w:t>
      </w:r>
      <w:r>
        <w:t>,</w:t>
      </w:r>
      <w:r w:rsidR="00ED1FDA">
        <w:t xml:space="preserve"> </w:t>
      </w:r>
      <w:r>
        <w:t xml:space="preserve">the limited number of </w:t>
      </w:r>
      <w:r w:rsidR="00E22A14">
        <w:t>red meat products and t</w:t>
      </w:r>
      <w:r w:rsidR="004065C8">
        <w:t xml:space="preserve">he limited size of the trial </w:t>
      </w:r>
      <w:r>
        <w:t xml:space="preserve">hindered a comprehensive validation analysis. </w:t>
      </w:r>
      <w:r w:rsidR="00DB3C78">
        <w:t xml:space="preserve">The potential causal links between meat intake and most of the candidate metabolites are largely unknown. Many metabolites in the score </w:t>
      </w:r>
      <w:r w:rsidR="007A6D25">
        <w:t xml:space="preserve">are </w:t>
      </w:r>
      <w:r w:rsidR="00DB3C78">
        <w:t xml:space="preserve">probably not </w:t>
      </w:r>
      <w:r w:rsidR="007A6D25">
        <w:t xml:space="preserve">directly influenced by </w:t>
      </w:r>
      <w:r w:rsidR="00DB3C78">
        <w:t>meat</w:t>
      </w:r>
      <w:r w:rsidR="007A6D25">
        <w:t xml:space="preserve"> intake</w:t>
      </w:r>
      <w:r w:rsidR="00DB3C78">
        <w:t xml:space="preserve">, but </w:t>
      </w:r>
      <w:r w:rsidR="00294A11">
        <w:t xml:space="preserve">affected by </w:t>
      </w:r>
      <w:r w:rsidR="003C0F58">
        <w:t xml:space="preserve">factors </w:t>
      </w:r>
      <w:r w:rsidR="00DB3C78">
        <w:t>that are correlated with meat intake, such as BMI</w:t>
      </w:r>
      <w:r w:rsidR="003C0F58">
        <w:t xml:space="preserve"> or </w:t>
      </w:r>
      <w:r w:rsidR="00294A11">
        <w:t>derived from metabolic or physiological processes</w:t>
      </w:r>
      <w:r w:rsidR="00CA7B5E">
        <w:t xml:space="preserve">. </w:t>
      </w:r>
      <w:r w:rsidR="00FA1932" w:rsidRPr="00016E9D">
        <w:t>Also, we might be unable to validate metabolites that reflect long-term diet</w:t>
      </w:r>
      <w:r w:rsidR="00CC3918">
        <w:t>s</w:t>
      </w:r>
      <w:r w:rsidR="00FA1932" w:rsidRPr="00016E9D">
        <w:t xml:space="preserve"> because the feeding study tested short-term exposures</w:t>
      </w:r>
      <w:r w:rsidR="00FA1932">
        <w:t>.</w:t>
      </w:r>
      <w:r w:rsidR="00FA1932" w:rsidRPr="00016E9D">
        <w:t xml:space="preserve"> </w:t>
      </w:r>
      <w:r w:rsidR="00DB3C78" w:rsidRPr="00DB3C78">
        <w:t xml:space="preserve">However, the most important metabolites were </w:t>
      </w:r>
      <w:r w:rsidR="00ED7D42">
        <w:t>validated</w:t>
      </w:r>
      <w:r w:rsidR="00ED7D42" w:rsidRPr="00DB3C78">
        <w:t xml:space="preserve"> </w:t>
      </w:r>
      <w:r w:rsidR="00DB3C78" w:rsidRPr="00DB3C78">
        <w:t>in the RCT and the score correlate</w:t>
      </w:r>
      <w:r w:rsidR="003C0F58">
        <w:t>d</w:t>
      </w:r>
      <w:r w:rsidR="00DB3C78" w:rsidRPr="00DB3C78">
        <w:t xml:space="preserve"> well with meat intake in the validation set.</w:t>
      </w:r>
      <w:r w:rsidR="00DB3C78">
        <w:t xml:space="preserve"> </w:t>
      </w:r>
      <w:r>
        <w:t xml:space="preserve">Further validation studies </w:t>
      </w:r>
      <w:r w:rsidR="00770801">
        <w:t xml:space="preserve">with a wider range of confirmed metabolites </w:t>
      </w:r>
      <w:r>
        <w:t>in other populations are needed.</w:t>
      </w:r>
    </w:p>
    <w:p w14:paraId="509F351D" w14:textId="2E688AA7" w:rsidR="00AD120E" w:rsidRDefault="00AD120E" w:rsidP="00735627">
      <w:pPr>
        <w:pStyle w:val="Heading1"/>
      </w:pPr>
      <w:r>
        <w:lastRenderedPageBreak/>
        <w:t>Conclusion</w:t>
      </w:r>
      <w:r w:rsidR="002349BF">
        <w:t xml:space="preserve"> (3</w:t>
      </w:r>
      <w:r w:rsidR="00633B8C">
        <w:t>8</w:t>
      </w:r>
      <w:r w:rsidR="002349BF">
        <w:t xml:space="preserve"> words)</w:t>
      </w:r>
    </w:p>
    <w:p w14:paraId="06C57913" w14:textId="272FBCC8" w:rsidR="0040246C" w:rsidRDefault="000C1C1A" w:rsidP="00052B50">
      <w:r>
        <w:t>This study</w:t>
      </w:r>
      <w:r w:rsidR="00AD120E">
        <w:t xml:space="preserve"> suggest</w:t>
      </w:r>
      <w:r w:rsidR="00BE569A">
        <w:t>s</w:t>
      </w:r>
      <w:r w:rsidR="00AD120E">
        <w:t xml:space="preserve"> that </w:t>
      </w:r>
      <w:r w:rsidR="00BE569A">
        <w:rPr>
          <w:rFonts w:eastAsia="Times New Roman" w:cs="Times New Roman"/>
        </w:rPr>
        <w:t>a</w:t>
      </w:r>
      <w:r w:rsidR="00BE569A" w:rsidRPr="25BC7BC6">
        <w:rPr>
          <w:rFonts w:eastAsia="Times New Roman" w:cs="Times New Roman"/>
        </w:rPr>
        <w:t xml:space="preserve"> </w:t>
      </w:r>
      <w:r w:rsidR="00AF2716">
        <w:rPr>
          <w:rFonts w:eastAsia="Times New Roman" w:cs="Times New Roman"/>
        </w:rPr>
        <w:t>metabolite</w:t>
      </w:r>
      <w:r w:rsidR="009708CA" w:rsidRPr="25BC7BC6">
        <w:rPr>
          <w:rFonts w:eastAsia="Times New Roman" w:cs="Times New Roman"/>
        </w:rPr>
        <w:t xml:space="preserve"> score</w:t>
      </w:r>
      <w:r w:rsidR="009708CA">
        <w:rPr>
          <w:rFonts w:eastAsia="Times New Roman" w:cs="Times New Roman"/>
        </w:rPr>
        <w:t xml:space="preserve"> derived from untargeted metabolomics profile in plasma ha</w:t>
      </w:r>
      <w:r w:rsidR="00FF4DAA">
        <w:rPr>
          <w:rFonts w:eastAsia="Times New Roman" w:cs="Times New Roman"/>
        </w:rPr>
        <w:t>s</w:t>
      </w:r>
      <w:r w:rsidR="009708CA">
        <w:rPr>
          <w:rFonts w:eastAsia="Times New Roman" w:cs="Times New Roman"/>
        </w:rPr>
        <w:t xml:space="preserve"> the potential to reflect </w:t>
      </w:r>
      <w:r w:rsidR="00C8272E">
        <w:rPr>
          <w:rFonts w:eastAsia="Times New Roman" w:cs="Times New Roman"/>
        </w:rPr>
        <w:t xml:space="preserve">red </w:t>
      </w:r>
      <w:r w:rsidR="009708CA">
        <w:rPr>
          <w:rFonts w:eastAsia="Times New Roman" w:cs="Times New Roman"/>
        </w:rPr>
        <w:t xml:space="preserve">meat consumption and </w:t>
      </w:r>
      <w:r w:rsidR="00BE569A">
        <w:rPr>
          <w:rFonts w:eastAsia="Times New Roman" w:cs="Times New Roman"/>
        </w:rPr>
        <w:t xml:space="preserve">inform the </w:t>
      </w:r>
      <w:r w:rsidR="00453717">
        <w:rPr>
          <w:rFonts w:eastAsia="Times New Roman" w:cs="Times New Roman"/>
        </w:rPr>
        <w:t xml:space="preserve">study of the </w:t>
      </w:r>
      <w:r w:rsidR="00630CC3">
        <w:rPr>
          <w:rFonts w:eastAsia="Times New Roman" w:cs="Times New Roman"/>
        </w:rPr>
        <w:t>associat</w:t>
      </w:r>
      <w:r w:rsidR="00BE569A">
        <w:rPr>
          <w:rFonts w:eastAsia="Times New Roman" w:cs="Times New Roman"/>
        </w:rPr>
        <w:t xml:space="preserve">ion of red meat consumption, assessed objectively, </w:t>
      </w:r>
      <w:r w:rsidR="00630CC3">
        <w:rPr>
          <w:rFonts w:eastAsia="Times New Roman" w:cs="Times New Roman"/>
        </w:rPr>
        <w:t xml:space="preserve">with </w:t>
      </w:r>
      <w:r w:rsidR="009708CA">
        <w:rPr>
          <w:rFonts w:eastAsia="Times New Roman" w:cs="Times New Roman"/>
        </w:rPr>
        <w:t xml:space="preserve">clinical outcomes. </w:t>
      </w:r>
    </w:p>
    <w:p w14:paraId="64312FFA" w14:textId="77777777" w:rsidR="00C0264A" w:rsidRPr="0037647B" w:rsidRDefault="00C0264A" w:rsidP="00735627">
      <w:pPr>
        <w:pStyle w:val="Heading1"/>
      </w:pPr>
      <w:r w:rsidRPr="0037647B">
        <w:t>Acknowledgements</w:t>
      </w:r>
    </w:p>
    <w:p w14:paraId="4E0A6409" w14:textId="77777777" w:rsidR="00C0264A" w:rsidRDefault="00C0264A" w:rsidP="00C0264A">
      <w:pPr>
        <w:rPr>
          <w:color w:val="000000"/>
        </w:rPr>
      </w:pPr>
      <w:r w:rsidRPr="55ADDBD7">
        <w:t xml:space="preserve">We </w:t>
      </w:r>
      <w:r>
        <w:t>thank</w:t>
      </w:r>
      <w:r w:rsidRPr="55ADDBD7">
        <w:t xml:space="preserve"> all the participants who have been part of the project and to the many members of the study teams at the University of Cambridge who have enabled this research.</w:t>
      </w:r>
      <w:r>
        <w:t xml:space="preserve"> </w:t>
      </w:r>
      <w:r>
        <w:rPr>
          <w:color w:val="000000"/>
        </w:rPr>
        <w:t>We also thank</w:t>
      </w:r>
      <w:r w:rsidRPr="00E15CAC">
        <w:rPr>
          <w:color w:val="000000"/>
        </w:rPr>
        <w:t xml:space="preserve"> </w:t>
      </w:r>
      <w:proofErr w:type="spellStart"/>
      <w:r>
        <w:rPr>
          <w:color w:val="000000"/>
        </w:rPr>
        <w:t>Junqing</w:t>
      </w:r>
      <w:proofErr w:type="spellEnd"/>
      <w:r>
        <w:rPr>
          <w:color w:val="000000"/>
        </w:rPr>
        <w:t xml:space="preserve"> </w:t>
      </w:r>
      <w:proofErr w:type="spellStart"/>
      <w:r>
        <w:rPr>
          <w:color w:val="000000"/>
        </w:rPr>
        <w:t>Xie</w:t>
      </w:r>
      <w:proofErr w:type="spellEnd"/>
      <w:r>
        <w:rPr>
          <w:color w:val="000000"/>
        </w:rPr>
        <w:t xml:space="preserve"> for insightful discussion. </w:t>
      </w:r>
    </w:p>
    <w:p w14:paraId="1707A305" w14:textId="77777777" w:rsidR="00C0264A" w:rsidRDefault="00C0264A" w:rsidP="00735627">
      <w:pPr>
        <w:pStyle w:val="Heading1"/>
      </w:pPr>
      <w:r w:rsidRPr="00793757">
        <w:t>Author contributions</w:t>
      </w:r>
    </w:p>
    <w:p w14:paraId="1BCA3FB0" w14:textId="5983CABF" w:rsidR="0034036A" w:rsidRDefault="00C0264A" w:rsidP="005722DE">
      <w:proofErr w:type="spellStart"/>
      <w:r>
        <w:t>C.L</w:t>
      </w:r>
      <w:r w:rsidR="00453717">
        <w:t>i</w:t>
      </w:r>
      <w:proofErr w:type="spellEnd"/>
      <w:r>
        <w:t>, F.I, and N.J.W</w:t>
      </w:r>
      <w:r w:rsidRPr="00E15CAC">
        <w:t xml:space="preserve"> designed</w:t>
      </w:r>
      <w:r>
        <w:t xml:space="preserve"> </w:t>
      </w:r>
      <w:r w:rsidRPr="00E15CAC">
        <w:t xml:space="preserve">the research; </w:t>
      </w:r>
      <w:proofErr w:type="spellStart"/>
      <w:r>
        <w:t>C.L</w:t>
      </w:r>
      <w:r w:rsidR="00453717">
        <w:t>i</w:t>
      </w:r>
      <w:proofErr w:type="spellEnd"/>
      <w:r>
        <w:t xml:space="preserve"> and R.W analyzed the data; </w:t>
      </w:r>
      <w:proofErr w:type="spellStart"/>
      <w:r>
        <w:t>C.L</w:t>
      </w:r>
      <w:r w:rsidR="00453717">
        <w:t>i</w:t>
      </w:r>
      <w:proofErr w:type="spellEnd"/>
      <w:r>
        <w:t>, F.I, N.J.W,</w:t>
      </w:r>
      <w:r w:rsidRPr="00E15CAC">
        <w:t xml:space="preserve"> </w:t>
      </w:r>
      <w:r>
        <w:t>and</w:t>
      </w:r>
      <w:r w:rsidRPr="00E15CAC">
        <w:t xml:space="preserve"> </w:t>
      </w:r>
      <w:r>
        <w:t xml:space="preserve">R.W </w:t>
      </w:r>
      <w:r w:rsidRPr="00E15CAC">
        <w:t>drafted the manuscript;</w:t>
      </w:r>
      <w:r>
        <w:t xml:space="preserve"> </w:t>
      </w:r>
      <w:r w:rsidRPr="00E15CAC">
        <w:t>R</w:t>
      </w:r>
      <w:r>
        <w:t>.</w:t>
      </w:r>
      <w:r w:rsidRPr="00E15CAC">
        <w:t>W conducted the laboratory analys</w:t>
      </w:r>
      <w:r>
        <w:t xml:space="preserve">es of the intervention study; </w:t>
      </w:r>
      <w:proofErr w:type="spellStart"/>
      <w:r>
        <w:t>C.L</w:t>
      </w:r>
      <w:r w:rsidR="00453717">
        <w:t>i</w:t>
      </w:r>
      <w:proofErr w:type="spellEnd"/>
      <w:r>
        <w:t>, F.I, R.W, A.S, and N.J.W interpreted the data; I.D.S, M.P, E.W, N.G.F, and C.L provided administrative, technical or material support; N.J.W</w:t>
      </w:r>
      <w:r w:rsidRPr="00E15CAC">
        <w:t xml:space="preserve"> had primary responsibility for final content; </w:t>
      </w:r>
      <w:r>
        <w:t xml:space="preserve">and all authors </w:t>
      </w:r>
      <w:r w:rsidRPr="00E15CAC">
        <w:t xml:space="preserve">revised and approved the final manuscript. </w:t>
      </w:r>
      <w:r w:rsidR="0034036A">
        <w:br w:type="page"/>
      </w:r>
    </w:p>
    <w:p w14:paraId="6776A9E3" w14:textId="77777777" w:rsidR="009469C6" w:rsidRDefault="009469C6" w:rsidP="00735627">
      <w:pPr>
        <w:pStyle w:val="Heading1"/>
        <w:sectPr w:rsidR="009469C6" w:rsidSect="005A2509">
          <w:headerReference w:type="default" r:id="rId14"/>
          <w:pgSz w:w="11906" w:h="16838"/>
          <w:pgMar w:top="1440" w:right="1440" w:bottom="1440" w:left="1440" w:header="708" w:footer="708" w:gutter="0"/>
          <w:lnNumType w:countBy="1" w:restart="continuous"/>
          <w:cols w:space="708"/>
          <w:docGrid w:linePitch="360"/>
        </w:sectPr>
      </w:pPr>
    </w:p>
    <w:p w14:paraId="7598D554" w14:textId="22B72798" w:rsidR="00A26609" w:rsidRDefault="00A26609" w:rsidP="00735627">
      <w:pPr>
        <w:pStyle w:val="Heading1"/>
      </w:pPr>
      <w:r>
        <w:lastRenderedPageBreak/>
        <w:t>References</w:t>
      </w:r>
    </w:p>
    <w:p w14:paraId="5DFA56F0" w14:textId="3263BEBD" w:rsidR="00950D93" w:rsidRPr="00950D93" w:rsidRDefault="00A26609" w:rsidP="00950D93">
      <w:pPr>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00950D93" w:rsidRPr="00950D93">
        <w:rPr>
          <w:rFonts w:cs="Times New Roman"/>
          <w:noProof/>
          <w:szCs w:val="24"/>
        </w:rPr>
        <w:t xml:space="preserve">1. </w:t>
      </w:r>
      <w:r w:rsidR="00950D93" w:rsidRPr="00950D93">
        <w:rPr>
          <w:rFonts w:cs="Times New Roman"/>
          <w:noProof/>
          <w:szCs w:val="24"/>
        </w:rPr>
        <w:tab/>
        <w:t>Hoogendijk EO, Afilalo J, Ensrud KE, Kowal P, Onder G, Fried LP. Frailty: implications for clinical practic</w:t>
      </w:r>
      <w:r w:rsidR="00C97120">
        <w:rPr>
          <w:rFonts w:cs="Times New Roman"/>
          <w:noProof/>
          <w:szCs w:val="24"/>
        </w:rPr>
        <w:t>e and public health. The Lancet</w:t>
      </w:r>
      <w:r w:rsidR="00950D93" w:rsidRPr="00950D93">
        <w:rPr>
          <w:rFonts w:cs="Times New Roman"/>
          <w:noProof/>
          <w:szCs w:val="24"/>
        </w:rPr>
        <w:t xml:space="preserve"> 2019</w:t>
      </w:r>
      <w:r w:rsidR="0065629E">
        <w:rPr>
          <w:rFonts w:cs="Times New Roman"/>
          <w:noProof/>
          <w:szCs w:val="24"/>
        </w:rPr>
        <w:t>;</w:t>
      </w:r>
      <w:r w:rsidR="00950D93">
        <w:rPr>
          <w:rFonts w:cs="Times New Roman"/>
          <w:noProof/>
          <w:szCs w:val="24"/>
        </w:rPr>
        <w:t>394(10206):</w:t>
      </w:r>
      <w:r w:rsidR="00950D93" w:rsidRPr="00950D93">
        <w:rPr>
          <w:rFonts w:cs="Times New Roman"/>
          <w:noProof/>
          <w:szCs w:val="24"/>
        </w:rPr>
        <w:t xml:space="preserve"> 1365–75. </w:t>
      </w:r>
    </w:p>
    <w:p w14:paraId="67E61804" w14:textId="2C01D604"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 </w:t>
      </w:r>
      <w:r w:rsidRPr="00950D93">
        <w:rPr>
          <w:rFonts w:cs="Times New Roman"/>
          <w:noProof/>
          <w:szCs w:val="24"/>
        </w:rPr>
        <w:tab/>
        <w:t>Godfray HCJ, Aveyard P, Garnett T, Hall JW, Key TJ, Lorimer J, Pierrehumbert RT, Scarborough P, Springmann M, Jebb SA. Meat consumption, health, and the environment. Science 2018;361</w:t>
      </w:r>
      <w:r>
        <w:rPr>
          <w:rFonts w:cs="Times New Roman"/>
          <w:noProof/>
          <w:szCs w:val="24"/>
        </w:rPr>
        <w:t>(6399)</w:t>
      </w:r>
      <w:r w:rsidRPr="00950D93">
        <w:rPr>
          <w:rFonts w:cs="Times New Roman"/>
          <w:noProof/>
          <w:szCs w:val="24"/>
        </w:rPr>
        <w:t xml:space="preserve">. </w:t>
      </w:r>
    </w:p>
    <w:p w14:paraId="013441B3" w14:textId="0A0DF75E"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 </w:t>
      </w:r>
      <w:r w:rsidRPr="00950D93">
        <w:rPr>
          <w:rFonts w:cs="Times New Roman"/>
          <w:noProof/>
          <w:szCs w:val="24"/>
        </w:rPr>
        <w:tab/>
        <w:t>Yang X, Li Y, Wang C, Mao Z, Zhou W, Zhang L, Fan M, Cui S, Li L. Meat and fish intake and type 2 diabetes: Dose–response meta-analysis of prospective cohort s</w:t>
      </w:r>
      <w:r w:rsidR="00C97120">
        <w:rPr>
          <w:rFonts w:cs="Times New Roman"/>
          <w:noProof/>
          <w:szCs w:val="24"/>
        </w:rPr>
        <w:t xml:space="preserve">tudies. </w:t>
      </w:r>
      <w:r w:rsidR="0065629E" w:rsidRPr="0065629E">
        <w:rPr>
          <w:rFonts w:cs="Times New Roman"/>
          <w:noProof/>
          <w:szCs w:val="24"/>
        </w:rPr>
        <w:t>Diabetes Metab</w:t>
      </w:r>
      <w:r w:rsidR="0065629E">
        <w:rPr>
          <w:rFonts w:cs="Times New Roman"/>
          <w:noProof/>
          <w:szCs w:val="24"/>
        </w:rPr>
        <w:t xml:space="preserve"> 2020;</w:t>
      </w:r>
      <w:r>
        <w:rPr>
          <w:rFonts w:cs="Times New Roman"/>
          <w:noProof/>
          <w:szCs w:val="24"/>
        </w:rPr>
        <w:t>46(5):</w:t>
      </w:r>
      <w:r w:rsidRPr="00950D93">
        <w:rPr>
          <w:rFonts w:cs="Times New Roman"/>
          <w:noProof/>
          <w:szCs w:val="24"/>
        </w:rPr>
        <w:t xml:space="preserve">345–52. </w:t>
      </w:r>
    </w:p>
    <w:p w14:paraId="4CC92740"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4. </w:t>
      </w:r>
      <w:r w:rsidRPr="00950D93">
        <w:rPr>
          <w:rFonts w:cs="Times New Roman"/>
          <w:noProof/>
          <w:szCs w:val="24"/>
        </w:rPr>
        <w:tab/>
        <w:t xml:space="preserve">Neuenschwander M, Ballon A, Weber KS, Norat T, Aune D, Schwingshackl L, Schlesinger S. Role of diet in type 2 diabetes incidence: umbrella review of meta-analyses of prospective observational studies. BMJ 2019;366:l2368. </w:t>
      </w:r>
    </w:p>
    <w:p w14:paraId="5BF39712" w14:textId="7CFD9506"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5. </w:t>
      </w:r>
      <w:r w:rsidRPr="00950D93">
        <w:rPr>
          <w:rFonts w:cs="Times New Roman"/>
          <w:noProof/>
          <w:szCs w:val="24"/>
        </w:rPr>
        <w:tab/>
        <w:t>Bouvard V, Loomis D, Guyton KZ, Grosse Y, Ghissassi F El, Benbrahim-Tallaa L, Guha N, Mattock H, Straif K, Stewart BW, et al. Carcinogenicity of consumption of red and pro</w:t>
      </w:r>
      <w:r w:rsidR="0065629E">
        <w:rPr>
          <w:rFonts w:cs="Times New Roman"/>
          <w:noProof/>
          <w:szCs w:val="24"/>
        </w:rPr>
        <w:t>cessed meat. The Lancet Oncol</w:t>
      </w:r>
      <w:r w:rsidRPr="00950D93">
        <w:rPr>
          <w:rFonts w:cs="Times New Roman"/>
          <w:noProof/>
          <w:szCs w:val="24"/>
        </w:rPr>
        <w:t xml:space="preserve"> 2015;16</w:t>
      </w:r>
      <w:r w:rsidR="0065629E">
        <w:rPr>
          <w:rFonts w:cs="Times New Roman"/>
          <w:noProof/>
          <w:szCs w:val="24"/>
        </w:rPr>
        <w:t>16)</w:t>
      </w:r>
      <w:r w:rsidRPr="00950D93">
        <w:rPr>
          <w:rFonts w:cs="Times New Roman"/>
          <w:noProof/>
          <w:szCs w:val="24"/>
        </w:rPr>
        <w:t xml:space="preserve">:1599–600. </w:t>
      </w:r>
    </w:p>
    <w:p w14:paraId="2AF76428" w14:textId="54D78286"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6. </w:t>
      </w:r>
      <w:r w:rsidRPr="00950D93">
        <w:rPr>
          <w:rFonts w:cs="Times New Roman"/>
          <w:noProof/>
          <w:szCs w:val="24"/>
        </w:rPr>
        <w:tab/>
        <w:t>Nicholson JK, Holmes E, Kinross JM, Darzi AW, Takats Z, Lindon JC. Metabolic phenotyping in clinical an</w:t>
      </w:r>
      <w:r w:rsidR="00C97120">
        <w:rPr>
          <w:rFonts w:cs="Times New Roman"/>
          <w:noProof/>
          <w:szCs w:val="24"/>
        </w:rPr>
        <w:t>d surgical environments. Nature</w:t>
      </w:r>
      <w:r w:rsidRPr="00950D93">
        <w:rPr>
          <w:rFonts w:cs="Times New Roman"/>
          <w:noProof/>
          <w:szCs w:val="24"/>
        </w:rPr>
        <w:t xml:space="preserve"> 2012</w:t>
      </w:r>
      <w:r w:rsidR="0065629E">
        <w:rPr>
          <w:rFonts w:cs="Times New Roman"/>
          <w:noProof/>
          <w:szCs w:val="24"/>
        </w:rPr>
        <w:t>;</w:t>
      </w:r>
      <w:r>
        <w:rPr>
          <w:rFonts w:cs="Times New Roman"/>
          <w:noProof/>
          <w:szCs w:val="24"/>
        </w:rPr>
        <w:t>491(7424)</w:t>
      </w:r>
      <w:r w:rsidR="008406D9">
        <w:rPr>
          <w:rFonts w:cs="Times New Roman"/>
          <w:noProof/>
          <w:szCs w:val="24"/>
        </w:rPr>
        <w:t>:</w:t>
      </w:r>
      <w:r w:rsidRPr="00950D93">
        <w:rPr>
          <w:rFonts w:cs="Times New Roman"/>
          <w:noProof/>
          <w:szCs w:val="24"/>
        </w:rPr>
        <w:t xml:space="preserve">384–92. </w:t>
      </w:r>
    </w:p>
    <w:p w14:paraId="6FCA2B78" w14:textId="168214B6"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7. </w:t>
      </w:r>
      <w:r w:rsidRPr="00950D93">
        <w:rPr>
          <w:rFonts w:cs="Times New Roman"/>
          <w:noProof/>
          <w:szCs w:val="24"/>
        </w:rPr>
        <w:tab/>
        <w:t>Bar N, Korem T, Weissbrod O, Zeevi D, Rothschild D, Leviatan S, Kosower N, Lotan-Pompan M, Weinberger A, Le Roy CI, et al. A reference map of potential determinants for the human serum metabolome. Nature 2020;588</w:t>
      </w:r>
      <w:r>
        <w:rPr>
          <w:rFonts w:cs="Times New Roman"/>
          <w:noProof/>
          <w:szCs w:val="24"/>
        </w:rPr>
        <w:t>(7836)</w:t>
      </w:r>
      <w:r w:rsidRPr="00950D93">
        <w:rPr>
          <w:rFonts w:cs="Times New Roman"/>
          <w:noProof/>
          <w:szCs w:val="24"/>
        </w:rPr>
        <w:t xml:space="preserve">:135–40. </w:t>
      </w:r>
    </w:p>
    <w:p w14:paraId="39F28BBC" w14:textId="2D579F12"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8. </w:t>
      </w:r>
      <w:r w:rsidRPr="00950D93">
        <w:rPr>
          <w:rFonts w:cs="Times New Roman"/>
          <w:noProof/>
          <w:szCs w:val="24"/>
        </w:rPr>
        <w:tab/>
        <w:t>Shim J-S, Oh K, Kim HC. Dietary assessment methods in epi</w:t>
      </w:r>
      <w:r w:rsidR="00E94FB2">
        <w:rPr>
          <w:rFonts w:cs="Times New Roman"/>
          <w:noProof/>
          <w:szCs w:val="24"/>
        </w:rPr>
        <w:t>demiologic studies. Epidemiol</w:t>
      </w:r>
      <w:r w:rsidRPr="00950D93">
        <w:rPr>
          <w:rFonts w:cs="Times New Roman"/>
          <w:noProof/>
          <w:szCs w:val="24"/>
        </w:rPr>
        <w:t xml:space="preserve"> Health</w:t>
      </w:r>
      <w:r w:rsidR="00E94FB2">
        <w:rPr>
          <w:rFonts w:cs="Times New Roman"/>
          <w:noProof/>
          <w:szCs w:val="24"/>
        </w:rPr>
        <w:t xml:space="preserve"> 2014;36:</w:t>
      </w:r>
      <w:r w:rsidR="00C97120" w:rsidRPr="00C97120">
        <w:rPr>
          <w:rFonts w:cs="Times New Roman"/>
          <w:noProof/>
          <w:szCs w:val="24"/>
        </w:rPr>
        <w:t>e2014009</w:t>
      </w:r>
      <w:r w:rsidRPr="00950D93">
        <w:rPr>
          <w:rFonts w:cs="Times New Roman"/>
          <w:noProof/>
          <w:szCs w:val="24"/>
        </w:rPr>
        <w:t xml:space="preserve">. </w:t>
      </w:r>
    </w:p>
    <w:p w14:paraId="28E78FED" w14:textId="5F1866F6"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9. </w:t>
      </w:r>
      <w:r w:rsidRPr="00950D93">
        <w:rPr>
          <w:rFonts w:cs="Times New Roman"/>
          <w:noProof/>
          <w:szCs w:val="24"/>
        </w:rPr>
        <w:tab/>
        <w:t xml:space="preserve">Guasch-Ferre M, Bhupathiraju SN, Hu FB. Use of Metabolomics in Improving </w:t>
      </w:r>
      <w:r w:rsidRPr="00950D93">
        <w:rPr>
          <w:rFonts w:cs="Times New Roman"/>
          <w:noProof/>
          <w:szCs w:val="24"/>
        </w:rPr>
        <w:lastRenderedPageBreak/>
        <w:t xml:space="preserve">Assessment of Dietary Intake. </w:t>
      </w:r>
      <w:r w:rsidR="00E94FB2" w:rsidRPr="00E94FB2">
        <w:rPr>
          <w:rFonts w:cs="Times New Roman"/>
          <w:noProof/>
          <w:szCs w:val="24"/>
        </w:rPr>
        <w:t>Clin Chem</w:t>
      </w:r>
      <w:r w:rsidRPr="00950D93">
        <w:rPr>
          <w:rFonts w:cs="Times New Roman"/>
          <w:noProof/>
          <w:szCs w:val="24"/>
        </w:rPr>
        <w:t xml:space="preserve"> 2018;64</w:t>
      </w:r>
      <w:r w:rsidR="00E94FB2">
        <w:rPr>
          <w:rFonts w:cs="Times New Roman"/>
          <w:noProof/>
          <w:szCs w:val="24"/>
        </w:rPr>
        <w:t>(1)</w:t>
      </w:r>
      <w:r w:rsidRPr="00950D93">
        <w:rPr>
          <w:rFonts w:cs="Times New Roman"/>
          <w:noProof/>
          <w:szCs w:val="24"/>
        </w:rPr>
        <w:t xml:space="preserve">:82–98. </w:t>
      </w:r>
    </w:p>
    <w:p w14:paraId="56894EC3" w14:textId="6DCF3440"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10. </w:t>
      </w:r>
      <w:r w:rsidRPr="00950D93">
        <w:rPr>
          <w:rFonts w:cs="Times New Roman"/>
          <w:noProof/>
          <w:szCs w:val="24"/>
        </w:rPr>
        <w:tab/>
        <w:t>Cheung W, Keski-Rahkonen P, Assi N, Ferrari P, Freisling H, Rinaldi S, Slimani N, Zamora-Ros R, Rundle M, Frost G, et al. A metabolomic study of bioma</w:t>
      </w:r>
      <w:r w:rsidR="00E94FB2">
        <w:rPr>
          <w:rFonts w:cs="Times New Roman"/>
          <w:noProof/>
          <w:szCs w:val="24"/>
        </w:rPr>
        <w:t xml:space="preserve">rkers of meat and fish intake. </w:t>
      </w:r>
      <w:r w:rsidR="00E94FB2" w:rsidRPr="00E94FB2">
        <w:rPr>
          <w:rFonts w:cs="Times New Roman"/>
          <w:noProof/>
          <w:szCs w:val="24"/>
        </w:rPr>
        <w:t>Am J Clin Nutr</w:t>
      </w:r>
      <w:r w:rsidRPr="00950D93">
        <w:rPr>
          <w:rFonts w:cs="Times New Roman"/>
          <w:noProof/>
          <w:szCs w:val="24"/>
        </w:rPr>
        <w:t xml:space="preserve"> 2017;105</w:t>
      </w:r>
      <w:r w:rsidR="00E94FB2">
        <w:rPr>
          <w:rFonts w:cs="Times New Roman"/>
          <w:noProof/>
          <w:szCs w:val="24"/>
        </w:rPr>
        <w:t>(3)</w:t>
      </w:r>
      <w:r w:rsidRPr="00950D93">
        <w:rPr>
          <w:rFonts w:cs="Times New Roman"/>
          <w:noProof/>
          <w:szCs w:val="24"/>
        </w:rPr>
        <w:t xml:space="preserve">:600–8. </w:t>
      </w:r>
    </w:p>
    <w:p w14:paraId="6C9F7C9B" w14:textId="024BF558"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11. </w:t>
      </w:r>
      <w:r w:rsidRPr="00950D93">
        <w:rPr>
          <w:rFonts w:cs="Times New Roman"/>
          <w:noProof/>
          <w:szCs w:val="24"/>
        </w:rPr>
        <w:tab/>
        <w:t xml:space="preserve">Wedekind R, Kiss A, Keski-Rahkonen P, Viallon V, Rothwell JA, Cross AJ, Rostgaard-Hansen AL, Sandanger TM, Jakszyn P, Schmidt JA, et al. A metabolomic study of red and processed meat intake and acylcarnitine concentrations in human urine and blood. </w:t>
      </w:r>
      <w:r w:rsidR="00E94FB2" w:rsidRPr="00E94FB2">
        <w:rPr>
          <w:rFonts w:cs="Times New Roman"/>
          <w:noProof/>
          <w:szCs w:val="24"/>
        </w:rPr>
        <w:t>Am J Clin Nutr</w:t>
      </w:r>
      <w:r w:rsidRPr="00950D93">
        <w:rPr>
          <w:rFonts w:cs="Times New Roman"/>
          <w:noProof/>
          <w:szCs w:val="24"/>
        </w:rPr>
        <w:t xml:space="preserve"> 2020;112</w:t>
      </w:r>
      <w:r w:rsidR="00E94FB2">
        <w:rPr>
          <w:rFonts w:cs="Times New Roman"/>
          <w:noProof/>
          <w:szCs w:val="24"/>
        </w:rPr>
        <w:t>(2)</w:t>
      </w:r>
      <w:r w:rsidRPr="00950D93">
        <w:rPr>
          <w:rFonts w:cs="Times New Roman"/>
          <w:noProof/>
          <w:szCs w:val="24"/>
        </w:rPr>
        <w:t xml:space="preserve">:381–8. </w:t>
      </w:r>
    </w:p>
    <w:p w14:paraId="3D7C4A7C" w14:textId="68E7E6BE"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12. </w:t>
      </w:r>
      <w:r w:rsidRPr="00950D93">
        <w:rPr>
          <w:rFonts w:cs="Times New Roman"/>
          <w:noProof/>
          <w:szCs w:val="24"/>
        </w:rPr>
        <w:tab/>
        <w:t>Cuparencu C, Rinnan A, Dragsted LO. Combined Markers to Assess Meat Intake-Human Metabolomic Studies of Discovery and Validation. Mol Nutr Food Res 2019;</w:t>
      </w:r>
      <w:r w:rsidR="00E94FB2" w:rsidRPr="00E94FB2">
        <w:t xml:space="preserve"> </w:t>
      </w:r>
      <w:r w:rsidR="00E94FB2" w:rsidRPr="00E94FB2">
        <w:rPr>
          <w:rFonts w:cs="Times New Roman"/>
          <w:noProof/>
          <w:szCs w:val="24"/>
        </w:rPr>
        <w:t>63(17)</w:t>
      </w:r>
      <w:r w:rsidR="00E94FB2">
        <w:rPr>
          <w:rFonts w:cs="Times New Roman"/>
          <w:noProof/>
          <w:szCs w:val="24"/>
        </w:rPr>
        <w:t>:</w:t>
      </w:r>
      <w:r w:rsidRPr="00950D93">
        <w:rPr>
          <w:rFonts w:cs="Times New Roman"/>
          <w:noProof/>
          <w:szCs w:val="24"/>
        </w:rPr>
        <w:t xml:space="preserve">e1900106. </w:t>
      </w:r>
    </w:p>
    <w:p w14:paraId="64423A68" w14:textId="4A844B1F"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13. </w:t>
      </w:r>
      <w:r w:rsidRPr="00950D93">
        <w:rPr>
          <w:rFonts w:cs="Times New Roman"/>
          <w:noProof/>
          <w:szCs w:val="24"/>
        </w:rPr>
        <w:tab/>
        <w:t>Mitry P, Wawro N, Rohrmann S, Giesbertz P, Daniel H, Linseisen J. Plasma concentrations of anserine, carnosine and pi-methylhistidine as biomarkers of habitual meat c</w:t>
      </w:r>
      <w:r w:rsidR="00C97120">
        <w:rPr>
          <w:rFonts w:cs="Times New Roman"/>
          <w:noProof/>
          <w:szCs w:val="24"/>
        </w:rPr>
        <w:t>onsumption. Eur J Clin Nutr 2019;73(5):</w:t>
      </w:r>
      <w:r w:rsidR="00C97120" w:rsidRPr="00C97120">
        <w:t xml:space="preserve"> </w:t>
      </w:r>
      <w:r w:rsidR="00C97120" w:rsidRPr="00C97120">
        <w:rPr>
          <w:rFonts w:cs="Times New Roman"/>
          <w:noProof/>
          <w:szCs w:val="24"/>
        </w:rPr>
        <w:t>692-702</w:t>
      </w:r>
      <w:r w:rsidRPr="00950D93">
        <w:rPr>
          <w:rFonts w:cs="Times New Roman"/>
          <w:noProof/>
          <w:szCs w:val="24"/>
        </w:rPr>
        <w:t xml:space="preserve">; </w:t>
      </w:r>
    </w:p>
    <w:p w14:paraId="5BC78CEF" w14:textId="24EA218C"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14. </w:t>
      </w:r>
      <w:r w:rsidRPr="00950D93">
        <w:rPr>
          <w:rFonts w:cs="Times New Roman"/>
          <w:noProof/>
          <w:szCs w:val="24"/>
        </w:rPr>
        <w:tab/>
        <w:t xml:space="preserve">Day N, Oakes S, Luben R, Khaw KT, Bingham S, Welch A, Wareham N. EPIC-Norfolk: study design and characteristics of the cohort. European Prospective Investigation of Cancer. Br J Cancer 1999;80:95–103. </w:t>
      </w:r>
    </w:p>
    <w:p w14:paraId="11768EE9" w14:textId="41B9D99A"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15. </w:t>
      </w:r>
      <w:r w:rsidRPr="00950D93">
        <w:rPr>
          <w:rFonts w:cs="Times New Roman"/>
          <w:noProof/>
          <w:szCs w:val="24"/>
        </w:rPr>
        <w:tab/>
        <w:t xml:space="preserve">Forouhi NG, Ye Z, Rickard AP, Khaw KT, Luben R, Langenberg C, Wareham NJ. Circulating 25-hydroxyvitamin D concentration and the risk of type 2 diabetes: results from the European Prospective Investigation into Cancer (EPIC)-Norfolk cohort and updated meta-analysis of prospective studies. </w:t>
      </w:r>
      <w:r w:rsidR="008406D9">
        <w:t>Diabetologia 2012; 55(8):</w:t>
      </w:r>
      <w:r w:rsidR="008406D9" w:rsidRPr="008406D9">
        <w:t xml:space="preserve"> </w:t>
      </w:r>
      <w:r w:rsidR="00E94FB2">
        <w:t>2173-</w:t>
      </w:r>
      <w:r w:rsidR="008406D9" w:rsidRPr="008406D9">
        <w:t>82</w:t>
      </w:r>
      <w:r w:rsidR="00C97120">
        <w:t>.</w:t>
      </w:r>
    </w:p>
    <w:p w14:paraId="0C552B35" w14:textId="333ED0CB"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16. </w:t>
      </w:r>
      <w:r w:rsidRPr="00950D93">
        <w:rPr>
          <w:rFonts w:cs="Times New Roman"/>
          <w:noProof/>
          <w:szCs w:val="24"/>
        </w:rPr>
        <w:tab/>
        <w:t xml:space="preserve">Pietzner M, Stewart ID, Raffler J, Khaw K-T, Michelotti GA, Kastenmüller G, Wareham NJ, Langenberg C. Plasma metabolites to profile pathways in noncommunicable disease multimorbidity. </w:t>
      </w:r>
      <w:r w:rsidR="0065629E" w:rsidRPr="0065629E">
        <w:rPr>
          <w:rFonts w:cs="Times New Roman"/>
          <w:noProof/>
          <w:szCs w:val="24"/>
        </w:rPr>
        <w:t>Nat Med</w:t>
      </w:r>
      <w:r w:rsidRPr="00950D93">
        <w:rPr>
          <w:rFonts w:cs="Times New Roman"/>
          <w:noProof/>
          <w:szCs w:val="24"/>
        </w:rPr>
        <w:t xml:space="preserve"> 2021;</w:t>
      </w:r>
      <w:r w:rsidR="00C97120">
        <w:rPr>
          <w:rFonts w:cs="Times New Roman"/>
          <w:noProof/>
          <w:szCs w:val="24"/>
        </w:rPr>
        <w:t xml:space="preserve"> 47(3):</w:t>
      </w:r>
      <w:r w:rsidR="00C97120" w:rsidRPr="00C97120">
        <w:t xml:space="preserve"> </w:t>
      </w:r>
      <w:r w:rsidR="00E94FB2">
        <w:rPr>
          <w:rFonts w:cs="Times New Roman"/>
          <w:noProof/>
          <w:szCs w:val="24"/>
        </w:rPr>
        <w:t>471-</w:t>
      </w:r>
      <w:r w:rsidR="00C97120" w:rsidRPr="00C97120">
        <w:rPr>
          <w:rFonts w:cs="Times New Roman"/>
          <w:noProof/>
          <w:szCs w:val="24"/>
        </w:rPr>
        <w:t>79</w:t>
      </w:r>
      <w:r w:rsidR="00C97120">
        <w:rPr>
          <w:rFonts w:cs="Times New Roman"/>
          <w:noProof/>
          <w:szCs w:val="24"/>
        </w:rPr>
        <w:t>.</w:t>
      </w:r>
      <w:r w:rsidRPr="00950D93">
        <w:rPr>
          <w:rFonts w:cs="Times New Roman"/>
          <w:noProof/>
          <w:szCs w:val="24"/>
        </w:rPr>
        <w:t xml:space="preserve"> </w:t>
      </w:r>
    </w:p>
    <w:p w14:paraId="3A674A53" w14:textId="4BFAB048" w:rsidR="00950D93" w:rsidRPr="00950D93" w:rsidRDefault="00950D93" w:rsidP="00E94FB2">
      <w:pPr>
        <w:autoSpaceDE w:val="0"/>
        <w:autoSpaceDN w:val="0"/>
        <w:adjustRightInd w:val="0"/>
        <w:ind w:left="640" w:hanging="640"/>
        <w:rPr>
          <w:rFonts w:cs="Times New Roman"/>
          <w:noProof/>
          <w:szCs w:val="24"/>
        </w:rPr>
      </w:pPr>
      <w:r w:rsidRPr="00950D93">
        <w:rPr>
          <w:rFonts w:cs="Times New Roman"/>
          <w:noProof/>
          <w:szCs w:val="24"/>
        </w:rPr>
        <w:t xml:space="preserve">17. </w:t>
      </w:r>
      <w:r w:rsidRPr="00950D93">
        <w:rPr>
          <w:rFonts w:cs="Times New Roman"/>
          <w:noProof/>
          <w:szCs w:val="24"/>
        </w:rPr>
        <w:tab/>
        <w:t xml:space="preserve">Wang Y, Gapstur SM, Carter BD, Hartman TJ, Stevens VL, Gaudet MM, McCullough </w:t>
      </w:r>
      <w:r w:rsidRPr="00950D93">
        <w:rPr>
          <w:rFonts w:cs="Times New Roman"/>
          <w:noProof/>
          <w:szCs w:val="24"/>
        </w:rPr>
        <w:lastRenderedPageBreak/>
        <w:t>ML. Untargeted metabolomics identifies novel potential biomarkers of habitual food intake in a cross-sectional study of postmenopausal women. J</w:t>
      </w:r>
      <w:r w:rsidR="00E94FB2">
        <w:rPr>
          <w:rFonts w:cs="Times New Roman"/>
          <w:noProof/>
          <w:szCs w:val="24"/>
        </w:rPr>
        <w:t xml:space="preserve"> Nutr</w:t>
      </w:r>
      <w:r w:rsidRPr="00950D93">
        <w:rPr>
          <w:rFonts w:cs="Times New Roman"/>
          <w:noProof/>
          <w:szCs w:val="24"/>
        </w:rPr>
        <w:t xml:space="preserve"> 2018;148</w:t>
      </w:r>
      <w:r w:rsidR="00E94FB2">
        <w:rPr>
          <w:rFonts w:cs="Times New Roman"/>
          <w:noProof/>
          <w:szCs w:val="24"/>
        </w:rPr>
        <w:t>(6)</w:t>
      </w:r>
      <w:r w:rsidRPr="00950D93">
        <w:rPr>
          <w:rFonts w:cs="Times New Roman"/>
          <w:noProof/>
          <w:szCs w:val="24"/>
        </w:rPr>
        <w:t xml:space="preserve">:932–43. </w:t>
      </w:r>
    </w:p>
    <w:p w14:paraId="279B233A" w14:textId="272D115D" w:rsidR="00950D93" w:rsidRPr="00950D93" w:rsidRDefault="00950D93" w:rsidP="00E94FB2">
      <w:pPr>
        <w:autoSpaceDE w:val="0"/>
        <w:autoSpaceDN w:val="0"/>
        <w:adjustRightInd w:val="0"/>
        <w:ind w:left="640" w:hanging="640"/>
        <w:rPr>
          <w:rFonts w:cs="Times New Roman"/>
          <w:noProof/>
          <w:szCs w:val="24"/>
        </w:rPr>
      </w:pPr>
      <w:r w:rsidRPr="00950D93">
        <w:rPr>
          <w:rFonts w:cs="Times New Roman"/>
          <w:noProof/>
          <w:szCs w:val="24"/>
        </w:rPr>
        <w:t xml:space="preserve">18. </w:t>
      </w:r>
      <w:r w:rsidRPr="00950D93">
        <w:rPr>
          <w:rFonts w:cs="Times New Roman"/>
          <w:noProof/>
          <w:szCs w:val="24"/>
        </w:rPr>
        <w:tab/>
        <w:t xml:space="preserve">Lentjes MAH, McTaggart A, Mulligan AA, Powell NA, Parry-Smith D, Luben RN, Bhaniani A, Welch AA, Khaw KT. Dietary intake measurement using 7 d diet diaries in British men and women in the European Prospective Investigation into Cancer-Norfolk study: a focus on methodological issues. </w:t>
      </w:r>
      <w:r w:rsidR="00E94FB2">
        <w:rPr>
          <w:rFonts w:cs="Times New Roman"/>
          <w:noProof/>
          <w:szCs w:val="24"/>
        </w:rPr>
        <w:t xml:space="preserve">Br J Nutr </w:t>
      </w:r>
      <w:r w:rsidRPr="00950D93">
        <w:rPr>
          <w:rFonts w:cs="Times New Roman"/>
          <w:noProof/>
          <w:szCs w:val="24"/>
        </w:rPr>
        <w:t>2014;111</w:t>
      </w:r>
      <w:r w:rsidR="00E94FB2">
        <w:rPr>
          <w:rFonts w:cs="Times New Roman"/>
          <w:noProof/>
          <w:szCs w:val="24"/>
        </w:rPr>
        <w:t>(3)</w:t>
      </w:r>
      <w:r w:rsidRPr="00950D93">
        <w:rPr>
          <w:rFonts w:cs="Times New Roman"/>
          <w:noProof/>
          <w:szCs w:val="24"/>
        </w:rPr>
        <w:t xml:space="preserve">:516–26. </w:t>
      </w:r>
    </w:p>
    <w:p w14:paraId="05A33015" w14:textId="7096A85D"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19. </w:t>
      </w:r>
      <w:r w:rsidRPr="00950D93">
        <w:rPr>
          <w:rFonts w:cs="Times New Roman"/>
          <w:noProof/>
          <w:szCs w:val="24"/>
        </w:rPr>
        <w:tab/>
        <w:t>Welch AA, McTaggart A, Mulligan AA, Luben R, Walker N, Khaw KT, Day NE, Bingham SA. DINER (Data Into Nutrients for Epidemiological Research) - a new data-entry program for nutritional analysis in the EPIC-Norfolk cohort and the 7-day diary</w:t>
      </w:r>
      <w:r w:rsidR="00E94FB2">
        <w:rPr>
          <w:rFonts w:cs="Times New Roman"/>
          <w:noProof/>
          <w:szCs w:val="24"/>
        </w:rPr>
        <w:t xml:space="preserve"> method. Public Health Nutr</w:t>
      </w:r>
      <w:r w:rsidRPr="00950D93">
        <w:rPr>
          <w:rFonts w:cs="Times New Roman"/>
          <w:noProof/>
          <w:szCs w:val="24"/>
        </w:rPr>
        <w:t xml:space="preserve"> 2001;4:1253–65. </w:t>
      </w:r>
    </w:p>
    <w:p w14:paraId="60783818"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20. </w:t>
      </w:r>
      <w:r w:rsidRPr="00950D93">
        <w:rPr>
          <w:rFonts w:cs="Times New Roman"/>
          <w:noProof/>
          <w:szCs w:val="24"/>
        </w:rPr>
        <w:tab/>
        <w:t xml:space="preserve">Zou H, Hastie T. Regularization and variable selection via the elastic net. J R Statist Soc B 2005;67:301–20. </w:t>
      </w:r>
    </w:p>
    <w:p w14:paraId="7F0CDFD5" w14:textId="6AB7436A" w:rsidR="00950D93" w:rsidRPr="00950D93" w:rsidRDefault="00950D93" w:rsidP="00E94FB2">
      <w:pPr>
        <w:autoSpaceDE w:val="0"/>
        <w:autoSpaceDN w:val="0"/>
        <w:adjustRightInd w:val="0"/>
        <w:ind w:left="640" w:hanging="640"/>
        <w:rPr>
          <w:rFonts w:cs="Times New Roman"/>
          <w:noProof/>
          <w:szCs w:val="24"/>
        </w:rPr>
      </w:pPr>
      <w:r w:rsidRPr="00950D93">
        <w:rPr>
          <w:rFonts w:cs="Times New Roman"/>
          <w:noProof/>
          <w:szCs w:val="24"/>
        </w:rPr>
        <w:t xml:space="preserve">21. </w:t>
      </w:r>
      <w:r w:rsidRPr="00950D93">
        <w:rPr>
          <w:rFonts w:cs="Times New Roman"/>
          <w:noProof/>
          <w:szCs w:val="24"/>
        </w:rPr>
        <w:tab/>
        <w:t xml:space="preserve">Abram S V., Helwig NE, Moodie CA, DeYoung CG, MacDonald AWI, Waller NG. Bootstrap Enhanced Penalized Regression for Variable Selection with Neuroimaging Data. </w:t>
      </w:r>
      <w:r w:rsidR="00E94FB2">
        <w:rPr>
          <w:rFonts w:cs="Times New Roman"/>
          <w:noProof/>
          <w:szCs w:val="24"/>
        </w:rPr>
        <w:t xml:space="preserve">Front Neurosci </w:t>
      </w:r>
      <w:r w:rsidRPr="00950D93">
        <w:rPr>
          <w:rFonts w:cs="Times New Roman"/>
          <w:noProof/>
          <w:szCs w:val="24"/>
        </w:rPr>
        <w:t>2016;</w:t>
      </w:r>
      <w:r w:rsidR="00C97120">
        <w:rPr>
          <w:rFonts w:cs="Times New Roman"/>
          <w:noProof/>
          <w:szCs w:val="24"/>
        </w:rPr>
        <w:t>1</w:t>
      </w:r>
      <w:r w:rsidRPr="00950D93">
        <w:rPr>
          <w:rFonts w:cs="Times New Roman"/>
          <w:noProof/>
          <w:szCs w:val="24"/>
        </w:rPr>
        <w:t xml:space="preserve">0:344. </w:t>
      </w:r>
    </w:p>
    <w:p w14:paraId="2BF3FCE5"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22. </w:t>
      </w:r>
      <w:r w:rsidRPr="00950D93">
        <w:rPr>
          <w:rFonts w:cs="Times New Roman"/>
          <w:noProof/>
          <w:szCs w:val="24"/>
        </w:rPr>
        <w:tab/>
        <w:t xml:space="preserve">Bunea F, She Y, Ombao H, Gongvatana A, Devlin K, Cohen R. Penalized least squares regression methods and applications to neuroimaging. NeuroImage 2011;55:1519–27. </w:t>
      </w:r>
    </w:p>
    <w:p w14:paraId="4A39A340"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23. </w:t>
      </w:r>
      <w:r w:rsidRPr="00950D93">
        <w:rPr>
          <w:rFonts w:cs="Times New Roman"/>
          <w:noProof/>
          <w:szCs w:val="24"/>
        </w:rPr>
        <w:tab/>
        <w:t xml:space="preserve">Hoerl AE, Kennard RW. Ridge Regression: Biased Estimation for Nonorthogonal Problems. Technometrics 1970;12:55–67. </w:t>
      </w:r>
    </w:p>
    <w:p w14:paraId="2038A1B9" w14:textId="68306156"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24. </w:t>
      </w:r>
      <w:r w:rsidRPr="00950D93">
        <w:rPr>
          <w:rFonts w:cs="Times New Roman"/>
          <w:noProof/>
          <w:szCs w:val="24"/>
        </w:rPr>
        <w:tab/>
        <w:t xml:space="preserve">Wedekind R, Keski-Rahkonen P, Robinot N, Viallon V, Ferrari P, Engel E, Boutron-Ruault MC, Mahamat-Saleh Y, Mancini FR, Kühn T, et al. Syringol metabolites as new biomarkers for smoked meat intake. </w:t>
      </w:r>
      <w:r w:rsidR="00E94FB2" w:rsidRPr="005B045B">
        <w:rPr>
          <w:rFonts w:cs="Times New Roman"/>
          <w:noProof/>
          <w:szCs w:val="24"/>
        </w:rPr>
        <w:t>Am J Clin Nutr</w:t>
      </w:r>
      <w:r w:rsidRPr="00950D93">
        <w:rPr>
          <w:rFonts w:cs="Times New Roman"/>
          <w:noProof/>
          <w:szCs w:val="24"/>
        </w:rPr>
        <w:t xml:space="preserve"> 2019;110:1424–33. </w:t>
      </w:r>
    </w:p>
    <w:p w14:paraId="37A0F705"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25. </w:t>
      </w:r>
      <w:r w:rsidRPr="00950D93">
        <w:rPr>
          <w:rFonts w:cs="Times New Roman"/>
          <w:noProof/>
          <w:szCs w:val="24"/>
        </w:rPr>
        <w:tab/>
        <w:t xml:space="preserve">Sumner LW, Amberg A, Barrett D, Beale MH, Beger R, Daykin CA, Fan TW, Fiehn O, Goodacre R, Griffin JL, et al. Proposed minimum reporting standards for chemical </w:t>
      </w:r>
      <w:r w:rsidRPr="00950D93">
        <w:rPr>
          <w:rFonts w:cs="Times New Roman"/>
          <w:noProof/>
          <w:szCs w:val="24"/>
        </w:rPr>
        <w:lastRenderedPageBreak/>
        <w:t xml:space="preserve">analysis Chemical Analysis Working Group (CAWG) Metabolomics Standards Initiative (MSI). Metabolomics 2007;3:211–21. </w:t>
      </w:r>
    </w:p>
    <w:p w14:paraId="3531593A" w14:textId="13A23990" w:rsidR="00950D93" w:rsidRPr="00950D93" w:rsidRDefault="00950D93" w:rsidP="00F84020">
      <w:pPr>
        <w:autoSpaceDE w:val="0"/>
        <w:autoSpaceDN w:val="0"/>
        <w:adjustRightInd w:val="0"/>
        <w:ind w:left="640" w:hanging="640"/>
        <w:rPr>
          <w:rFonts w:cs="Times New Roman"/>
          <w:noProof/>
          <w:szCs w:val="24"/>
        </w:rPr>
      </w:pPr>
      <w:r w:rsidRPr="00950D93">
        <w:rPr>
          <w:rFonts w:cs="Times New Roman"/>
          <w:noProof/>
          <w:szCs w:val="24"/>
        </w:rPr>
        <w:t xml:space="preserve">26. </w:t>
      </w:r>
      <w:r w:rsidRPr="00950D93">
        <w:rPr>
          <w:rFonts w:cs="Times New Roman"/>
          <w:noProof/>
          <w:szCs w:val="24"/>
        </w:rPr>
        <w:tab/>
      </w:r>
      <w:r w:rsidR="00F84020" w:rsidRPr="00F84020">
        <w:rPr>
          <w:rFonts w:cs="Times New Roman"/>
          <w:noProof/>
          <w:szCs w:val="24"/>
        </w:rPr>
        <w:t xml:space="preserve">Onland-Moret NC, van der A DL,  van der </w:t>
      </w:r>
      <w:r w:rsidR="00F84020">
        <w:rPr>
          <w:rFonts w:cs="Times New Roman"/>
          <w:noProof/>
          <w:szCs w:val="24"/>
        </w:rPr>
        <w:t xml:space="preserve">Schouw YT,  Buscher W, Elias SG, </w:t>
      </w:r>
      <w:r w:rsidR="00F84020" w:rsidRPr="00F84020">
        <w:rPr>
          <w:rFonts w:cs="Times New Roman"/>
          <w:noProof/>
          <w:szCs w:val="24"/>
        </w:rPr>
        <w:t>van Gils CH, Koerselman J, Roest M, Grobbee DE, Peeters PH</w:t>
      </w:r>
      <w:r w:rsidRPr="00950D93">
        <w:rPr>
          <w:rFonts w:cs="Times New Roman"/>
          <w:noProof/>
          <w:szCs w:val="24"/>
        </w:rPr>
        <w:t xml:space="preserve">. Analysis of case-cohort data: a comparison of different methods. </w:t>
      </w:r>
      <w:r w:rsidR="00C97120" w:rsidRPr="00C97120">
        <w:rPr>
          <w:rFonts w:cs="Times New Roman"/>
          <w:noProof/>
          <w:szCs w:val="24"/>
        </w:rPr>
        <w:t>J Clin Epidemiol</w:t>
      </w:r>
      <w:r w:rsidR="00C97120">
        <w:rPr>
          <w:rFonts w:cs="Times New Roman"/>
          <w:noProof/>
          <w:szCs w:val="24"/>
        </w:rPr>
        <w:t xml:space="preserve"> </w:t>
      </w:r>
      <w:r w:rsidR="00C97120" w:rsidRPr="00C97120">
        <w:rPr>
          <w:rFonts w:cs="Times New Roman"/>
          <w:noProof/>
          <w:szCs w:val="24"/>
        </w:rPr>
        <w:t>2007;60(4):350-5</w:t>
      </w:r>
      <w:r w:rsidRPr="00950D93">
        <w:rPr>
          <w:rFonts w:cs="Times New Roman"/>
          <w:noProof/>
          <w:szCs w:val="24"/>
        </w:rPr>
        <w:t xml:space="preserve">. </w:t>
      </w:r>
    </w:p>
    <w:p w14:paraId="4138DAD1" w14:textId="4D34CF79"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27. </w:t>
      </w:r>
      <w:r w:rsidRPr="00950D93">
        <w:rPr>
          <w:rFonts w:cs="Times New Roman"/>
          <w:noProof/>
          <w:szCs w:val="24"/>
        </w:rPr>
        <w:tab/>
        <w:t xml:space="preserve">Bingham SA, Welch AA, McTaggart A, Mulligan AA, Runswick SA, Luben R, Oakes S, Khaw KT, Wareham N, Day NE. Nutritional methods in the European Prospective Investigation of Cancer in </w:t>
      </w:r>
      <w:r w:rsidR="00E94FB2">
        <w:rPr>
          <w:rFonts w:cs="Times New Roman"/>
          <w:noProof/>
          <w:szCs w:val="24"/>
        </w:rPr>
        <w:t>Norfolk. Public Health Nutr</w:t>
      </w:r>
      <w:r w:rsidRPr="00950D93">
        <w:rPr>
          <w:rFonts w:cs="Times New Roman"/>
          <w:noProof/>
          <w:szCs w:val="24"/>
        </w:rPr>
        <w:t xml:space="preserve"> 2001;4</w:t>
      </w:r>
      <w:r w:rsidR="00E94FB2">
        <w:rPr>
          <w:rFonts w:cs="Times New Roman"/>
          <w:noProof/>
          <w:szCs w:val="24"/>
        </w:rPr>
        <w:t>(3)</w:t>
      </w:r>
      <w:r w:rsidRPr="00950D93">
        <w:rPr>
          <w:rFonts w:cs="Times New Roman"/>
          <w:noProof/>
          <w:szCs w:val="24"/>
        </w:rPr>
        <w:t xml:space="preserve">:847–58. </w:t>
      </w:r>
    </w:p>
    <w:p w14:paraId="3D2F481C" w14:textId="02F656EC"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28. </w:t>
      </w:r>
      <w:r w:rsidRPr="00950D93">
        <w:rPr>
          <w:rFonts w:cs="Times New Roman"/>
          <w:noProof/>
          <w:szCs w:val="24"/>
        </w:rPr>
        <w:tab/>
        <w:t>Cuparencu C, Praticó G, Hemeryck LY, Sri Harsha PSC, Noerman S, Rombouts C, Xi M, Vanhaecke L, Hanhineva K, Brennan L, et al. Biomarkers of meat and seafood intake: An extensive literature re</w:t>
      </w:r>
      <w:r w:rsidR="00C97120">
        <w:rPr>
          <w:rFonts w:cs="Times New Roman"/>
          <w:noProof/>
          <w:szCs w:val="24"/>
        </w:rPr>
        <w:t>view. Genes and Nutrition. 2019;14(35).</w:t>
      </w:r>
      <w:r w:rsidRPr="00950D93">
        <w:rPr>
          <w:rFonts w:cs="Times New Roman"/>
          <w:noProof/>
          <w:szCs w:val="24"/>
        </w:rPr>
        <w:t xml:space="preserve"> </w:t>
      </w:r>
    </w:p>
    <w:p w14:paraId="59EE3F40" w14:textId="660C0461" w:rsidR="00950D93" w:rsidRPr="00950D93" w:rsidRDefault="00950D93" w:rsidP="00C97120">
      <w:pPr>
        <w:autoSpaceDE w:val="0"/>
        <w:autoSpaceDN w:val="0"/>
        <w:adjustRightInd w:val="0"/>
        <w:ind w:left="640" w:hanging="640"/>
        <w:rPr>
          <w:rFonts w:cs="Times New Roman"/>
          <w:noProof/>
          <w:szCs w:val="24"/>
        </w:rPr>
      </w:pPr>
      <w:r w:rsidRPr="00950D93">
        <w:rPr>
          <w:rFonts w:cs="Times New Roman"/>
          <w:noProof/>
          <w:szCs w:val="24"/>
        </w:rPr>
        <w:t xml:space="preserve">29. </w:t>
      </w:r>
      <w:r w:rsidRPr="00950D93">
        <w:rPr>
          <w:rFonts w:cs="Times New Roman"/>
          <w:noProof/>
          <w:szCs w:val="24"/>
        </w:rPr>
        <w:tab/>
        <w:t xml:space="preserve">Heianza Y, Ma W, Manson JAE, Rexrode KM, Qi L. Gut microbiota metabolites and risk of major adverse cardiovascular disease events and death: A systematic review and meta-analysis of prospective studies. </w:t>
      </w:r>
      <w:r w:rsidR="00C97120" w:rsidRPr="00C97120">
        <w:rPr>
          <w:rFonts w:cs="Times New Roman"/>
          <w:noProof/>
          <w:szCs w:val="24"/>
        </w:rPr>
        <w:t>J Am Heart Assoc 2017;6(7):e004947</w:t>
      </w:r>
    </w:p>
    <w:p w14:paraId="23FD555D" w14:textId="1048A4D0"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30. </w:t>
      </w:r>
      <w:r w:rsidRPr="00950D93">
        <w:rPr>
          <w:rFonts w:cs="Times New Roman"/>
          <w:noProof/>
          <w:szCs w:val="24"/>
        </w:rPr>
        <w:tab/>
        <w:t>Farhangi MA. Gut microbiota-dependent trimethylamine N-oxide and all-cause mortality: Findings from an updated systematic review and meta-analysis. Nutrition 2020;</w:t>
      </w:r>
      <w:r w:rsidR="005B045B" w:rsidRPr="005B045B">
        <w:t xml:space="preserve"> </w:t>
      </w:r>
      <w:r w:rsidR="005B045B" w:rsidRPr="005B045B">
        <w:rPr>
          <w:rFonts w:cs="Times New Roman"/>
          <w:noProof/>
          <w:szCs w:val="24"/>
        </w:rPr>
        <w:t>78:110856</w:t>
      </w:r>
      <w:r w:rsidRPr="00950D93">
        <w:rPr>
          <w:rFonts w:cs="Times New Roman"/>
          <w:noProof/>
          <w:szCs w:val="24"/>
        </w:rPr>
        <w:t xml:space="preserve">. </w:t>
      </w:r>
    </w:p>
    <w:p w14:paraId="48C0A5D4" w14:textId="7777777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31. </w:t>
      </w:r>
      <w:r w:rsidRPr="00950D93">
        <w:rPr>
          <w:rFonts w:cs="Times New Roman"/>
          <w:noProof/>
          <w:szCs w:val="24"/>
        </w:rPr>
        <w:tab/>
        <w:t xml:space="preserve">Zhuang R, Ge X, Han L, Yu P, Gong X, Meng Q, Zhang Y, Fan H, Zheng L, Liu Z, et al. Gut microbe–generated metabolite trimethylamine N-oxide and the risk of diabetes: A systematic review and dose-response meta-analysis. Obesity Reviews 2019;20:883–94. </w:t>
      </w:r>
    </w:p>
    <w:p w14:paraId="21A69613" w14:textId="5E058529"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32. </w:t>
      </w:r>
      <w:r w:rsidRPr="00950D93">
        <w:rPr>
          <w:rFonts w:cs="Times New Roman"/>
          <w:noProof/>
          <w:szCs w:val="24"/>
        </w:rPr>
        <w:tab/>
        <w:t xml:space="preserve">Shortt C, Hasselwander O, A Meynie R, Nauta A, Fernández E, P P, Rowland I, Swann J, Türk J, Vermeiren J, et al. Systematic review of the effects of the intestinal microbiota on selected nutrients and non-nutrients. </w:t>
      </w:r>
      <w:r w:rsidR="009A03B1">
        <w:rPr>
          <w:rFonts w:cs="Times New Roman"/>
          <w:noProof/>
          <w:szCs w:val="24"/>
        </w:rPr>
        <w:t>Eur J Nutr</w:t>
      </w:r>
      <w:r w:rsidRPr="00950D93">
        <w:rPr>
          <w:rFonts w:cs="Times New Roman"/>
          <w:noProof/>
          <w:szCs w:val="24"/>
        </w:rPr>
        <w:t xml:space="preserve"> 2018;57:25–49. </w:t>
      </w:r>
    </w:p>
    <w:p w14:paraId="0ED82B80" w14:textId="6684CD49" w:rsidR="00950D93" w:rsidRPr="00950D93" w:rsidRDefault="00950D93" w:rsidP="005B045B">
      <w:pPr>
        <w:autoSpaceDE w:val="0"/>
        <w:autoSpaceDN w:val="0"/>
        <w:adjustRightInd w:val="0"/>
        <w:ind w:left="640" w:hanging="640"/>
        <w:rPr>
          <w:rFonts w:cs="Times New Roman"/>
          <w:noProof/>
          <w:szCs w:val="24"/>
        </w:rPr>
      </w:pPr>
      <w:r w:rsidRPr="00950D93">
        <w:rPr>
          <w:rFonts w:cs="Times New Roman"/>
          <w:noProof/>
          <w:szCs w:val="24"/>
        </w:rPr>
        <w:t xml:space="preserve">33. </w:t>
      </w:r>
      <w:r w:rsidRPr="00950D93">
        <w:rPr>
          <w:rFonts w:cs="Times New Roman"/>
          <w:noProof/>
          <w:szCs w:val="24"/>
        </w:rPr>
        <w:tab/>
        <w:t xml:space="preserve">Khodorova N, Rutledge D, Oberli M, Mathiron D, Marcelo P, Benamouzig R, Tomé D, </w:t>
      </w:r>
      <w:r w:rsidRPr="00950D93">
        <w:rPr>
          <w:rFonts w:cs="Times New Roman"/>
          <w:noProof/>
          <w:szCs w:val="24"/>
        </w:rPr>
        <w:lastRenderedPageBreak/>
        <w:t xml:space="preserve">Gaudichon C, Pilard S. Urinary Metabolomics Profiles Associated to Bovine Meat Ingestion in Humans. </w:t>
      </w:r>
      <w:r w:rsidR="005B045B" w:rsidRPr="005B045B">
        <w:rPr>
          <w:rFonts w:cs="Times New Roman"/>
          <w:noProof/>
          <w:szCs w:val="24"/>
        </w:rPr>
        <w:t>Mol Nutr Food Res</w:t>
      </w:r>
      <w:r w:rsidR="005B045B">
        <w:rPr>
          <w:rFonts w:cs="Times New Roman"/>
          <w:noProof/>
          <w:szCs w:val="24"/>
        </w:rPr>
        <w:t xml:space="preserve"> </w:t>
      </w:r>
      <w:r w:rsidR="005B045B" w:rsidRPr="005B045B">
        <w:rPr>
          <w:rFonts w:cs="Times New Roman"/>
          <w:noProof/>
          <w:szCs w:val="24"/>
        </w:rPr>
        <w:t>2019</w:t>
      </w:r>
      <w:r w:rsidR="005B045B">
        <w:rPr>
          <w:rFonts w:cs="Times New Roman"/>
          <w:noProof/>
          <w:szCs w:val="24"/>
        </w:rPr>
        <w:t>;</w:t>
      </w:r>
      <w:r w:rsidR="005B045B" w:rsidRPr="005B045B">
        <w:rPr>
          <w:rFonts w:cs="Times New Roman"/>
          <w:noProof/>
          <w:szCs w:val="24"/>
        </w:rPr>
        <w:t>63(1):e1700834</w:t>
      </w:r>
      <w:r w:rsidR="005B045B">
        <w:rPr>
          <w:rFonts w:cs="Times New Roman"/>
          <w:noProof/>
          <w:szCs w:val="24"/>
        </w:rPr>
        <w:t>.</w:t>
      </w:r>
      <w:r w:rsidRPr="00950D93">
        <w:rPr>
          <w:rFonts w:cs="Times New Roman"/>
          <w:noProof/>
          <w:szCs w:val="24"/>
        </w:rPr>
        <w:t xml:space="preserve"> </w:t>
      </w:r>
    </w:p>
    <w:p w14:paraId="160983C0" w14:textId="5808F2B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34. </w:t>
      </w:r>
      <w:r w:rsidRPr="00950D93">
        <w:rPr>
          <w:rFonts w:cs="Times New Roman"/>
          <w:noProof/>
          <w:szCs w:val="24"/>
        </w:rPr>
        <w:tab/>
        <w:t xml:space="preserve">Braverman NE, Moser AB. Functions of plasmalogen lipids in health and disease. </w:t>
      </w:r>
      <w:r w:rsidR="005B045B" w:rsidRPr="005B045B">
        <w:rPr>
          <w:rFonts w:cs="Times New Roman"/>
          <w:noProof/>
          <w:szCs w:val="24"/>
        </w:rPr>
        <w:t>Biochim Biophys Acta</w:t>
      </w:r>
      <w:r w:rsidRPr="00950D93">
        <w:rPr>
          <w:rFonts w:cs="Times New Roman"/>
          <w:noProof/>
          <w:szCs w:val="24"/>
        </w:rPr>
        <w:t xml:space="preserve"> 2012;1822</w:t>
      </w:r>
      <w:r w:rsidR="005B045B">
        <w:rPr>
          <w:rFonts w:cs="Times New Roman"/>
          <w:noProof/>
          <w:szCs w:val="24"/>
        </w:rPr>
        <w:t>(9)</w:t>
      </w:r>
      <w:r w:rsidRPr="00950D93">
        <w:rPr>
          <w:rFonts w:cs="Times New Roman"/>
          <w:noProof/>
          <w:szCs w:val="24"/>
        </w:rPr>
        <w:t xml:space="preserve">:1442–52. </w:t>
      </w:r>
    </w:p>
    <w:p w14:paraId="061023B6" w14:textId="0779C79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35. </w:t>
      </w:r>
      <w:r w:rsidRPr="00950D93">
        <w:rPr>
          <w:rFonts w:cs="Times New Roman"/>
          <w:noProof/>
          <w:szCs w:val="24"/>
        </w:rPr>
        <w:tab/>
        <w:t xml:space="preserve">Mazzilli KM, McClain KM, Lipworth L, Playdon MC, Sampson JN, Clish CB, Gerszten RE, Freedman ND, Moore SC. Identification of 102 Correlations between Serum Metabolites and Habitual Diet in a Metabolomics Study of the Prostate, Lung, Colorectal, and Ovarian Cancer Trial. </w:t>
      </w:r>
      <w:r w:rsidR="005B045B" w:rsidRPr="005B045B">
        <w:rPr>
          <w:rFonts w:cs="Times New Roman"/>
          <w:noProof/>
          <w:szCs w:val="24"/>
        </w:rPr>
        <w:t>J Nutr</w:t>
      </w:r>
      <w:r w:rsidRPr="00950D93">
        <w:rPr>
          <w:rFonts w:cs="Times New Roman"/>
          <w:noProof/>
          <w:szCs w:val="24"/>
        </w:rPr>
        <w:t xml:space="preserve"> 2020;150:694–703. </w:t>
      </w:r>
    </w:p>
    <w:p w14:paraId="3436B11E" w14:textId="372EB2EC" w:rsidR="00950D93" w:rsidRPr="00950D93" w:rsidRDefault="00950D93" w:rsidP="005B045B">
      <w:pPr>
        <w:autoSpaceDE w:val="0"/>
        <w:autoSpaceDN w:val="0"/>
        <w:adjustRightInd w:val="0"/>
        <w:ind w:left="640" w:hanging="640"/>
        <w:rPr>
          <w:rFonts w:cs="Times New Roman"/>
          <w:noProof/>
          <w:szCs w:val="24"/>
        </w:rPr>
      </w:pPr>
      <w:r w:rsidRPr="00950D93">
        <w:rPr>
          <w:rFonts w:cs="Times New Roman"/>
          <w:noProof/>
          <w:szCs w:val="24"/>
        </w:rPr>
        <w:t xml:space="preserve">36. </w:t>
      </w:r>
      <w:r w:rsidRPr="00950D93">
        <w:rPr>
          <w:rFonts w:cs="Times New Roman"/>
          <w:noProof/>
          <w:szCs w:val="24"/>
        </w:rPr>
        <w:tab/>
        <w:t xml:space="preserve">Thürmann PA, Steffen J, Zwernemann C, Aebischer CP, Cohn W, Wendt G, Schalch W. Plasma concentration response to drinks containing β-carotene as carrot juice or formulated as a water dispersible powder. </w:t>
      </w:r>
      <w:r w:rsidR="005B045B">
        <w:rPr>
          <w:rFonts w:cs="Times New Roman"/>
          <w:noProof/>
          <w:szCs w:val="24"/>
        </w:rPr>
        <w:t>Eur J Nutr</w:t>
      </w:r>
      <w:r w:rsidRPr="00950D93">
        <w:rPr>
          <w:rFonts w:cs="Times New Roman"/>
          <w:noProof/>
          <w:szCs w:val="24"/>
        </w:rPr>
        <w:t xml:space="preserve"> 2002;41:228–35. </w:t>
      </w:r>
    </w:p>
    <w:p w14:paraId="3135A7FD" w14:textId="7CCDC6D7"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37. </w:t>
      </w:r>
      <w:r w:rsidRPr="00950D93">
        <w:rPr>
          <w:rFonts w:cs="Times New Roman"/>
          <w:noProof/>
          <w:szCs w:val="24"/>
        </w:rPr>
        <w:tab/>
        <w:t xml:space="preserve">Skeaff CM, Hodson L, McKenzie JE. Dietary-induced changes in fatty acid composition of human plasma, platelet, and erythrocyte lipids follow a similar time course. </w:t>
      </w:r>
      <w:r w:rsidR="005B045B" w:rsidRPr="005B045B">
        <w:rPr>
          <w:rFonts w:cs="Times New Roman"/>
          <w:noProof/>
          <w:szCs w:val="24"/>
        </w:rPr>
        <w:t>J Nutr</w:t>
      </w:r>
      <w:r w:rsidRPr="00950D93">
        <w:rPr>
          <w:rFonts w:cs="Times New Roman"/>
          <w:noProof/>
          <w:szCs w:val="24"/>
        </w:rPr>
        <w:t xml:space="preserve"> 2006;136:565–9. </w:t>
      </w:r>
    </w:p>
    <w:p w14:paraId="727A5173" w14:textId="7643D2BC" w:rsidR="00950D93" w:rsidRPr="00950D93" w:rsidRDefault="00950D93" w:rsidP="005B045B">
      <w:pPr>
        <w:autoSpaceDE w:val="0"/>
        <w:autoSpaceDN w:val="0"/>
        <w:adjustRightInd w:val="0"/>
        <w:ind w:left="640" w:hanging="640"/>
        <w:rPr>
          <w:rFonts w:cs="Times New Roman"/>
          <w:noProof/>
          <w:szCs w:val="24"/>
        </w:rPr>
      </w:pPr>
      <w:r w:rsidRPr="00950D93">
        <w:rPr>
          <w:rFonts w:cs="Times New Roman"/>
          <w:noProof/>
          <w:szCs w:val="24"/>
        </w:rPr>
        <w:t xml:space="preserve">38. </w:t>
      </w:r>
      <w:r w:rsidRPr="00950D93">
        <w:rPr>
          <w:rFonts w:cs="Times New Roman"/>
          <w:noProof/>
          <w:szCs w:val="24"/>
        </w:rPr>
        <w:tab/>
        <w:t xml:space="preserve">Welch AA, Bingham SA, Ive J, Friesen MD, Wareham NJ, Riboli E, Khaw KT. Dietary fish intake and plasma phospholipid n-3 polyunsaturated fatty acid concentrations in men and women in the European Prospective Investigation into Cancer-Norfolk United Kingdom cohort. </w:t>
      </w:r>
      <w:r w:rsidR="005B045B" w:rsidRPr="005B045B">
        <w:rPr>
          <w:rFonts w:cs="Times New Roman"/>
          <w:noProof/>
          <w:szCs w:val="24"/>
        </w:rPr>
        <w:t>Am J Clin Nutr</w:t>
      </w:r>
      <w:r w:rsidR="005B045B">
        <w:rPr>
          <w:rFonts w:cs="Times New Roman"/>
          <w:noProof/>
          <w:szCs w:val="24"/>
        </w:rPr>
        <w:t xml:space="preserve"> </w:t>
      </w:r>
      <w:r w:rsidRPr="00950D93">
        <w:rPr>
          <w:rFonts w:cs="Times New Roman"/>
          <w:noProof/>
          <w:szCs w:val="24"/>
        </w:rPr>
        <w:t>2006;84</w:t>
      </w:r>
      <w:r w:rsidR="005B045B">
        <w:rPr>
          <w:rFonts w:cs="Times New Roman"/>
          <w:noProof/>
          <w:szCs w:val="24"/>
        </w:rPr>
        <w:t>(6)</w:t>
      </w:r>
      <w:r w:rsidRPr="00950D93">
        <w:rPr>
          <w:rFonts w:cs="Times New Roman"/>
          <w:noProof/>
          <w:szCs w:val="24"/>
        </w:rPr>
        <w:t xml:space="preserve">:1330–9. </w:t>
      </w:r>
    </w:p>
    <w:p w14:paraId="59939FFD" w14:textId="42F4EAA5"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39. </w:t>
      </w:r>
      <w:r w:rsidRPr="00950D93">
        <w:rPr>
          <w:rFonts w:cs="Times New Roman"/>
          <w:noProof/>
          <w:szCs w:val="24"/>
        </w:rPr>
        <w:tab/>
        <w:t>Bendinelli B, Palli D, Masala G, Sharp SJ, Schulze MB, Guevara M, van der A DL, Sera F, Amiano P, Balkau B, et al. Association between dietary meat consumption and incident type 2 diabetes: The EPIC-InterAct study. Diabetologia 2013;56</w:t>
      </w:r>
      <w:r w:rsidR="005B045B">
        <w:rPr>
          <w:rFonts w:cs="Times New Roman"/>
          <w:noProof/>
          <w:szCs w:val="24"/>
        </w:rPr>
        <w:t>(1)</w:t>
      </w:r>
      <w:r w:rsidRPr="00950D93">
        <w:rPr>
          <w:rFonts w:cs="Times New Roman"/>
          <w:noProof/>
          <w:szCs w:val="24"/>
        </w:rPr>
        <w:t xml:space="preserve">:47–59. </w:t>
      </w:r>
    </w:p>
    <w:p w14:paraId="0F6D8674" w14:textId="40405DFF" w:rsidR="00950D93" w:rsidRPr="00950D93" w:rsidRDefault="00950D93" w:rsidP="00950D93">
      <w:pPr>
        <w:autoSpaceDE w:val="0"/>
        <w:autoSpaceDN w:val="0"/>
        <w:adjustRightInd w:val="0"/>
        <w:ind w:left="640" w:hanging="640"/>
        <w:rPr>
          <w:rFonts w:cs="Times New Roman"/>
          <w:noProof/>
          <w:szCs w:val="24"/>
        </w:rPr>
      </w:pPr>
      <w:r w:rsidRPr="00950D93">
        <w:rPr>
          <w:rFonts w:cs="Times New Roman"/>
          <w:noProof/>
          <w:szCs w:val="24"/>
        </w:rPr>
        <w:t xml:space="preserve">40. </w:t>
      </w:r>
      <w:r w:rsidRPr="00950D93">
        <w:rPr>
          <w:rFonts w:cs="Times New Roman"/>
          <w:noProof/>
          <w:szCs w:val="24"/>
        </w:rPr>
        <w:tab/>
        <w:t xml:space="preserve">Pan A, Sun Q, Bernstein AM, Schulze MB, Manson JE, Willett WC, Hu FB. Red meat consumption and risk of type 2 diabetes: 3 cohorts of US adults and an updated meta-analysis. </w:t>
      </w:r>
      <w:r w:rsidR="005B045B" w:rsidRPr="005B045B">
        <w:rPr>
          <w:rFonts w:cs="Times New Roman"/>
          <w:noProof/>
          <w:szCs w:val="24"/>
        </w:rPr>
        <w:t>Am J Clin Nutr</w:t>
      </w:r>
      <w:r w:rsidR="005B045B">
        <w:rPr>
          <w:rFonts w:cs="Times New Roman"/>
          <w:noProof/>
          <w:szCs w:val="24"/>
        </w:rPr>
        <w:t xml:space="preserve"> </w:t>
      </w:r>
      <w:r w:rsidRPr="00950D93">
        <w:rPr>
          <w:rFonts w:cs="Times New Roman"/>
          <w:noProof/>
          <w:szCs w:val="24"/>
        </w:rPr>
        <w:t>2011;94</w:t>
      </w:r>
      <w:r w:rsidR="005B045B">
        <w:rPr>
          <w:rFonts w:cs="Times New Roman"/>
          <w:noProof/>
          <w:szCs w:val="24"/>
        </w:rPr>
        <w:t>(4)</w:t>
      </w:r>
      <w:r w:rsidRPr="00950D93">
        <w:rPr>
          <w:rFonts w:cs="Times New Roman"/>
          <w:noProof/>
          <w:szCs w:val="24"/>
        </w:rPr>
        <w:t xml:space="preserve">:1088–96. </w:t>
      </w:r>
    </w:p>
    <w:p w14:paraId="77CBC5F0" w14:textId="0DE32600" w:rsidR="00950D93" w:rsidRPr="00950D93" w:rsidRDefault="00950D93" w:rsidP="005B045B">
      <w:pPr>
        <w:autoSpaceDE w:val="0"/>
        <w:autoSpaceDN w:val="0"/>
        <w:adjustRightInd w:val="0"/>
        <w:ind w:left="640" w:hanging="640"/>
        <w:rPr>
          <w:rFonts w:cs="Times New Roman"/>
          <w:noProof/>
        </w:rPr>
      </w:pPr>
      <w:r w:rsidRPr="00950D93">
        <w:rPr>
          <w:rFonts w:cs="Times New Roman"/>
          <w:noProof/>
          <w:szCs w:val="24"/>
        </w:rPr>
        <w:t xml:space="preserve">41. </w:t>
      </w:r>
      <w:r w:rsidRPr="00950D93">
        <w:rPr>
          <w:rFonts w:cs="Times New Roman"/>
          <w:noProof/>
          <w:szCs w:val="24"/>
        </w:rPr>
        <w:tab/>
        <w:t xml:space="preserve">Li J, Guasch-Ferré M, Chung W, Ruiz-Canela M, Toledo E, Corella D, Bhupathiraju </w:t>
      </w:r>
      <w:r w:rsidRPr="00950D93">
        <w:rPr>
          <w:rFonts w:cs="Times New Roman"/>
          <w:noProof/>
          <w:szCs w:val="24"/>
        </w:rPr>
        <w:lastRenderedPageBreak/>
        <w:t xml:space="preserve">SN, Tobias DK, Tabung FK, Hu J, et al. The Mediterranean diet, plasma metabolome, and cardiovascular disease risk. </w:t>
      </w:r>
      <w:r w:rsidR="005B045B" w:rsidRPr="005B045B">
        <w:rPr>
          <w:rFonts w:cs="Times New Roman"/>
          <w:noProof/>
          <w:szCs w:val="24"/>
        </w:rPr>
        <w:t>Eur Heart J</w:t>
      </w:r>
      <w:r w:rsidRPr="00950D93">
        <w:rPr>
          <w:rFonts w:cs="Times New Roman"/>
          <w:noProof/>
          <w:szCs w:val="24"/>
        </w:rPr>
        <w:t xml:space="preserve"> 2020;41</w:t>
      </w:r>
      <w:r w:rsidR="005B045B">
        <w:rPr>
          <w:rFonts w:cs="Times New Roman"/>
          <w:noProof/>
          <w:szCs w:val="24"/>
        </w:rPr>
        <w:t>(28)</w:t>
      </w:r>
      <w:r w:rsidRPr="00950D93">
        <w:rPr>
          <w:rFonts w:cs="Times New Roman"/>
          <w:noProof/>
          <w:szCs w:val="24"/>
        </w:rPr>
        <w:t xml:space="preserve">:2645–56. </w:t>
      </w:r>
    </w:p>
    <w:p w14:paraId="5FDF5B61" w14:textId="77777777" w:rsidR="00A21372" w:rsidRDefault="00A26609" w:rsidP="002559D0">
      <w:pPr>
        <w:sectPr w:rsidR="00A21372" w:rsidSect="008406D9">
          <w:type w:val="continuous"/>
          <w:pgSz w:w="11906" w:h="16838"/>
          <w:pgMar w:top="1440" w:right="1440" w:bottom="1440" w:left="1440" w:header="708" w:footer="708" w:gutter="0"/>
          <w:cols w:space="708"/>
          <w:docGrid w:linePitch="360"/>
        </w:sectPr>
      </w:pPr>
      <w:r>
        <w:fldChar w:fldCharType="end"/>
      </w:r>
    </w:p>
    <w:p w14:paraId="26CEC79B" w14:textId="0CDB09C3" w:rsidR="007E7809" w:rsidRPr="008406D9" w:rsidRDefault="007E7809" w:rsidP="008406D9">
      <w:pPr>
        <w:widowControl/>
        <w:spacing w:after="160" w:line="259" w:lineRule="auto"/>
      </w:pPr>
      <w:r>
        <w:br w:type="page"/>
      </w:r>
    </w:p>
    <w:p w14:paraId="3006F224" w14:textId="450C66FE" w:rsidR="007E7809" w:rsidRDefault="007E7809" w:rsidP="00EF3667">
      <w:pPr>
        <w:pStyle w:val="Heading2"/>
      </w:pPr>
      <w:r>
        <w:lastRenderedPageBreak/>
        <w:t>Table 1. Baseline characteristics of the study participants for development and validation of meat metabolite scores in the EPIC-Norfolk study</w:t>
      </w:r>
      <w:r w:rsidR="003E405E" w:rsidRPr="00DC08FA">
        <w:rPr>
          <w:vertAlign w:val="superscript"/>
        </w:rPr>
        <w:t>1</w:t>
      </w:r>
    </w:p>
    <w:tbl>
      <w:tblPr>
        <w:tblW w:w="5882" w:type="dxa"/>
        <w:shd w:val="clear" w:color="auto" w:fill="FFFFFF"/>
        <w:tblCellMar>
          <w:left w:w="0" w:type="dxa"/>
          <w:right w:w="0" w:type="dxa"/>
        </w:tblCellMar>
        <w:tblLook w:val="04A0" w:firstRow="1" w:lastRow="0" w:firstColumn="1" w:lastColumn="0" w:noHBand="0" w:noVBand="1"/>
      </w:tblPr>
      <w:tblGrid>
        <w:gridCol w:w="3597"/>
        <w:gridCol w:w="1217"/>
        <w:gridCol w:w="1068"/>
      </w:tblGrid>
      <w:tr w:rsidR="007E7809" w:rsidRPr="003E405E" w14:paraId="5E101B3F" w14:textId="77777777" w:rsidTr="00B164B5">
        <w:trPr>
          <w:trHeight w:val="170"/>
          <w:tblHeader/>
        </w:trPr>
        <w:tc>
          <w:tcPr>
            <w:tcW w:w="0" w:type="auto"/>
            <w:tcBorders>
              <w:top w:val="single" w:sz="18" w:space="0" w:color="000000"/>
              <w:left w:val="nil"/>
              <w:bottom w:val="single" w:sz="8" w:space="0" w:color="000000"/>
              <w:right w:val="single" w:sz="4" w:space="0" w:color="auto"/>
            </w:tcBorders>
            <w:shd w:val="clear" w:color="auto" w:fill="FFFFFF"/>
            <w:tcMar>
              <w:top w:w="60" w:type="dxa"/>
              <w:left w:w="60" w:type="dxa"/>
              <w:bottom w:w="60" w:type="dxa"/>
              <w:right w:w="180" w:type="dxa"/>
            </w:tcMar>
            <w:vAlign w:val="center"/>
            <w:hideMark/>
          </w:tcPr>
          <w:p w14:paraId="15840F72" w14:textId="77777777" w:rsidR="007E7809" w:rsidRPr="00DC08FA" w:rsidRDefault="007E7809" w:rsidP="00B164B5">
            <w:pPr>
              <w:widowControl/>
              <w:spacing w:line="180" w:lineRule="exact"/>
              <w:rPr>
                <w:rFonts w:eastAsia="Times New Roman" w:cs="Times New Roman"/>
                <w:kern w:val="0"/>
                <w:sz w:val="20"/>
                <w:szCs w:val="20"/>
              </w:rPr>
            </w:pPr>
          </w:p>
        </w:tc>
        <w:tc>
          <w:tcPr>
            <w:tcW w:w="0" w:type="auto"/>
            <w:tcBorders>
              <w:top w:val="single" w:sz="18" w:space="0" w:color="000000"/>
              <w:left w:val="single" w:sz="4" w:space="0" w:color="auto"/>
              <w:bottom w:val="single" w:sz="8" w:space="0" w:color="000000"/>
              <w:right w:val="single" w:sz="4" w:space="0" w:color="auto"/>
            </w:tcBorders>
            <w:shd w:val="clear" w:color="auto" w:fill="FFFFFF"/>
            <w:vAlign w:val="center"/>
          </w:tcPr>
          <w:p w14:paraId="06513D04" w14:textId="07D7EBC1" w:rsidR="007E7809" w:rsidRPr="00DC08FA" w:rsidRDefault="007E7809" w:rsidP="00B164B5">
            <w:pPr>
              <w:widowControl/>
              <w:spacing w:line="180" w:lineRule="exact"/>
              <w:jc w:val="center"/>
              <w:rPr>
                <w:rFonts w:eastAsia="Times New Roman" w:cs="Times New Roman"/>
                <w:b/>
                <w:bCs/>
                <w:color w:val="000000"/>
                <w:kern w:val="0"/>
                <w:sz w:val="20"/>
                <w:szCs w:val="20"/>
              </w:rPr>
            </w:pPr>
            <w:r w:rsidRPr="00DC08FA">
              <w:rPr>
                <w:rFonts w:eastAsia="Times New Roman" w:cs="Times New Roman"/>
                <w:b/>
                <w:bCs/>
                <w:color w:val="000000"/>
                <w:kern w:val="0"/>
                <w:sz w:val="20"/>
                <w:szCs w:val="20"/>
              </w:rPr>
              <w:t xml:space="preserve">Exploratory set </w:t>
            </w:r>
            <w:r w:rsidRPr="00DC08FA">
              <w:rPr>
                <w:rFonts w:eastAsia="Times New Roman" w:cs="Times New Roman"/>
                <w:b/>
                <w:bCs/>
                <w:color w:val="000000"/>
                <w:kern w:val="0"/>
                <w:sz w:val="20"/>
                <w:szCs w:val="20"/>
              </w:rPr>
              <w:br/>
              <w:t>(</w:t>
            </w:r>
            <w:r w:rsidR="00AE6E96">
              <w:rPr>
                <w:rFonts w:eastAsia="Times New Roman" w:cs="Times New Roman"/>
                <w:b/>
                <w:bCs/>
                <w:color w:val="000000"/>
                <w:kern w:val="0"/>
                <w:sz w:val="20"/>
                <w:szCs w:val="20"/>
              </w:rPr>
              <w:t>n</w:t>
            </w:r>
            <w:r w:rsidRPr="00DC08FA">
              <w:rPr>
                <w:rFonts w:eastAsia="Times New Roman" w:cs="Times New Roman"/>
                <w:b/>
                <w:bCs/>
                <w:color w:val="000000"/>
                <w:kern w:val="0"/>
                <w:sz w:val="20"/>
                <w:szCs w:val="20"/>
              </w:rPr>
              <w:t>=11,432)</w:t>
            </w:r>
          </w:p>
        </w:tc>
        <w:tc>
          <w:tcPr>
            <w:tcW w:w="0" w:type="auto"/>
            <w:tcBorders>
              <w:top w:val="single" w:sz="18" w:space="0" w:color="000000"/>
              <w:left w:val="single" w:sz="4" w:space="0" w:color="auto"/>
              <w:bottom w:val="single" w:sz="8" w:space="0" w:color="000000"/>
              <w:right w:val="nil"/>
            </w:tcBorders>
            <w:shd w:val="clear" w:color="auto" w:fill="FFFFFF"/>
            <w:vAlign w:val="center"/>
          </w:tcPr>
          <w:p w14:paraId="759E898F" w14:textId="017BF78D" w:rsidR="007E7809" w:rsidRPr="00DC08FA" w:rsidRDefault="007E7809" w:rsidP="004E3041">
            <w:pPr>
              <w:widowControl/>
              <w:spacing w:line="180" w:lineRule="exact"/>
              <w:jc w:val="center"/>
              <w:rPr>
                <w:rFonts w:eastAsia="Times New Roman" w:cs="Times New Roman"/>
                <w:b/>
                <w:bCs/>
                <w:color w:val="000000"/>
                <w:kern w:val="0"/>
                <w:sz w:val="20"/>
                <w:szCs w:val="20"/>
              </w:rPr>
            </w:pPr>
            <w:r w:rsidRPr="00DC08FA">
              <w:rPr>
                <w:rFonts w:eastAsia="Times New Roman" w:cs="Times New Roman"/>
                <w:b/>
                <w:bCs/>
                <w:color w:val="000000"/>
                <w:kern w:val="0"/>
                <w:sz w:val="20"/>
                <w:szCs w:val="20"/>
              </w:rPr>
              <w:t>Validation set</w:t>
            </w:r>
            <w:r w:rsidRPr="00DC08FA">
              <w:rPr>
                <w:rFonts w:eastAsia="Times New Roman" w:cs="Times New Roman"/>
                <w:b/>
                <w:bCs/>
                <w:color w:val="000000"/>
                <w:kern w:val="0"/>
                <w:sz w:val="20"/>
                <w:szCs w:val="20"/>
              </w:rPr>
              <w:br/>
              <w:t>(</w:t>
            </w:r>
            <w:r w:rsidR="00AE6E96">
              <w:rPr>
                <w:rFonts w:eastAsia="Times New Roman" w:cs="Times New Roman"/>
                <w:b/>
                <w:bCs/>
                <w:color w:val="000000"/>
                <w:kern w:val="0"/>
                <w:sz w:val="20"/>
                <w:szCs w:val="20"/>
              </w:rPr>
              <w:t>n</w:t>
            </w:r>
            <w:r w:rsidRPr="00DC08FA">
              <w:rPr>
                <w:rFonts w:eastAsia="Times New Roman" w:cs="Times New Roman"/>
                <w:b/>
                <w:bCs/>
                <w:color w:val="000000"/>
                <w:kern w:val="0"/>
                <w:sz w:val="20"/>
                <w:szCs w:val="20"/>
              </w:rPr>
              <w:t>=853)</w:t>
            </w:r>
          </w:p>
        </w:tc>
      </w:tr>
      <w:tr w:rsidR="007E7809" w:rsidRPr="003E405E" w14:paraId="4E1663D4" w14:textId="77777777" w:rsidTr="00DC08FA">
        <w:trPr>
          <w:trHeight w:val="170"/>
        </w:trPr>
        <w:tc>
          <w:tcPr>
            <w:tcW w:w="0" w:type="auto"/>
            <w:tcBorders>
              <w:top w:val="nil"/>
              <w:left w:val="nil"/>
              <w:bottom w:val="nil"/>
              <w:right w:val="single" w:sz="4" w:space="0" w:color="auto"/>
            </w:tcBorders>
            <w:shd w:val="clear" w:color="auto" w:fill="auto"/>
            <w:noWrap/>
            <w:tcMar>
              <w:top w:w="60" w:type="dxa"/>
              <w:left w:w="60" w:type="dxa"/>
              <w:bottom w:w="60" w:type="dxa"/>
              <w:right w:w="180" w:type="dxa"/>
            </w:tcMar>
            <w:vAlign w:val="center"/>
            <w:hideMark/>
          </w:tcPr>
          <w:p w14:paraId="2AF23A19" w14:textId="0BD484B0" w:rsidR="007E7809" w:rsidRPr="00DC08FA" w:rsidRDefault="007E7809" w:rsidP="00B164B5">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Age</w:t>
            </w:r>
            <w:r w:rsidR="00AE6E96">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(y)</w:t>
            </w:r>
          </w:p>
        </w:tc>
        <w:tc>
          <w:tcPr>
            <w:tcW w:w="0" w:type="auto"/>
            <w:tcBorders>
              <w:top w:val="nil"/>
              <w:left w:val="single" w:sz="4" w:space="0" w:color="auto"/>
              <w:bottom w:val="nil"/>
              <w:right w:val="single" w:sz="4" w:space="0" w:color="auto"/>
            </w:tcBorders>
            <w:shd w:val="clear" w:color="auto" w:fill="auto"/>
            <w:vAlign w:val="center"/>
          </w:tcPr>
          <w:p w14:paraId="29AB8E60" w14:textId="77777777" w:rsidR="007E7809" w:rsidRPr="00DC08FA" w:rsidRDefault="007E7809" w:rsidP="00B164B5">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59.6 ± 8.96</w:t>
            </w:r>
          </w:p>
        </w:tc>
        <w:tc>
          <w:tcPr>
            <w:tcW w:w="0" w:type="auto"/>
            <w:tcBorders>
              <w:top w:val="nil"/>
              <w:left w:val="single" w:sz="4" w:space="0" w:color="auto"/>
              <w:bottom w:val="nil"/>
              <w:right w:val="nil"/>
            </w:tcBorders>
            <w:shd w:val="clear" w:color="auto" w:fill="auto"/>
            <w:vAlign w:val="center"/>
          </w:tcPr>
          <w:p w14:paraId="3581C2AE"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59.0 ± 9.40</w:t>
            </w:r>
          </w:p>
        </w:tc>
      </w:tr>
      <w:tr w:rsidR="003E405E" w:rsidRPr="003E405E" w14:paraId="67307E71" w14:textId="77777777" w:rsidTr="00DC08FA">
        <w:trPr>
          <w:trHeight w:val="170"/>
        </w:trPr>
        <w:tc>
          <w:tcPr>
            <w:tcW w:w="0" w:type="auto"/>
            <w:tcBorders>
              <w:top w:val="nil"/>
              <w:left w:val="nil"/>
              <w:bottom w:val="nil"/>
              <w:right w:val="single" w:sz="4" w:space="0" w:color="auto"/>
            </w:tcBorders>
            <w:shd w:val="clear" w:color="auto" w:fill="auto"/>
            <w:noWrap/>
            <w:tcMar>
              <w:top w:w="60" w:type="dxa"/>
              <w:left w:w="60" w:type="dxa"/>
              <w:bottom w:w="60" w:type="dxa"/>
              <w:right w:w="180" w:type="dxa"/>
            </w:tcMar>
            <w:vAlign w:val="center"/>
            <w:hideMark/>
          </w:tcPr>
          <w:p w14:paraId="4C0094F5" w14:textId="72F30AB5"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Female</w:t>
            </w:r>
          </w:p>
        </w:tc>
        <w:tc>
          <w:tcPr>
            <w:tcW w:w="0" w:type="auto"/>
            <w:tcBorders>
              <w:top w:val="nil"/>
              <w:left w:val="single" w:sz="4" w:space="0" w:color="auto"/>
              <w:bottom w:val="nil"/>
              <w:right w:val="single" w:sz="4" w:space="0" w:color="auto"/>
            </w:tcBorders>
            <w:shd w:val="clear" w:color="auto" w:fill="auto"/>
            <w:vAlign w:val="center"/>
          </w:tcPr>
          <w:p w14:paraId="4D5F45C8" w14:textId="1BCB72A8" w:rsidR="003E405E" w:rsidRPr="00DC08FA" w:rsidRDefault="003E405E" w:rsidP="003E405E">
            <w:pPr>
              <w:widowControl/>
              <w:spacing w:line="180" w:lineRule="exact"/>
              <w:jc w:val="center"/>
              <w:rPr>
                <w:rFonts w:eastAsia="Times New Roman" w:cs="Times New Roman"/>
                <w:kern w:val="0"/>
                <w:sz w:val="20"/>
                <w:szCs w:val="20"/>
              </w:rPr>
            </w:pPr>
            <w:r w:rsidRPr="00DC08FA">
              <w:rPr>
                <w:rFonts w:eastAsia="Times New Roman" w:cs="Times New Roman"/>
                <w:color w:val="000000"/>
                <w:kern w:val="0"/>
                <w:sz w:val="20"/>
                <w:szCs w:val="20"/>
              </w:rPr>
              <w:t>6204 (54 %)</w:t>
            </w:r>
          </w:p>
        </w:tc>
        <w:tc>
          <w:tcPr>
            <w:tcW w:w="0" w:type="auto"/>
            <w:tcBorders>
              <w:top w:val="nil"/>
              <w:left w:val="single" w:sz="4" w:space="0" w:color="auto"/>
              <w:bottom w:val="nil"/>
              <w:right w:val="nil"/>
            </w:tcBorders>
            <w:shd w:val="clear" w:color="auto" w:fill="auto"/>
            <w:vAlign w:val="center"/>
          </w:tcPr>
          <w:p w14:paraId="5B04EE22" w14:textId="66FA681A"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494 (58 %)</w:t>
            </w:r>
          </w:p>
        </w:tc>
      </w:tr>
      <w:tr w:rsidR="003E405E" w:rsidRPr="003E405E" w14:paraId="28425557" w14:textId="77777777" w:rsidTr="00DC08FA">
        <w:trPr>
          <w:trHeight w:val="170"/>
        </w:trPr>
        <w:tc>
          <w:tcPr>
            <w:tcW w:w="0" w:type="auto"/>
            <w:tcBorders>
              <w:top w:val="nil"/>
              <w:left w:val="nil"/>
              <w:bottom w:val="nil"/>
              <w:right w:val="single" w:sz="4" w:space="0" w:color="auto"/>
            </w:tcBorders>
            <w:shd w:val="clear" w:color="auto" w:fill="auto"/>
            <w:noWrap/>
            <w:tcMar>
              <w:top w:w="60" w:type="dxa"/>
              <w:left w:w="60" w:type="dxa"/>
              <w:bottom w:w="60" w:type="dxa"/>
              <w:right w:w="180" w:type="dxa"/>
            </w:tcMar>
            <w:vAlign w:val="center"/>
            <w:hideMark/>
          </w:tcPr>
          <w:p w14:paraId="707985CC" w14:textId="70EEC4FD"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Red meat intake</w:t>
            </w:r>
            <w:r w:rsidR="00AE6E96">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auto"/>
            <w:vAlign w:val="center"/>
          </w:tcPr>
          <w:p w14:paraId="010ECCC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34.4 ± 29.3</w:t>
            </w:r>
          </w:p>
        </w:tc>
        <w:tc>
          <w:tcPr>
            <w:tcW w:w="0" w:type="auto"/>
            <w:tcBorders>
              <w:top w:val="nil"/>
              <w:left w:val="single" w:sz="4" w:space="0" w:color="auto"/>
              <w:bottom w:val="nil"/>
              <w:right w:val="nil"/>
            </w:tcBorders>
            <w:shd w:val="clear" w:color="auto" w:fill="auto"/>
            <w:vAlign w:val="center"/>
          </w:tcPr>
          <w:p w14:paraId="2FD20CD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33.6 ± 29.1</w:t>
            </w:r>
          </w:p>
        </w:tc>
      </w:tr>
      <w:tr w:rsidR="003E405E" w:rsidRPr="003E405E" w14:paraId="4B30E98B" w14:textId="77777777" w:rsidTr="00DC08FA">
        <w:trPr>
          <w:trHeight w:val="170"/>
        </w:trPr>
        <w:tc>
          <w:tcPr>
            <w:tcW w:w="0" w:type="auto"/>
            <w:tcBorders>
              <w:top w:val="nil"/>
              <w:left w:val="nil"/>
              <w:right w:val="single" w:sz="4" w:space="0" w:color="auto"/>
            </w:tcBorders>
            <w:shd w:val="clear" w:color="auto" w:fill="auto"/>
            <w:noWrap/>
            <w:tcMar>
              <w:top w:w="60" w:type="dxa"/>
              <w:left w:w="60" w:type="dxa"/>
              <w:bottom w:w="60" w:type="dxa"/>
              <w:right w:w="180" w:type="dxa"/>
            </w:tcMar>
            <w:vAlign w:val="center"/>
            <w:hideMark/>
          </w:tcPr>
          <w:p w14:paraId="13D0BE6A" w14:textId="1308107B"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Processed meat intake</w:t>
            </w:r>
            <w:r w:rsidR="00AE6E96">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right w:val="single" w:sz="4" w:space="0" w:color="auto"/>
            </w:tcBorders>
            <w:shd w:val="clear" w:color="auto" w:fill="auto"/>
            <w:vAlign w:val="center"/>
          </w:tcPr>
          <w:p w14:paraId="4A25B57F"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22.5 ± 21.0</w:t>
            </w:r>
          </w:p>
        </w:tc>
        <w:tc>
          <w:tcPr>
            <w:tcW w:w="0" w:type="auto"/>
            <w:tcBorders>
              <w:top w:val="nil"/>
              <w:left w:val="single" w:sz="4" w:space="0" w:color="auto"/>
              <w:right w:val="nil"/>
            </w:tcBorders>
            <w:shd w:val="clear" w:color="auto" w:fill="auto"/>
            <w:vAlign w:val="center"/>
          </w:tcPr>
          <w:p w14:paraId="23B0A82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21.7 ± 19.7</w:t>
            </w:r>
          </w:p>
        </w:tc>
      </w:tr>
      <w:tr w:rsidR="003E405E" w:rsidRPr="003E405E" w14:paraId="0A920436" w14:textId="77777777" w:rsidTr="00DC08FA">
        <w:trPr>
          <w:trHeight w:val="170"/>
        </w:trPr>
        <w:tc>
          <w:tcPr>
            <w:tcW w:w="0" w:type="auto"/>
            <w:tcBorders>
              <w:top w:val="nil"/>
              <w:left w:val="nil"/>
              <w:bottom w:val="single" w:sz="4" w:space="0" w:color="auto"/>
              <w:right w:val="single" w:sz="4" w:space="0" w:color="auto"/>
            </w:tcBorders>
            <w:shd w:val="clear" w:color="auto" w:fill="auto"/>
            <w:noWrap/>
            <w:tcMar>
              <w:top w:w="60" w:type="dxa"/>
              <w:left w:w="60" w:type="dxa"/>
              <w:bottom w:w="60" w:type="dxa"/>
              <w:right w:w="180" w:type="dxa"/>
            </w:tcMar>
            <w:vAlign w:val="center"/>
            <w:hideMark/>
          </w:tcPr>
          <w:p w14:paraId="2E7C4480" w14:textId="376CE7D2"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Poultry intake</w:t>
            </w:r>
            <w:r w:rsidR="00AE6E96">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single" w:sz="4" w:space="0" w:color="auto"/>
              <w:right w:val="single" w:sz="4" w:space="0" w:color="auto"/>
            </w:tcBorders>
            <w:shd w:val="clear" w:color="auto" w:fill="auto"/>
            <w:vAlign w:val="center"/>
          </w:tcPr>
          <w:p w14:paraId="705CB585"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24.8 ± 27.5</w:t>
            </w:r>
          </w:p>
        </w:tc>
        <w:tc>
          <w:tcPr>
            <w:tcW w:w="0" w:type="auto"/>
            <w:tcBorders>
              <w:top w:val="nil"/>
              <w:left w:val="single" w:sz="4" w:space="0" w:color="auto"/>
              <w:bottom w:val="single" w:sz="4" w:space="0" w:color="auto"/>
              <w:right w:val="nil"/>
            </w:tcBorders>
            <w:shd w:val="clear" w:color="auto" w:fill="auto"/>
            <w:vAlign w:val="center"/>
          </w:tcPr>
          <w:p w14:paraId="2FAC930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26.0 ± 25.5</w:t>
            </w:r>
          </w:p>
        </w:tc>
      </w:tr>
      <w:tr w:rsidR="003E405E" w:rsidRPr="003E405E" w14:paraId="715BA60D" w14:textId="77777777" w:rsidTr="00B164B5">
        <w:trPr>
          <w:trHeight w:val="170"/>
        </w:trPr>
        <w:tc>
          <w:tcPr>
            <w:tcW w:w="0" w:type="auto"/>
            <w:tcBorders>
              <w:top w:val="single" w:sz="4" w:space="0" w:color="auto"/>
              <w:left w:val="nil"/>
              <w:bottom w:val="nil"/>
              <w:right w:val="single" w:sz="4" w:space="0" w:color="auto"/>
            </w:tcBorders>
            <w:shd w:val="clear" w:color="auto" w:fill="FFFFFF"/>
            <w:noWrap/>
            <w:tcMar>
              <w:top w:w="60" w:type="dxa"/>
              <w:left w:w="60" w:type="dxa"/>
              <w:bottom w:w="60" w:type="dxa"/>
              <w:right w:w="180" w:type="dxa"/>
            </w:tcMar>
            <w:vAlign w:val="center"/>
            <w:hideMark/>
          </w:tcPr>
          <w:p w14:paraId="1EB83EB8" w14:textId="77777777" w:rsidR="003E405E" w:rsidRPr="003E405E" w:rsidRDefault="003E405E" w:rsidP="003E405E">
            <w:pPr>
              <w:widowControl/>
              <w:spacing w:line="180" w:lineRule="exact"/>
              <w:rPr>
                <w:rFonts w:eastAsia="Times New Roman" w:cs="Times New Roman"/>
                <w:b/>
                <w:bCs/>
                <w:color w:val="000000"/>
                <w:kern w:val="0"/>
                <w:sz w:val="20"/>
                <w:szCs w:val="20"/>
              </w:rPr>
            </w:pPr>
            <w:r w:rsidRPr="003E405E">
              <w:rPr>
                <w:rFonts w:eastAsia="Times New Roman" w:cs="Times New Roman"/>
                <w:b/>
                <w:bCs/>
                <w:color w:val="000000"/>
                <w:kern w:val="0"/>
                <w:sz w:val="20"/>
                <w:szCs w:val="20"/>
              </w:rPr>
              <w:t>Education</w:t>
            </w:r>
          </w:p>
        </w:tc>
        <w:tc>
          <w:tcPr>
            <w:tcW w:w="0" w:type="auto"/>
            <w:tcBorders>
              <w:top w:val="single" w:sz="4" w:space="0" w:color="auto"/>
              <w:left w:val="single" w:sz="4" w:space="0" w:color="auto"/>
              <w:bottom w:val="nil"/>
              <w:right w:val="single" w:sz="4" w:space="0" w:color="auto"/>
            </w:tcBorders>
            <w:shd w:val="clear" w:color="auto" w:fill="FFFFFF"/>
            <w:vAlign w:val="center"/>
          </w:tcPr>
          <w:p w14:paraId="1D4AEE0A" w14:textId="77777777" w:rsidR="003E405E" w:rsidRPr="003E405E" w:rsidRDefault="003E405E" w:rsidP="003E405E">
            <w:pPr>
              <w:widowControl/>
              <w:spacing w:line="180" w:lineRule="exact"/>
              <w:jc w:val="center"/>
              <w:rPr>
                <w:rFonts w:eastAsia="Times New Roman" w:cs="Times New Roman"/>
                <w:kern w:val="0"/>
                <w:sz w:val="20"/>
                <w:szCs w:val="20"/>
              </w:rPr>
            </w:pPr>
          </w:p>
        </w:tc>
        <w:tc>
          <w:tcPr>
            <w:tcW w:w="0" w:type="auto"/>
            <w:tcBorders>
              <w:top w:val="single" w:sz="4" w:space="0" w:color="auto"/>
              <w:left w:val="single" w:sz="4" w:space="0" w:color="auto"/>
              <w:bottom w:val="nil"/>
              <w:right w:val="nil"/>
            </w:tcBorders>
            <w:shd w:val="clear" w:color="auto" w:fill="FFFFFF"/>
            <w:vAlign w:val="center"/>
          </w:tcPr>
          <w:p w14:paraId="5E9ABD43" w14:textId="77777777" w:rsidR="003E405E" w:rsidRPr="003E405E" w:rsidRDefault="003E405E" w:rsidP="003E405E">
            <w:pPr>
              <w:spacing w:line="180" w:lineRule="exact"/>
              <w:jc w:val="center"/>
              <w:rPr>
                <w:rFonts w:cs="Times New Roman"/>
                <w:sz w:val="20"/>
                <w:szCs w:val="20"/>
              </w:rPr>
            </w:pPr>
          </w:p>
        </w:tc>
      </w:tr>
      <w:tr w:rsidR="003E405E" w:rsidRPr="003E405E" w14:paraId="03C4358B"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63FE4472"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No</w:t>
            </w:r>
          </w:p>
        </w:tc>
        <w:tc>
          <w:tcPr>
            <w:tcW w:w="0" w:type="auto"/>
            <w:tcBorders>
              <w:top w:val="nil"/>
              <w:left w:val="single" w:sz="4" w:space="0" w:color="auto"/>
              <w:bottom w:val="nil"/>
              <w:right w:val="single" w:sz="4" w:space="0" w:color="auto"/>
            </w:tcBorders>
            <w:shd w:val="clear" w:color="auto" w:fill="FFFFFF"/>
            <w:vAlign w:val="center"/>
          </w:tcPr>
          <w:p w14:paraId="2C94AFD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4345 (38 %)</w:t>
            </w:r>
          </w:p>
        </w:tc>
        <w:tc>
          <w:tcPr>
            <w:tcW w:w="0" w:type="auto"/>
            <w:tcBorders>
              <w:top w:val="nil"/>
              <w:left w:val="single" w:sz="4" w:space="0" w:color="auto"/>
              <w:bottom w:val="nil"/>
              <w:right w:val="nil"/>
            </w:tcBorders>
            <w:shd w:val="clear" w:color="auto" w:fill="FFFFFF"/>
            <w:vAlign w:val="center"/>
          </w:tcPr>
          <w:p w14:paraId="5F2AB08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326 (38 %)</w:t>
            </w:r>
          </w:p>
        </w:tc>
      </w:tr>
      <w:tr w:rsidR="003E405E" w:rsidRPr="003E405E" w14:paraId="2D5EE38B"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1946D5F0" w14:textId="77777777" w:rsidR="003E405E" w:rsidRPr="00DC08FA" w:rsidRDefault="003E405E" w:rsidP="003E405E">
            <w:pPr>
              <w:widowControl/>
              <w:spacing w:line="180" w:lineRule="exact"/>
              <w:rPr>
                <w:rFonts w:eastAsia="Times New Roman" w:cs="Times New Roman"/>
                <w:color w:val="000000"/>
                <w:kern w:val="0"/>
                <w:sz w:val="20"/>
                <w:szCs w:val="20"/>
              </w:rPr>
            </w:pPr>
            <w:proofErr w:type="spellStart"/>
            <w:r w:rsidRPr="00DC08FA">
              <w:rPr>
                <w:rFonts w:eastAsia="Times New Roman" w:cs="Times New Roman"/>
                <w:color w:val="000000"/>
                <w:kern w:val="0"/>
                <w:sz w:val="20"/>
                <w:szCs w:val="20"/>
              </w:rPr>
              <w:t>Olevel</w:t>
            </w:r>
            <w:proofErr w:type="spellEnd"/>
          </w:p>
        </w:tc>
        <w:tc>
          <w:tcPr>
            <w:tcW w:w="0" w:type="auto"/>
            <w:tcBorders>
              <w:top w:val="nil"/>
              <w:left w:val="single" w:sz="4" w:space="0" w:color="auto"/>
              <w:bottom w:val="nil"/>
              <w:right w:val="single" w:sz="4" w:space="0" w:color="auto"/>
            </w:tcBorders>
            <w:shd w:val="clear" w:color="auto" w:fill="FFFFFF"/>
            <w:vAlign w:val="center"/>
          </w:tcPr>
          <w:p w14:paraId="4D8A13C1"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1155 (10 %)</w:t>
            </w:r>
          </w:p>
        </w:tc>
        <w:tc>
          <w:tcPr>
            <w:tcW w:w="0" w:type="auto"/>
            <w:tcBorders>
              <w:top w:val="nil"/>
              <w:left w:val="single" w:sz="4" w:space="0" w:color="auto"/>
              <w:bottom w:val="nil"/>
              <w:right w:val="nil"/>
            </w:tcBorders>
            <w:shd w:val="clear" w:color="auto" w:fill="FFFFFF"/>
            <w:vAlign w:val="center"/>
          </w:tcPr>
          <w:p w14:paraId="4524BC7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79 (9 %)</w:t>
            </w:r>
          </w:p>
        </w:tc>
      </w:tr>
      <w:tr w:rsidR="003E405E" w:rsidRPr="003E405E" w14:paraId="5BDB5CAD"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2C4C1BD2" w14:textId="77777777" w:rsidR="003E405E" w:rsidRPr="00DC08FA" w:rsidRDefault="003E405E" w:rsidP="003E405E">
            <w:pPr>
              <w:widowControl/>
              <w:spacing w:line="180" w:lineRule="exact"/>
              <w:rPr>
                <w:rFonts w:eastAsia="Times New Roman" w:cs="Times New Roman"/>
                <w:color w:val="000000"/>
                <w:kern w:val="0"/>
                <w:sz w:val="20"/>
                <w:szCs w:val="20"/>
              </w:rPr>
            </w:pPr>
            <w:proofErr w:type="spellStart"/>
            <w:r w:rsidRPr="00DC08FA">
              <w:rPr>
                <w:rFonts w:eastAsia="Times New Roman" w:cs="Times New Roman"/>
                <w:color w:val="000000"/>
                <w:kern w:val="0"/>
                <w:sz w:val="20"/>
                <w:szCs w:val="20"/>
              </w:rPr>
              <w:t>Alevel</w:t>
            </w:r>
            <w:proofErr w:type="spellEnd"/>
          </w:p>
        </w:tc>
        <w:tc>
          <w:tcPr>
            <w:tcW w:w="0" w:type="auto"/>
            <w:tcBorders>
              <w:top w:val="nil"/>
              <w:left w:val="single" w:sz="4" w:space="0" w:color="auto"/>
              <w:bottom w:val="nil"/>
              <w:right w:val="single" w:sz="4" w:space="0" w:color="auto"/>
            </w:tcBorders>
            <w:shd w:val="clear" w:color="auto" w:fill="FFFFFF"/>
            <w:vAlign w:val="center"/>
          </w:tcPr>
          <w:p w14:paraId="7ED41656"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4541 (40 %)</w:t>
            </w:r>
          </w:p>
        </w:tc>
        <w:tc>
          <w:tcPr>
            <w:tcW w:w="0" w:type="auto"/>
            <w:tcBorders>
              <w:top w:val="nil"/>
              <w:left w:val="single" w:sz="4" w:space="0" w:color="auto"/>
              <w:bottom w:val="nil"/>
              <w:right w:val="nil"/>
            </w:tcBorders>
            <w:shd w:val="clear" w:color="auto" w:fill="FFFFFF"/>
            <w:vAlign w:val="center"/>
          </w:tcPr>
          <w:p w14:paraId="2969D34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330 (39 %)</w:t>
            </w:r>
          </w:p>
        </w:tc>
      </w:tr>
      <w:tr w:rsidR="003E405E" w:rsidRPr="003E405E" w14:paraId="3D2FACF7"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097F4BCB"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Degree</w:t>
            </w:r>
          </w:p>
        </w:tc>
        <w:tc>
          <w:tcPr>
            <w:tcW w:w="0" w:type="auto"/>
            <w:tcBorders>
              <w:top w:val="nil"/>
              <w:left w:val="single" w:sz="4" w:space="0" w:color="auto"/>
              <w:bottom w:val="nil"/>
              <w:right w:val="single" w:sz="4" w:space="0" w:color="auto"/>
            </w:tcBorders>
            <w:shd w:val="clear" w:color="auto" w:fill="FFFFFF"/>
            <w:vAlign w:val="center"/>
          </w:tcPr>
          <w:p w14:paraId="738B504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1385 (12 %)</w:t>
            </w:r>
          </w:p>
        </w:tc>
        <w:tc>
          <w:tcPr>
            <w:tcW w:w="0" w:type="auto"/>
            <w:tcBorders>
              <w:top w:val="nil"/>
              <w:left w:val="single" w:sz="4" w:space="0" w:color="auto"/>
              <w:bottom w:val="nil"/>
              <w:right w:val="nil"/>
            </w:tcBorders>
            <w:shd w:val="clear" w:color="auto" w:fill="FFFFFF"/>
            <w:vAlign w:val="center"/>
          </w:tcPr>
          <w:p w14:paraId="4293DA6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117 (14 %)</w:t>
            </w:r>
          </w:p>
        </w:tc>
      </w:tr>
      <w:tr w:rsidR="003E405E" w:rsidRPr="003E405E" w14:paraId="2386EF16"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690B54FF"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Missing</w:t>
            </w:r>
          </w:p>
        </w:tc>
        <w:tc>
          <w:tcPr>
            <w:tcW w:w="0" w:type="auto"/>
            <w:tcBorders>
              <w:top w:val="nil"/>
              <w:left w:val="single" w:sz="4" w:space="0" w:color="auto"/>
              <w:bottom w:val="nil"/>
              <w:right w:val="single" w:sz="4" w:space="0" w:color="auto"/>
            </w:tcBorders>
            <w:shd w:val="clear" w:color="auto" w:fill="FFFFFF"/>
            <w:vAlign w:val="center"/>
          </w:tcPr>
          <w:p w14:paraId="72C8AF99"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6 (0.1%)</w:t>
            </w:r>
          </w:p>
        </w:tc>
        <w:tc>
          <w:tcPr>
            <w:tcW w:w="0" w:type="auto"/>
            <w:tcBorders>
              <w:top w:val="nil"/>
              <w:left w:val="single" w:sz="4" w:space="0" w:color="auto"/>
              <w:bottom w:val="nil"/>
              <w:right w:val="nil"/>
            </w:tcBorders>
            <w:shd w:val="clear" w:color="auto" w:fill="FFFFFF"/>
            <w:vAlign w:val="center"/>
          </w:tcPr>
          <w:p w14:paraId="18056F2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 (0.1%)</w:t>
            </w:r>
          </w:p>
        </w:tc>
      </w:tr>
      <w:tr w:rsidR="003E405E" w:rsidRPr="003E405E" w14:paraId="40C66013"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0A8EDB63"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Smoking</w:t>
            </w:r>
          </w:p>
        </w:tc>
        <w:tc>
          <w:tcPr>
            <w:tcW w:w="0" w:type="auto"/>
            <w:tcBorders>
              <w:top w:val="nil"/>
              <w:left w:val="single" w:sz="4" w:space="0" w:color="auto"/>
              <w:bottom w:val="nil"/>
              <w:right w:val="single" w:sz="4" w:space="0" w:color="auto"/>
            </w:tcBorders>
            <w:shd w:val="clear" w:color="auto" w:fill="FFFFFF"/>
            <w:vAlign w:val="center"/>
          </w:tcPr>
          <w:p w14:paraId="258327E1" w14:textId="77777777" w:rsidR="003E405E" w:rsidRPr="00DC08FA" w:rsidRDefault="003E405E" w:rsidP="003E405E">
            <w:pPr>
              <w:widowControl/>
              <w:spacing w:line="180" w:lineRule="exact"/>
              <w:jc w:val="center"/>
              <w:rPr>
                <w:rFonts w:eastAsia="Times New Roman" w:cs="Times New Roman"/>
                <w:kern w:val="0"/>
                <w:sz w:val="20"/>
                <w:szCs w:val="20"/>
              </w:rPr>
            </w:pPr>
          </w:p>
        </w:tc>
        <w:tc>
          <w:tcPr>
            <w:tcW w:w="0" w:type="auto"/>
            <w:tcBorders>
              <w:top w:val="nil"/>
              <w:left w:val="single" w:sz="4" w:space="0" w:color="auto"/>
              <w:bottom w:val="nil"/>
              <w:right w:val="nil"/>
            </w:tcBorders>
            <w:shd w:val="clear" w:color="auto" w:fill="FFFFFF"/>
            <w:vAlign w:val="center"/>
          </w:tcPr>
          <w:p w14:paraId="339D9E15" w14:textId="77777777" w:rsidR="003E405E" w:rsidRPr="00DC08FA" w:rsidRDefault="003E405E" w:rsidP="003E405E">
            <w:pPr>
              <w:spacing w:line="180" w:lineRule="exact"/>
              <w:jc w:val="center"/>
              <w:rPr>
                <w:rFonts w:cs="Times New Roman"/>
                <w:sz w:val="20"/>
                <w:szCs w:val="20"/>
              </w:rPr>
            </w:pPr>
          </w:p>
        </w:tc>
      </w:tr>
      <w:tr w:rsidR="003E405E" w:rsidRPr="003E405E" w14:paraId="22E3DB1A"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15608794"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Current</w:t>
            </w:r>
          </w:p>
        </w:tc>
        <w:tc>
          <w:tcPr>
            <w:tcW w:w="0" w:type="auto"/>
            <w:tcBorders>
              <w:top w:val="nil"/>
              <w:left w:val="single" w:sz="4" w:space="0" w:color="auto"/>
              <w:bottom w:val="nil"/>
              <w:right w:val="single" w:sz="4" w:space="0" w:color="auto"/>
            </w:tcBorders>
            <w:shd w:val="clear" w:color="auto" w:fill="FFFFFF"/>
            <w:vAlign w:val="center"/>
          </w:tcPr>
          <w:p w14:paraId="333E07F7"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1290 (11 %)</w:t>
            </w:r>
          </w:p>
        </w:tc>
        <w:tc>
          <w:tcPr>
            <w:tcW w:w="0" w:type="auto"/>
            <w:tcBorders>
              <w:top w:val="nil"/>
              <w:left w:val="single" w:sz="4" w:space="0" w:color="auto"/>
              <w:bottom w:val="nil"/>
              <w:right w:val="nil"/>
            </w:tcBorders>
            <w:shd w:val="clear" w:color="auto" w:fill="FFFFFF"/>
            <w:vAlign w:val="center"/>
          </w:tcPr>
          <w:p w14:paraId="6DC4685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112 (13 %)</w:t>
            </w:r>
          </w:p>
        </w:tc>
      </w:tr>
      <w:tr w:rsidR="003E405E" w:rsidRPr="003E405E" w14:paraId="085183BB"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1A5933EA"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Former</w:t>
            </w:r>
          </w:p>
        </w:tc>
        <w:tc>
          <w:tcPr>
            <w:tcW w:w="0" w:type="auto"/>
            <w:tcBorders>
              <w:top w:val="nil"/>
              <w:left w:val="single" w:sz="4" w:space="0" w:color="auto"/>
              <w:bottom w:val="nil"/>
              <w:right w:val="single" w:sz="4" w:space="0" w:color="auto"/>
            </w:tcBorders>
            <w:shd w:val="clear" w:color="auto" w:fill="FFFFFF"/>
            <w:vAlign w:val="center"/>
          </w:tcPr>
          <w:p w14:paraId="6B2945B6"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4826 (42 %)</w:t>
            </w:r>
          </w:p>
        </w:tc>
        <w:tc>
          <w:tcPr>
            <w:tcW w:w="0" w:type="auto"/>
            <w:tcBorders>
              <w:top w:val="nil"/>
              <w:left w:val="single" w:sz="4" w:space="0" w:color="auto"/>
              <w:bottom w:val="nil"/>
              <w:right w:val="nil"/>
            </w:tcBorders>
            <w:shd w:val="clear" w:color="auto" w:fill="FFFFFF"/>
            <w:vAlign w:val="center"/>
          </w:tcPr>
          <w:p w14:paraId="29644FA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329 (39 %)</w:t>
            </w:r>
          </w:p>
        </w:tc>
      </w:tr>
      <w:tr w:rsidR="003E405E" w:rsidRPr="003E405E" w14:paraId="38FF32FB"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3A375548"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Never</w:t>
            </w:r>
          </w:p>
        </w:tc>
        <w:tc>
          <w:tcPr>
            <w:tcW w:w="0" w:type="auto"/>
            <w:tcBorders>
              <w:top w:val="nil"/>
              <w:left w:val="single" w:sz="4" w:space="0" w:color="auto"/>
              <w:bottom w:val="nil"/>
              <w:right w:val="single" w:sz="4" w:space="0" w:color="auto"/>
            </w:tcBorders>
            <w:shd w:val="clear" w:color="auto" w:fill="FFFFFF"/>
            <w:vAlign w:val="center"/>
          </w:tcPr>
          <w:p w14:paraId="77CF756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5224 (46 %)</w:t>
            </w:r>
          </w:p>
        </w:tc>
        <w:tc>
          <w:tcPr>
            <w:tcW w:w="0" w:type="auto"/>
            <w:tcBorders>
              <w:top w:val="nil"/>
              <w:left w:val="single" w:sz="4" w:space="0" w:color="auto"/>
              <w:bottom w:val="nil"/>
              <w:right w:val="nil"/>
            </w:tcBorders>
            <w:shd w:val="clear" w:color="auto" w:fill="FFFFFF"/>
            <w:vAlign w:val="center"/>
          </w:tcPr>
          <w:p w14:paraId="6CD8173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407 (48 %)</w:t>
            </w:r>
          </w:p>
        </w:tc>
      </w:tr>
      <w:tr w:rsidR="003E405E" w:rsidRPr="003E405E" w14:paraId="57531409"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3153A239"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Missing</w:t>
            </w:r>
          </w:p>
        </w:tc>
        <w:tc>
          <w:tcPr>
            <w:tcW w:w="0" w:type="auto"/>
            <w:tcBorders>
              <w:top w:val="nil"/>
              <w:left w:val="single" w:sz="4" w:space="0" w:color="auto"/>
              <w:bottom w:val="nil"/>
              <w:right w:val="single" w:sz="4" w:space="0" w:color="auto"/>
            </w:tcBorders>
            <w:shd w:val="clear" w:color="auto" w:fill="FFFFFF"/>
            <w:vAlign w:val="center"/>
          </w:tcPr>
          <w:p w14:paraId="708332C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92 (0.8%)</w:t>
            </w:r>
          </w:p>
        </w:tc>
        <w:tc>
          <w:tcPr>
            <w:tcW w:w="0" w:type="auto"/>
            <w:tcBorders>
              <w:top w:val="nil"/>
              <w:left w:val="single" w:sz="4" w:space="0" w:color="auto"/>
              <w:bottom w:val="nil"/>
              <w:right w:val="nil"/>
            </w:tcBorders>
            <w:shd w:val="clear" w:color="auto" w:fill="FFFFFF"/>
            <w:vAlign w:val="center"/>
          </w:tcPr>
          <w:p w14:paraId="744006D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 (0.6%)</w:t>
            </w:r>
          </w:p>
        </w:tc>
      </w:tr>
      <w:tr w:rsidR="003E405E" w:rsidRPr="003E405E" w14:paraId="6865333D"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29348473" w14:textId="68063269"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Alcohol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5EC9E7D2"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11.9 ± 17.8</w:t>
            </w:r>
          </w:p>
        </w:tc>
        <w:tc>
          <w:tcPr>
            <w:tcW w:w="0" w:type="auto"/>
            <w:tcBorders>
              <w:top w:val="nil"/>
              <w:left w:val="single" w:sz="4" w:space="0" w:color="auto"/>
              <w:bottom w:val="nil"/>
              <w:right w:val="nil"/>
            </w:tcBorders>
            <w:shd w:val="clear" w:color="auto" w:fill="FFFFFF"/>
            <w:vAlign w:val="center"/>
          </w:tcPr>
          <w:p w14:paraId="02CF5E6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11.6 ± 16.6</w:t>
            </w:r>
          </w:p>
        </w:tc>
      </w:tr>
      <w:tr w:rsidR="003E405E" w:rsidRPr="003E405E" w14:paraId="6556CF99"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0D6B903F"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PA</w:t>
            </w:r>
          </w:p>
        </w:tc>
        <w:tc>
          <w:tcPr>
            <w:tcW w:w="0" w:type="auto"/>
            <w:tcBorders>
              <w:top w:val="nil"/>
              <w:left w:val="single" w:sz="4" w:space="0" w:color="auto"/>
              <w:bottom w:val="nil"/>
              <w:right w:val="single" w:sz="4" w:space="0" w:color="auto"/>
            </w:tcBorders>
            <w:shd w:val="clear" w:color="auto" w:fill="FFFFFF"/>
            <w:vAlign w:val="center"/>
          </w:tcPr>
          <w:p w14:paraId="72896646" w14:textId="77777777" w:rsidR="003E405E" w:rsidRPr="00DC08FA" w:rsidRDefault="003E405E" w:rsidP="003E405E">
            <w:pPr>
              <w:widowControl/>
              <w:spacing w:line="180" w:lineRule="exact"/>
              <w:jc w:val="center"/>
              <w:rPr>
                <w:rFonts w:eastAsia="Times New Roman" w:cs="Times New Roman"/>
                <w:kern w:val="0"/>
                <w:sz w:val="20"/>
                <w:szCs w:val="20"/>
              </w:rPr>
            </w:pPr>
          </w:p>
        </w:tc>
        <w:tc>
          <w:tcPr>
            <w:tcW w:w="0" w:type="auto"/>
            <w:tcBorders>
              <w:top w:val="nil"/>
              <w:left w:val="single" w:sz="4" w:space="0" w:color="auto"/>
              <w:bottom w:val="nil"/>
              <w:right w:val="nil"/>
            </w:tcBorders>
            <w:shd w:val="clear" w:color="auto" w:fill="FFFFFF"/>
            <w:vAlign w:val="center"/>
          </w:tcPr>
          <w:p w14:paraId="1C257DC6" w14:textId="77777777" w:rsidR="003E405E" w:rsidRPr="00DC08FA" w:rsidRDefault="003E405E" w:rsidP="003E405E">
            <w:pPr>
              <w:spacing w:line="180" w:lineRule="exact"/>
              <w:jc w:val="center"/>
              <w:rPr>
                <w:rFonts w:cs="Times New Roman"/>
                <w:sz w:val="20"/>
                <w:szCs w:val="20"/>
              </w:rPr>
            </w:pPr>
          </w:p>
        </w:tc>
      </w:tr>
      <w:tr w:rsidR="003E405E" w:rsidRPr="003E405E" w14:paraId="44208707"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4E67030A"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Inactive</w:t>
            </w:r>
          </w:p>
        </w:tc>
        <w:tc>
          <w:tcPr>
            <w:tcW w:w="0" w:type="auto"/>
            <w:tcBorders>
              <w:top w:val="nil"/>
              <w:left w:val="single" w:sz="4" w:space="0" w:color="auto"/>
              <w:bottom w:val="nil"/>
              <w:right w:val="single" w:sz="4" w:space="0" w:color="auto"/>
            </w:tcBorders>
            <w:shd w:val="clear" w:color="auto" w:fill="FFFFFF"/>
            <w:vAlign w:val="center"/>
          </w:tcPr>
          <w:p w14:paraId="60EC640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3325 (29 %)</w:t>
            </w:r>
          </w:p>
        </w:tc>
        <w:tc>
          <w:tcPr>
            <w:tcW w:w="0" w:type="auto"/>
            <w:tcBorders>
              <w:top w:val="nil"/>
              <w:left w:val="single" w:sz="4" w:space="0" w:color="auto"/>
              <w:bottom w:val="nil"/>
              <w:right w:val="nil"/>
            </w:tcBorders>
            <w:shd w:val="clear" w:color="auto" w:fill="FFFFFF"/>
            <w:vAlign w:val="center"/>
          </w:tcPr>
          <w:p w14:paraId="67C6791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238 (28 %)</w:t>
            </w:r>
          </w:p>
        </w:tc>
      </w:tr>
      <w:tr w:rsidR="003E405E" w:rsidRPr="003E405E" w14:paraId="49B4BA6C"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2EE8F44E"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Moderately inactive</w:t>
            </w:r>
          </w:p>
        </w:tc>
        <w:tc>
          <w:tcPr>
            <w:tcW w:w="0" w:type="auto"/>
            <w:tcBorders>
              <w:top w:val="nil"/>
              <w:left w:val="single" w:sz="4" w:space="0" w:color="auto"/>
              <w:bottom w:val="nil"/>
              <w:right w:val="single" w:sz="4" w:space="0" w:color="auto"/>
            </w:tcBorders>
            <w:shd w:val="clear" w:color="auto" w:fill="FFFFFF"/>
            <w:vAlign w:val="center"/>
          </w:tcPr>
          <w:p w14:paraId="39F1293B"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3243 (28 %)</w:t>
            </w:r>
          </w:p>
        </w:tc>
        <w:tc>
          <w:tcPr>
            <w:tcW w:w="0" w:type="auto"/>
            <w:tcBorders>
              <w:top w:val="nil"/>
              <w:left w:val="single" w:sz="4" w:space="0" w:color="auto"/>
              <w:bottom w:val="nil"/>
              <w:right w:val="nil"/>
            </w:tcBorders>
            <w:shd w:val="clear" w:color="auto" w:fill="FFFFFF"/>
            <w:vAlign w:val="center"/>
          </w:tcPr>
          <w:p w14:paraId="73C78E8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246 (29 %)</w:t>
            </w:r>
          </w:p>
        </w:tc>
      </w:tr>
      <w:tr w:rsidR="003E405E" w:rsidRPr="003E405E" w14:paraId="6B38E0A5"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35609D2C"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Moderately active</w:t>
            </w:r>
          </w:p>
        </w:tc>
        <w:tc>
          <w:tcPr>
            <w:tcW w:w="0" w:type="auto"/>
            <w:tcBorders>
              <w:top w:val="nil"/>
              <w:left w:val="single" w:sz="4" w:space="0" w:color="auto"/>
              <w:bottom w:val="nil"/>
              <w:right w:val="single" w:sz="4" w:space="0" w:color="auto"/>
            </w:tcBorders>
            <w:shd w:val="clear" w:color="auto" w:fill="FFFFFF"/>
            <w:vAlign w:val="center"/>
          </w:tcPr>
          <w:p w14:paraId="567A75F4"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2658 (23 %)</w:t>
            </w:r>
          </w:p>
        </w:tc>
        <w:tc>
          <w:tcPr>
            <w:tcW w:w="0" w:type="auto"/>
            <w:tcBorders>
              <w:top w:val="nil"/>
              <w:left w:val="single" w:sz="4" w:space="0" w:color="auto"/>
              <w:bottom w:val="nil"/>
              <w:right w:val="nil"/>
            </w:tcBorders>
            <w:shd w:val="clear" w:color="auto" w:fill="FFFFFF"/>
            <w:vAlign w:val="center"/>
          </w:tcPr>
          <w:p w14:paraId="330BEAB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206 (24 %)</w:t>
            </w:r>
          </w:p>
        </w:tc>
      </w:tr>
      <w:tr w:rsidR="003E405E" w:rsidRPr="003E405E" w14:paraId="43352457"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000F1C8C"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Active</w:t>
            </w:r>
          </w:p>
        </w:tc>
        <w:tc>
          <w:tcPr>
            <w:tcW w:w="0" w:type="auto"/>
            <w:tcBorders>
              <w:top w:val="nil"/>
              <w:left w:val="single" w:sz="4" w:space="0" w:color="auto"/>
              <w:bottom w:val="nil"/>
              <w:right w:val="single" w:sz="4" w:space="0" w:color="auto"/>
            </w:tcBorders>
            <w:shd w:val="clear" w:color="auto" w:fill="FFFFFF"/>
            <w:vAlign w:val="center"/>
          </w:tcPr>
          <w:p w14:paraId="5EC6CB0C"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2206 (19 %)</w:t>
            </w:r>
          </w:p>
        </w:tc>
        <w:tc>
          <w:tcPr>
            <w:tcW w:w="0" w:type="auto"/>
            <w:tcBorders>
              <w:top w:val="nil"/>
              <w:left w:val="single" w:sz="4" w:space="0" w:color="auto"/>
              <w:bottom w:val="nil"/>
              <w:right w:val="nil"/>
            </w:tcBorders>
            <w:shd w:val="clear" w:color="auto" w:fill="FFFFFF"/>
            <w:vAlign w:val="center"/>
          </w:tcPr>
          <w:p w14:paraId="0B68814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163 (19 %)</w:t>
            </w:r>
          </w:p>
        </w:tc>
      </w:tr>
      <w:tr w:rsidR="003E405E" w:rsidRPr="003E405E" w14:paraId="1722384B" w14:textId="77777777" w:rsidTr="00B164B5">
        <w:trPr>
          <w:trHeight w:val="170"/>
        </w:trPr>
        <w:tc>
          <w:tcPr>
            <w:tcW w:w="0" w:type="auto"/>
            <w:tcBorders>
              <w:top w:val="nil"/>
              <w:left w:val="nil"/>
              <w:bottom w:val="nil"/>
              <w:right w:val="single" w:sz="4" w:space="0" w:color="auto"/>
            </w:tcBorders>
            <w:shd w:val="clear" w:color="auto" w:fill="FFFFFF" w:themeFill="background1"/>
            <w:noWrap/>
            <w:tcMar>
              <w:top w:w="60" w:type="dxa"/>
              <w:left w:w="60" w:type="dxa"/>
              <w:bottom w:w="60" w:type="dxa"/>
              <w:right w:w="180" w:type="dxa"/>
            </w:tcMar>
            <w:vAlign w:val="center"/>
            <w:hideMark/>
          </w:tcPr>
          <w:p w14:paraId="68BFEE60" w14:textId="50C8DF27"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BMI</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(kg/m</w:t>
            </w:r>
            <w:r w:rsidRPr="00DC08FA">
              <w:rPr>
                <w:rFonts w:eastAsia="Times New Roman" w:cs="Times New Roman"/>
                <w:b/>
                <w:bCs/>
                <w:color w:val="000000"/>
                <w:kern w:val="0"/>
                <w:sz w:val="20"/>
                <w:szCs w:val="20"/>
                <w:vertAlign w:val="superscript"/>
              </w:rPr>
              <w:t>2</w:t>
            </w:r>
            <w:r w:rsidRPr="00DC08FA">
              <w:rPr>
                <w:rFonts w:eastAsia="Times New Roman" w:cs="Times New Roman"/>
                <w:b/>
                <w:bCs/>
                <w:color w:val="000000"/>
                <w:kern w:val="0"/>
                <w:sz w:val="20"/>
                <w:szCs w:val="20"/>
              </w:rPr>
              <w:t>)</w:t>
            </w:r>
          </w:p>
        </w:tc>
        <w:tc>
          <w:tcPr>
            <w:tcW w:w="0" w:type="auto"/>
            <w:tcBorders>
              <w:top w:val="nil"/>
              <w:left w:val="single" w:sz="4" w:space="0" w:color="auto"/>
              <w:bottom w:val="nil"/>
              <w:right w:val="single" w:sz="4" w:space="0" w:color="auto"/>
            </w:tcBorders>
            <w:shd w:val="clear" w:color="auto" w:fill="FFFFFF" w:themeFill="background1"/>
            <w:vAlign w:val="center"/>
          </w:tcPr>
          <w:p w14:paraId="2628D1BC" w14:textId="77777777" w:rsidR="003E405E" w:rsidRPr="00DC08FA" w:rsidRDefault="003E405E" w:rsidP="003E405E">
            <w:pPr>
              <w:widowControl/>
              <w:spacing w:line="180" w:lineRule="exact"/>
              <w:jc w:val="center"/>
              <w:rPr>
                <w:rFonts w:eastAsia="Times New Roman" w:cs="Times New Roman"/>
                <w:kern w:val="0"/>
                <w:sz w:val="20"/>
                <w:szCs w:val="20"/>
              </w:rPr>
            </w:pPr>
          </w:p>
        </w:tc>
        <w:tc>
          <w:tcPr>
            <w:tcW w:w="0" w:type="auto"/>
            <w:tcBorders>
              <w:top w:val="nil"/>
              <w:left w:val="single" w:sz="4" w:space="0" w:color="auto"/>
              <w:bottom w:val="nil"/>
              <w:right w:val="nil"/>
            </w:tcBorders>
            <w:shd w:val="clear" w:color="auto" w:fill="FFFFFF" w:themeFill="background1"/>
            <w:vAlign w:val="center"/>
          </w:tcPr>
          <w:p w14:paraId="0702F29D" w14:textId="77777777" w:rsidR="003E405E" w:rsidRPr="00DC08FA" w:rsidRDefault="003E405E" w:rsidP="003E405E">
            <w:pPr>
              <w:spacing w:line="180" w:lineRule="exact"/>
              <w:jc w:val="center"/>
              <w:rPr>
                <w:rFonts w:cs="Times New Roman"/>
                <w:sz w:val="20"/>
                <w:szCs w:val="20"/>
              </w:rPr>
            </w:pPr>
          </w:p>
        </w:tc>
      </w:tr>
      <w:tr w:rsidR="003E405E" w:rsidRPr="003E405E" w14:paraId="2FA2EC10" w14:textId="77777777" w:rsidTr="00B164B5">
        <w:trPr>
          <w:trHeight w:val="170"/>
        </w:trPr>
        <w:tc>
          <w:tcPr>
            <w:tcW w:w="0" w:type="auto"/>
            <w:tcBorders>
              <w:top w:val="nil"/>
              <w:left w:val="nil"/>
              <w:bottom w:val="nil"/>
              <w:right w:val="single" w:sz="4" w:space="0" w:color="auto"/>
            </w:tcBorders>
            <w:shd w:val="clear" w:color="auto" w:fill="FFFFFF" w:themeFill="background1"/>
            <w:noWrap/>
            <w:tcMar>
              <w:top w:w="60" w:type="dxa"/>
              <w:left w:w="300" w:type="dxa"/>
              <w:bottom w:w="60" w:type="dxa"/>
              <w:right w:w="180" w:type="dxa"/>
            </w:tcMar>
            <w:vAlign w:val="center"/>
            <w:hideMark/>
          </w:tcPr>
          <w:p w14:paraId="16D6651F"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Mean ± SD</w:t>
            </w:r>
          </w:p>
        </w:tc>
        <w:tc>
          <w:tcPr>
            <w:tcW w:w="0" w:type="auto"/>
            <w:tcBorders>
              <w:top w:val="nil"/>
              <w:left w:val="single" w:sz="4" w:space="0" w:color="auto"/>
              <w:bottom w:val="nil"/>
              <w:right w:val="single" w:sz="4" w:space="0" w:color="auto"/>
            </w:tcBorders>
            <w:shd w:val="clear" w:color="auto" w:fill="FFFFFF" w:themeFill="background1"/>
            <w:vAlign w:val="center"/>
          </w:tcPr>
          <w:p w14:paraId="39F221DD"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26.1 ± 3.67</w:t>
            </w:r>
          </w:p>
        </w:tc>
        <w:tc>
          <w:tcPr>
            <w:tcW w:w="0" w:type="auto"/>
            <w:tcBorders>
              <w:top w:val="nil"/>
              <w:left w:val="single" w:sz="4" w:space="0" w:color="auto"/>
              <w:bottom w:val="nil"/>
              <w:right w:val="nil"/>
            </w:tcBorders>
            <w:shd w:val="clear" w:color="auto" w:fill="FFFFFF" w:themeFill="background1"/>
            <w:vAlign w:val="center"/>
          </w:tcPr>
          <w:p w14:paraId="1909FFB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26.1 ± 3.71</w:t>
            </w:r>
          </w:p>
        </w:tc>
      </w:tr>
      <w:tr w:rsidR="003E405E" w:rsidRPr="003E405E" w14:paraId="77AA3D6F" w14:textId="77777777" w:rsidTr="00B164B5">
        <w:trPr>
          <w:trHeight w:val="170"/>
        </w:trPr>
        <w:tc>
          <w:tcPr>
            <w:tcW w:w="0" w:type="auto"/>
            <w:tcBorders>
              <w:top w:val="nil"/>
              <w:left w:val="nil"/>
              <w:bottom w:val="nil"/>
              <w:right w:val="single" w:sz="4" w:space="0" w:color="auto"/>
            </w:tcBorders>
            <w:shd w:val="clear" w:color="auto" w:fill="FFFFFF" w:themeFill="background1"/>
            <w:noWrap/>
            <w:tcMar>
              <w:top w:w="60" w:type="dxa"/>
              <w:left w:w="300" w:type="dxa"/>
              <w:bottom w:w="60" w:type="dxa"/>
              <w:right w:w="180" w:type="dxa"/>
            </w:tcMar>
            <w:vAlign w:val="center"/>
            <w:hideMark/>
          </w:tcPr>
          <w:p w14:paraId="1846F596"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Missing</w:t>
            </w:r>
          </w:p>
        </w:tc>
        <w:tc>
          <w:tcPr>
            <w:tcW w:w="0" w:type="auto"/>
            <w:tcBorders>
              <w:top w:val="nil"/>
              <w:left w:val="single" w:sz="4" w:space="0" w:color="auto"/>
              <w:bottom w:val="nil"/>
              <w:right w:val="single" w:sz="4" w:space="0" w:color="auto"/>
            </w:tcBorders>
            <w:shd w:val="clear" w:color="auto" w:fill="FFFFFF" w:themeFill="background1"/>
            <w:vAlign w:val="center"/>
          </w:tcPr>
          <w:p w14:paraId="754831D0"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16 (0.1%)</w:t>
            </w:r>
          </w:p>
        </w:tc>
        <w:tc>
          <w:tcPr>
            <w:tcW w:w="0" w:type="auto"/>
            <w:tcBorders>
              <w:top w:val="nil"/>
              <w:left w:val="single" w:sz="4" w:space="0" w:color="auto"/>
              <w:bottom w:val="nil"/>
              <w:right w:val="nil"/>
            </w:tcBorders>
            <w:shd w:val="clear" w:color="auto" w:fill="FFFFFF" w:themeFill="background1"/>
            <w:vAlign w:val="center"/>
          </w:tcPr>
          <w:p w14:paraId="6DABECD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 (0.2%)</w:t>
            </w:r>
          </w:p>
        </w:tc>
      </w:tr>
      <w:tr w:rsidR="003E405E" w:rsidRPr="003E405E" w14:paraId="03885E6F" w14:textId="77777777" w:rsidTr="00B164B5">
        <w:trPr>
          <w:trHeight w:val="170"/>
        </w:trPr>
        <w:tc>
          <w:tcPr>
            <w:tcW w:w="0" w:type="auto"/>
            <w:tcBorders>
              <w:top w:val="nil"/>
              <w:left w:val="nil"/>
              <w:bottom w:val="nil"/>
              <w:right w:val="single" w:sz="4" w:space="0" w:color="auto"/>
            </w:tcBorders>
            <w:shd w:val="clear" w:color="auto" w:fill="FFFFFF" w:themeFill="background1"/>
            <w:noWrap/>
            <w:tcMar>
              <w:top w:w="60" w:type="dxa"/>
              <w:left w:w="60" w:type="dxa"/>
              <w:bottom w:w="60" w:type="dxa"/>
              <w:right w:w="180" w:type="dxa"/>
            </w:tcMar>
            <w:vAlign w:val="center"/>
            <w:hideMark/>
          </w:tcPr>
          <w:p w14:paraId="5903CE39" w14:textId="4525C26B"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Total Energy</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(kcal/d)</w:t>
            </w:r>
          </w:p>
        </w:tc>
        <w:tc>
          <w:tcPr>
            <w:tcW w:w="0" w:type="auto"/>
            <w:tcBorders>
              <w:top w:val="nil"/>
              <w:left w:val="single" w:sz="4" w:space="0" w:color="auto"/>
              <w:bottom w:val="nil"/>
              <w:right w:val="single" w:sz="4" w:space="0" w:color="auto"/>
            </w:tcBorders>
            <w:shd w:val="clear" w:color="auto" w:fill="FFFFFF" w:themeFill="background1"/>
            <w:vAlign w:val="center"/>
          </w:tcPr>
          <w:p w14:paraId="020B472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1950 ± 526</w:t>
            </w:r>
          </w:p>
        </w:tc>
        <w:tc>
          <w:tcPr>
            <w:tcW w:w="0" w:type="auto"/>
            <w:tcBorders>
              <w:top w:val="nil"/>
              <w:left w:val="single" w:sz="4" w:space="0" w:color="auto"/>
              <w:bottom w:val="nil"/>
              <w:right w:val="nil"/>
            </w:tcBorders>
            <w:shd w:val="clear" w:color="auto" w:fill="FFFFFF" w:themeFill="background1"/>
            <w:vAlign w:val="center"/>
          </w:tcPr>
          <w:p w14:paraId="05B4C8C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1940 ± 517</w:t>
            </w:r>
          </w:p>
        </w:tc>
      </w:tr>
      <w:tr w:rsidR="003E405E" w:rsidRPr="003E405E" w14:paraId="62F29A12"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219B7965" w14:textId="54A06840"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Fruit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648CE14C"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166 ± 126</w:t>
            </w:r>
          </w:p>
        </w:tc>
        <w:tc>
          <w:tcPr>
            <w:tcW w:w="0" w:type="auto"/>
            <w:tcBorders>
              <w:top w:val="nil"/>
              <w:left w:val="single" w:sz="4" w:space="0" w:color="auto"/>
              <w:bottom w:val="nil"/>
              <w:right w:val="nil"/>
            </w:tcBorders>
            <w:shd w:val="clear" w:color="auto" w:fill="FFFFFF"/>
            <w:vAlign w:val="center"/>
          </w:tcPr>
          <w:p w14:paraId="0BAC101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168 ± 125</w:t>
            </w:r>
          </w:p>
        </w:tc>
      </w:tr>
      <w:tr w:rsidR="003E405E" w:rsidRPr="003E405E" w14:paraId="201ACD6F"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100DA292" w14:textId="28CC2FE0"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Vegetable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76228271"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152 ± 76.9</w:t>
            </w:r>
          </w:p>
        </w:tc>
        <w:tc>
          <w:tcPr>
            <w:tcW w:w="0" w:type="auto"/>
            <w:tcBorders>
              <w:top w:val="nil"/>
              <w:left w:val="single" w:sz="4" w:space="0" w:color="auto"/>
              <w:bottom w:val="nil"/>
              <w:right w:val="nil"/>
            </w:tcBorders>
            <w:shd w:val="clear" w:color="auto" w:fill="FFFFFF"/>
            <w:vAlign w:val="center"/>
          </w:tcPr>
          <w:p w14:paraId="24F32D3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150 ± 68.6</w:t>
            </w:r>
          </w:p>
        </w:tc>
      </w:tr>
      <w:tr w:rsidR="003E405E" w:rsidRPr="003E405E" w14:paraId="2D1EBC39"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3F47DA1D" w14:textId="3C5568EF"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Fatty fish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42876C9E"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12.3 ± 20.4</w:t>
            </w:r>
          </w:p>
        </w:tc>
        <w:tc>
          <w:tcPr>
            <w:tcW w:w="0" w:type="auto"/>
            <w:tcBorders>
              <w:top w:val="nil"/>
              <w:left w:val="single" w:sz="4" w:space="0" w:color="auto"/>
              <w:bottom w:val="nil"/>
              <w:right w:val="nil"/>
            </w:tcBorders>
            <w:shd w:val="clear" w:color="auto" w:fill="FFFFFF"/>
            <w:vAlign w:val="center"/>
          </w:tcPr>
          <w:p w14:paraId="605EBA5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13.3 ± 22.3</w:t>
            </w:r>
          </w:p>
        </w:tc>
      </w:tr>
      <w:tr w:rsidR="003E405E" w:rsidRPr="003E405E" w14:paraId="3564669D"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0F27A7C8" w14:textId="33A77A62"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White fish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7F5C6BA9"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15.5 ± 18.5</w:t>
            </w:r>
          </w:p>
        </w:tc>
        <w:tc>
          <w:tcPr>
            <w:tcW w:w="0" w:type="auto"/>
            <w:tcBorders>
              <w:top w:val="nil"/>
              <w:left w:val="single" w:sz="4" w:space="0" w:color="auto"/>
              <w:bottom w:val="nil"/>
              <w:right w:val="nil"/>
            </w:tcBorders>
            <w:shd w:val="clear" w:color="auto" w:fill="FFFFFF"/>
            <w:vAlign w:val="center"/>
          </w:tcPr>
          <w:p w14:paraId="179B219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15.9 ± 17.6</w:t>
            </w:r>
          </w:p>
        </w:tc>
      </w:tr>
      <w:tr w:rsidR="003E405E" w:rsidRPr="003E405E" w14:paraId="3B82D4E3"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67C156D2" w14:textId="3B0EC81C" w:rsidR="003E405E" w:rsidRPr="003E405E" w:rsidRDefault="003E405E" w:rsidP="004E3041">
            <w:pPr>
              <w:widowControl/>
              <w:spacing w:line="180" w:lineRule="exact"/>
              <w:rPr>
                <w:rFonts w:eastAsia="Times New Roman" w:cs="Times New Roman"/>
                <w:b/>
                <w:bCs/>
                <w:color w:val="000000"/>
                <w:kern w:val="0"/>
                <w:sz w:val="20"/>
                <w:szCs w:val="20"/>
              </w:rPr>
            </w:pPr>
            <w:r w:rsidRPr="003E405E">
              <w:rPr>
                <w:rFonts w:eastAsia="Times New Roman" w:cs="Times New Roman"/>
                <w:b/>
                <w:bCs/>
                <w:color w:val="000000"/>
                <w:kern w:val="0"/>
                <w:sz w:val="20"/>
                <w:szCs w:val="20"/>
              </w:rPr>
              <w:t>Legumes intake</w:t>
            </w:r>
            <w:r w:rsidR="009934F4">
              <w:rPr>
                <w:rFonts w:eastAsia="Times New Roman" w:cs="Times New Roman"/>
                <w:b/>
                <w:bCs/>
                <w:color w:val="000000"/>
                <w:kern w:val="0"/>
                <w:sz w:val="20"/>
                <w:szCs w:val="20"/>
              </w:rPr>
              <w:t xml:space="preserve"> </w:t>
            </w:r>
            <w:r w:rsidRPr="003E405E">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7F2CA28F" w14:textId="77777777" w:rsidR="003E405E" w:rsidRPr="003E405E" w:rsidRDefault="003E405E" w:rsidP="003E405E">
            <w:pPr>
              <w:widowControl/>
              <w:spacing w:line="180" w:lineRule="exact"/>
              <w:jc w:val="center"/>
              <w:rPr>
                <w:rFonts w:eastAsia="Times New Roman" w:cs="Times New Roman"/>
                <w:color w:val="000000"/>
                <w:kern w:val="0"/>
                <w:sz w:val="20"/>
                <w:szCs w:val="20"/>
              </w:rPr>
            </w:pPr>
            <w:r w:rsidRPr="003E405E">
              <w:rPr>
                <w:rFonts w:eastAsia="Times New Roman" w:cs="Times New Roman"/>
                <w:color w:val="000000"/>
                <w:kern w:val="0"/>
                <w:sz w:val="20"/>
                <w:szCs w:val="20"/>
              </w:rPr>
              <w:t>28.6 ± 30.2</w:t>
            </w:r>
          </w:p>
        </w:tc>
        <w:tc>
          <w:tcPr>
            <w:tcW w:w="0" w:type="auto"/>
            <w:tcBorders>
              <w:top w:val="nil"/>
              <w:left w:val="single" w:sz="4" w:space="0" w:color="auto"/>
              <w:bottom w:val="nil"/>
              <w:right w:val="nil"/>
            </w:tcBorders>
            <w:shd w:val="clear" w:color="auto" w:fill="FFFFFF"/>
            <w:vAlign w:val="center"/>
          </w:tcPr>
          <w:p w14:paraId="6E6533D8" w14:textId="77777777" w:rsidR="003E405E" w:rsidRPr="003E405E" w:rsidRDefault="003E405E" w:rsidP="003E405E">
            <w:pPr>
              <w:spacing w:line="180" w:lineRule="exact"/>
              <w:jc w:val="center"/>
              <w:rPr>
                <w:rFonts w:cs="Times New Roman"/>
                <w:color w:val="000000"/>
                <w:sz w:val="20"/>
                <w:szCs w:val="20"/>
              </w:rPr>
            </w:pPr>
            <w:r w:rsidRPr="003E405E">
              <w:rPr>
                <w:rFonts w:cs="Times New Roman"/>
                <w:color w:val="000000"/>
                <w:sz w:val="20"/>
                <w:szCs w:val="20"/>
              </w:rPr>
              <w:t>26.7 ± 26.9</w:t>
            </w:r>
          </w:p>
        </w:tc>
      </w:tr>
      <w:tr w:rsidR="003E405E" w:rsidRPr="003E405E" w14:paraId="42A9E1BE"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252DE634" w14:textId="411FB117"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Nuts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6CE5154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2.31 ± 6.51</w:t>
            </w:r>
          </w:p>
        </w:tc>
        <w:tc>
          <w:tcPr>
            <w:tcW w:w="0" w:type="auto"/>
            <w:tcBorders>
              <w:top w:val="nil"/>
              <w:left w:val="single" w:sz="4" w:space="0" w:color="auto"/>
              <w:bottom w:val="nil"/>
              <w:right w:val="nil"/>
            </w:tcBorders>
            <w:shd w:val="clear" w:color="auto" w:fill="FFFFFF"/>
            <w:vAlign w:val="center"/>
          </w:tcPr>
          <w:p w14:paraId="2B6E546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2.18 ± 5.64</w:t>
            </w:r>
          </w:p>
        </w:tc>
      </w:tr>
      <w:tr w:rsidR="003E405E" w:rsidRPr="003E405E" w14:paraId="7A59C72C" w14:textId="77777777" w:rsidTr="00B164B5">
        <w:trPr>
          <w:trHeight w:val="170"/>
        </w:trPr>
        <w:tc>
          <w:tcPr>
            <w:tcW w:w="0" w:type="auto"/>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0A461171" w14:textId="77D98DCD"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Dairy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nil"/>
              <w:right w:val="single" w:sz="4" w:space="0" w:color="auto"/>
            </w:tcBorders>
            <w:shd w:val="clear" w:color="auto" w:fill="FFFFFF"/>
            <w:vAlign w:val="center"/>
          </w:tcPr>
          <w:p w14:paraId="3D17C03E"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222 ± 146</w:t>
            </w:r>
          </w:p>
        </w:tc>
        <w:tc>
          <w:tcPr>
            <w:tcW w:w="0" w:type="auto"/>
            <w:tcBorders>
              <w:top w:val="nil"/>
              <w:left w:val="single" w:sz="4" w:space="0" w:color="auto"/>
              <w:bottom w:val="nil"/>
              <w:right w:val="nil"/>
            </w:tcBorders>
            <w:shd w:val="clear" w:color="auto" w:fill="FFFFFF"/>
            <w:vAlign w:val="center"/>
          </w:tcPr>
          <w:p w14:paraId="5336DA1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217 ± 142</w:t>
            </w:r>
          </w:p>
        </w:tc>
      </w:tr>
      <w:tr w:rsidR="003E405E" w:rsidRPr="003E405E" w14:paraId="4C5DDCEB" w14:textId="77777777" w:rsidTr="00B164B5">
        <w:trPr>
          <w:trHeight w:val="170"/>
        </w:trPr>
        <w:tc>
          <w:tcPr>
            <w:tcW w:w="0" w:type="auto"/>
            <w:tcBorders>
              <w:top w:val="nil"/>
              <w:left w:val="nil"/>
              <w:right w:val="single" w:sz="4" w:space="0" w:color="auto"/>
            </w:tcBorders>
            <w:shd w:val="clear" w:color="auto" w:fill="FFFFFF"/>
            <w:noWrap/>
            <w:tcMar>
              <w:top w:w="60" w:type="dxa"/>
              <w:left w:w="60" w:type="dxa"/>
              <w:bottom w:w="60" w:type="dxa"/>
              <w:right w:w="180" w:type="dxa"/>
            </w:tcMar>
            <w:vAlign w:val="center"/>
            <w:hideMark/>
          </w:tcPr>
          <w:p w14:paraId="613AD7DF" w14:textId="7021F87E"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Egg 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right w:val="single" w:sz="4" w:space="0" w:color="auto"/>
            </w:tcBorders>
            <w:shd w:val="clear" w:color="auto" w:fill="FFFFFF"/>
            <w:vAlign w:val="center"/>
          </w:tcPr>
          <w:p w14:paraId="29786DA4"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14.3 ± 17.4</w:t>
            </w:r>
          </w:p>
        </w:tc>
        <w:tc>
          <w:tcPr>
            <w:tcW w:w="0" w:type="auto"/>
            <w:tcBorders>
              <w:top w:val="nil"/>
              <w:left w:val="single" w:sz="4" w:space="0" w:color="auto"/>
              <w:right w:val="nil"/>
            </w:tcBorders>
            <w:shd w:val="clear" w:color="auto" w:fill="FFFFFF"/>
            <w:vAlign w:val="center"/>
          </w:tcPr>
          <w:p w14:paraId="0C12E81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14.0 ± 17.0</w:t>
            </w:r>
          </w:p>
        </w:tc>
      </w:tr>
      <w:tr w:rsidR="003E405E" w:rsidRPr="003E405E" w14:paraId="01A1A0F5" w14:textId="77777777" w:rsidTr="00B164B5">
        <w:trPr>
          <w:trHeight w:val="170"/>
        </w:trPr>
        <w:tc>
          <w:tcPr>
            <w:tcW w:w="0" w:type="auto"/>
            <w:tcBorders>
              <w:top w:val="nil"/>
              <w:left w:val="nil"/>
              <w:bottom w:val="single" w:sz="4" w:space="0" w:color="auto"/>
              <w:right w:val="single" w:sz="4" w:space="0" w:color="auto"/>
            </w:tcBorders>
            <w:shd w:val="clear" w:color="auto" w:fill="FFFFFF"/>
            <w:noWrap/>
            <w:tcMar>
              <w:top w:w="60" w:type="dxa"/>
              <w:left w:w="60" w:type="dxa"/>
              <w:bottom w:w="60" w:type="dxa"/>
              <w:right w:w="180" w:type="dxa"/>
            </w:tcMar>
            <w:vAlign w:val="center"/>
            <w:hideMark/>
          </w:tcPr>
          <w:p w14:paraId="47F1102B" w14:textId="652C827D" w:rsidR="003E405E" w:rsidRPr="00DC08FA" w:rsidRDefault="003E405E" w:rsidP="004E3041">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Sugar</w:t>
            </w:r>
            <w:r w:rsidR="00160359">
              <w:rPr>
                <w:rFonts w:eastAsia="Times New Roman" w:cs="Times New Roman"/>
                <w:b/>
                <w:bCs/>
                <w:color w:val="000000"/>
                <w:kern w:val="0"/>
                <w:sz w:val="20"/>
                <w:szCs w:val="20"/>
              </w:rPr>
              <w:t xml:space="preserve"> sweetened</w:t>
            </w:r>
            <w:r w:rsidRPr="00DC08FA">
              <w:rPr>
                <w:rFonts w:eastAsia="Times New Roman" w:cs="Times New Roman"/>
                <w:b/>
                <w:bCs/>
                <w:color w:val="000000"/>
                <w:kern w:val="0"/>
                <w:sz w:val="20"/>
                <w:szCs w:val="20"/>
              </w:rPr>
              <w:t xml:space="preserve"> beverages</w:t>
            </w:r>
            <w:r w:rsidRPr="00DC08FA" w:rsidDel="00F27BFB">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intake</w:t>
            </w:r>
            <w:r w:rsidR="009934F4">
              <w:rPr>
                <w:rFonts w:eastAsia="Times New Roman" w:cs="Times New Roman"/>
                <w:b/>
                <w:bCs/>
                <w:color w:val="000000"/>
                <w:kern w:val="0"/>
                <w:sz w:val="20"/>
                <w:szCs w:val="20"/>
              </w:rPr>
              <w:t xml:space="preserve"> </w:t>
            </w:r>
            <w:r w:rsidRPr="00DC08FA">
              <w:rPr>
                <w:rFonts w:eastAsia="Times New Roman" w:cs="Times New Roman"/>
                <w:b/>
                <w:bCs/>
                <w:color w:val="000000"/>
                <w:kern w:val="0"/>
                <w:sz w:val="20"/>
                <w:szCs w:val="20"/>
              </w:rPr>
              <w:t>(g/d)</w:t>
            </w:r>
          </w:p>
        </w:tc>
        <w:tc>
          <w:tcPr>
            <w:tcW w:w="0" w:type="auto"/>
            <w:tcBorders>
              <w:top w:val="nil"/>
              <w:left w:val="single" w:sz="4" w:space="0" w:color="auto"/>
              <w:bottom w:val="single" w:sz="4" w:space="0" w:color="auto"/>
              <w:right w:val="single" w:sz="4" w:space="0" w:color="auto"/>
            </w:tcBorders>
            <w:shd w:val="clear" w:color="auto" w:fill="FFFFFF"/>
            <w:vAlign w:val="center"/>
          </w:tcPr>
          <w:p w14:paraId="0606119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32.9 ± 78.6</w:t>
            </w:r>
          </w:p>
        </w:tc>
        <w:tc>
          <w:tcPr>
            <w:tcW w:w="0" w:type="auto"/>
            <w:tcBorders>
              <w:top w:val="nil"/>
              <w:left w:val="single" w:sz="4" w:space="0" w:color="auto"/>
              <w:bottom w:val="single" w:sz="4" w:space="0" w:color="auto"/>
              <w:right w:val="nil"/>
            </w:tcBorders>
            <w:shd w:val="clear" w:color="auto" w:fill="FFFFFF"/>
            <w:vAlign w:val="center"/>
          </w:tcPr>
          <w:p w14:paraId="31DCE09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30.8 ± 65.5</w:t>
            </w:r>
          </w:p>
        </w:tc>
      </w:tr>
    </w:tbl>
    <w:p w14:paraId="68DD5F84" w14:textId="77777777" w:rsidR="009934F4" w:rsidRPr="00DC08FA" w:rsidRDefault="003E405E" w:rsidP="00DC08FA">
      <w:pPr>
        <w:pStyle w:val="paragraph"/>
        <w:spacing w:before="0" w:beforeAutospacing="0" w:after="0" w:afterAutospacing="0"/>
        <w:textAlignment w:val="baseline"/>
        <w:rPr>
          <w:sz w:val="22"/>
        </w:rPr>
      </w:pPr>
      <w:r w:rsidRPr="00DC08FA">
        <w:rPr>
          <w:sz w:val="22"/>
          <w:vertAlign w:val="superscript"/>
        </w:rPr>
        <w:t>1</w:t>
      </w:r>
      <w:r w:rsidRPr="00DC08FA">
        <w:rPr>
          <w:sz w:val="22"/>
        </w:rPr>
        <w:t>Values are mean ± SD for continuous variables and n (%) for categorical variables.</w:t>
      </w:r>
    </w:p>
    <w:p w14:paraId="652F47C9" w14:textId="57A90780" w:rsidR="007E7809" w:rsidRDefault="009934F4" w:rsidP="00DC08FA">
      <w:pPr>
        <w:pStyle w:val="paragraph"/>
        <w:spacing w:before="0" w:beforeAutospacing="0" w:after="0" w:afterAutospacing="0"/>
        <w:textAlignment w:val="baseline"/>
        <w:rPr>
          <w:rFonts w:eastAsiaTheme="majorEastAsia" w:cstheme="majorBidi"/>
          <w:b/>
          <w:szCs w:val="32"/>
        </w:rPr>
      </w:pPr>
      <w:proofErr w:type="gramStart"/>
      <w:r w:rsidRPr="00DC08FA">
        <w:rPr>
          <w:sz w:val="22"/>
        </w:rPr>
        <w:t>g/d</w:t>
      </w:r>
      <w:proofErr w:type="gramEnd"/>
      <w:r w:rsidRPr="00DC08FA">
        <w:rPr>
          <w:sz w:val="22"/>
        </w:rPr>
        <w:t>, grams per day.</w:t>
      </w:r>
      <w:r w:rsidR="007E7809">
        <w:br w:type="page"/>
      </w:r>
    </w:p>
    <w:p w14:paraId="6BA0611E" w14:textId="77777777" w:rsidR="007E7809" w:rsidRDefault="007E7809" w:rsidP="00EF3667">
      <w:pPr>
        <w:pStyle w:val="Heading2"/>
        <w:sectPr w:rsidR="007E7809" w:rsidSect="007E7809">
          <w:type w:val="continuous"/>
          <w:pgSz w:w="11906" w:h="16838"/>
          <w:pgMar w:top="1440" w:right="1440" w:bottom="1440" w:left="1440" w:header="708" w:footer="708" w:gutter="0"/>
          <w:cols w:space="708"/>
          <w:docGrid w:linePitch="360"/>
        </w:sectPr>
      </w:pPr>
    </w:p>
    <w:p w14:paraId="4BFDE0E8" w14:textId="392BC3F0" w:rsidR="007E7809" w:rsidRDefault="007E7809" w:rsidP="00EF3667">
      <w:pPr>
        <w:pStyle w:val="Heading2"/>
      </w:pPr>
      <w:r>
        <w:lastRenderedPageBreak/>
        <w:t>Table 2. Metabolites from the red meat metabolomics score that were positively associated with red meat consumption in both the EPIC-Norfolk and the randomized cross-over trial.</w:t>
      </w:r>
    </w:p>
    <w:tbl>
      <w:tblPr>
        <w:tblStyle w:val="PlainTable21"/>
        <w:tblW w:w="13958" w:type="dxa"/>
        <w:tblLayout w:type="fixed"/>
        <w:tblLook w:val="04A0" w:firstRow="1" w:lastRow="0" w:firstColumn="1" w:lastColumn="0" w:noHBand="0" w:noVBand="1"/>
      </w:tblPr>
      <w:tblGrid>
        <w:gridCol w:w="1916"/>
        <w:gridCol w:w="1412"/>
        <w:gridCol w:w="1208"/>
        <w:gridCol w:w="1490"/>
        <w:gridCol w:w="1771"/>
        <w:gridCol w:w="1559"/>
        <w:gridCol w:w="1984"/>
        <w:gridCol w:w="1843"/>
        <w:gridCol w:w="775"/>
      </w:tblGrid>
      <w:tr w:rsidR="007E7809" w:rsidRPr="00A81A5A" w14:paraId="65EEDCF1" w14:textId="77777777" w:rsidTr="00DC08F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16" w:type="dxa"/>
            <w:vAlign w:val="center"/>
            <w:hideMark/>
          </w:tcPr>
          <w:p w14:paraId="65A9F520" w14:textId="58709D62" w:rsidR="007E7809" w:rsidRPr="00A81A5A" w:rsidRDefault="007E7809" w:rsidP="00D902CA">
            <w:pPr>
              <w:pStyle w:val="paragraph"/>
              <w:spacing w:before="0" w:beforeAutospacing="0" w:after="0" w:afterAutospacing="0"/>
              <w:jc w:val="center"/>
              <w:textAlignment w:val="baseline"/>
              <w:rPr>
                <w:sz w:val="22"/>
                <w:szCs w:val="22"/>
              </w:rPr>
            </w:pPr>
            <w:r w:rsidRPr="00A81A5A">
              <w:rPr>
                <w:rStyle w:val="normaltextrun"/>
                <w:rFonts w:eastAsiaTheme="majorEastAsia"/>
                <w:b w:val="0"/>
                <w:bCs w:val="0"/>
                <w:sz w:val="22"/>
                <w:szCs w:val="22"/>
                <w:lang w:val="fr-FR"/>
              </w:rPr>
              <w:t>Name</w:t>
            </w:r>
          </w:p>
        </w:tc>
        <w:tc>
          <w:tcPr>
            <w:tcW w:w="1412" w:type="dxa"/>
            <w:vAlign w:val="center"/>
            <w:hideMark/>
          </w:tcPr>
          <w:p w14:paraId="442DCC74" w14:textId="73529091"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b w:val="0"/>
                <w:bCs w:val="0"/>
                <w:sz w:val="22"/>
                <w:szCs w:val="22"/>
                <w:lang w:val="fr-FR"/>
              </w:rPr>
              <w:t>Formula</w:t>
            </w:r>
          </w:p>
        </w:tc>
        <w:tc>
          <w:tcPr>
            <w:tcW w:w="1208" w:type="dxa"/>
            <w:vAlign w:val="center"/>
            <w:hideMark/>
          </w:tcPr>
          <w:p w14:paraId="2C095356" w14:textId="4180EDF5"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b w:val="0"/>
                <w:bCs w:val="0"/>
                <w:sz w:val="22"/>
                <w:szCs w:val="22"/>
                <w:lang w:val="fr-FR"/>
              </w:rPr>
              <w:t>Fold-change</w:t>
            </w:r>
            <w:r w:rsidRPr="00A81A5A">
              <w:rPr>
                <w:rStyle w:val="normaltextrun"/>
                <w:rFonts w:eastAsiaTheme="majorEastAsia"/>
                <w:b w:val="0"/>
                <w:bCs w:val="0"/>
                <w:sz w:val="22"/>
                <w:szCs w:val="22"/>
                <w:vertAlign w:val="superscript"/>
                <w:lang w:val="fr-FR"/>
              </w:rPr>
              <w:t>1</w:t>
            </w:r>
          </w:p>
        </w:tc>
        <w:tc>
          <w:tcPr>
            <w:tcW w:w="1490" w:type="dxa"/>
            <w:vAlign w:val="center"/>
            <w:hideMark/>
          </w:tcPr>
          <w:p w14:paraId="7CCED1DF" w14:textId="5F0898AA"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b w:val="0"/>
                <w:bCs w:val="0"/>
                <w:sz w:val="22"/>
                <w:szCs w:val="22"/>
                <w:lang w:val="fr-FR"/>
              </w:rPr>
              <w:t>p-value</w:t>
            </w:r>
          </w:p>
        </w:tc>
        <w:tc>
          <w:tcPr>
            <w:tcW w:w="1771" w:type="dxa"/>
            <w:vAlign w:val="center"/>
            <w:hideMark/>
          </w:tcPr>
          <w:p w14:paraId="25564ABB" w14:textId="77777777"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eastAsiaTheme="majorEastAsia"/>
                <w:sz w:val="22"/>
                <w:szCs w:val="22"/>
              </w:rPr>
            </w:pPr>
            <w:r w:rsidRPr="00A81A5A">
              <w:rPr>
                <w:rStyle w:val="eop"/>
                <w:rFonts w:eastAsiaTheme="majorEastAsia"/>
                <w:b w:val="0"/>
                <w:bCs w:val="0"/>
                <w:sz w:val="22"/>
                <w:szCs w:val="22"/>
              </w:rPr>
              <w:t>Chromatographic</w:t>
            </w:r>
          </w:p>
          <w:p w14:paraId="7A7D9F01" w14:textId="77777777"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eop"/>
                <w:rFonts w:eastAsiaTheme="majorEastAsia"/>
                <w:b w:val="0"/>
                <w:bCs w:val="0"/>
                <w:sz w:val="22"/>
                <w:szCs w:val="22"/>
              </w:rPr>
              <w:t>M</w:t>
            </w:r>
            <w:proofErr w:type="spellStart"/>
            <w:r w:rsidRPr="00A81A5A">
              <w:rPr>
                <w:rStyle w:val="normaltextrun"/>
                <w:rFonts w:eastAsiaTheme="majorEastAsia"/>
                <w:b w:val="0"/>
                <w:bCs w:val="0"/>
                <w:sz w:val="22"/>
                <w:szCs w:val="22"/>
                <w:lang w:val="fr-FR"/>
              </w:rPr>
              <w:t>ethod</w:t>
            </w:r>
            <w:proofErr w:type="spellEnd"/>
            <w:r w:rsidRPr="00A81A5A">
              <w:rPr>
                <w:rStyle w:val="eop"/>
                <w:rFonts w:eastAsiaTheme="majorEastAsia"/>
                <w:b w:val="0"/>
                <w:bCs w:val="0"/>
                <w:sz w:val="22"/>
                <w:szCs w:val="22"/>
                <w:vertAlign w:val="superscript"/>
              </w:rPr>
              <w:t>2</w:t>
            </w:r>
          </w:p>
        </w:tc>
        <w:tc>
          <w:tcPr>
            <w:tcW w:w="1559" w:type="dxa"/>
            <w:vAlign w:val="center"/>
            <w:hideMark/>
          </w:tcPr>
          <w:p w14:paraId="4049D69C" w14:textId="45E46A9C"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A81A5A">
              <w:rPr>
                <w:rStyle w:val="normaltextrun"/>
                <w:rFonts w:eastAsiaTheme="majorEastAsia"/>
                <w:b w:val="0"/>
                <w:bCs w:val="0"/>
                <w:sz w:val="22"/>
                <w:szCs w:val="22"/>
                <w:lang w:val="fr-FR"/>
              </w:rPr>
              <w:t>Retention</w:t>
            </w:r>
            <w:proofErr w:type="spellEnd"/>
            <w:r w:rsidRPr="00A81A5A">
              <w:rPr>
                <w:rStyle w:val="normaltextrun"/>
                <w:rFonts w:eastAsiaTheme="majorEastAsia"/>
                <w:b w:val="0"/>
                <w:bCs w:val="0"/>
                <w:sz w:val="22"/>
                <w:szCs w:val="22"/>
                <w:lang w:val="fr-FR"/>
              </w:rPr>
              <w:t> time [min]</w:t>
            </w:r>
          </w:p>
        </w:tc>
        <w:tc>
          <w:tcPr>
            <w:tcW w:w="1984" w:type="dxa"/>
            <w:vAlign w:val="center"/>
            <w:hideMark/>
          </w:tcPr>
          <w:p w14:paraId="6BBAF237" w14:textId="77777777"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b w:val="0"/>
                <w:bCs w:val="0"/>
                <w:sz w:val="22"/>
                <w:szCs w:val="22"/>
                <w:lang w:val="fr-FR"/>
              </w:rPr>
              <w:t>Confidence </w:t>
            </w:r>
            <w:proofErr w:type="spellStart"/>
            <w:r w:rsidRPr="00A81A5A">
              <w:rPr>
                <w:rStyle w:val="normaltextrun"/>
                <w:rFonts w:eastAsiaTheme="majorEastAsia"/>
                <w:b w:val="0"/>
                <w:bCs w:val="0"/>
                <w:sz w:val="22"/>
                <w:szCs w:val="22"/>
                <w:lang w:val="fr-FR"/>
              </w:rPr>
              <w:t>level</w:t>
            </w:r>
            <w:proofErr w:type="spellEnd"/>
            <w:r w:rsidRPr="00A81A5A">
              <w:rPr>
                <w:rStyle w:val="normaltextrun"/>
                <w:rFonts w:eastAsiaTheme="majorEastAsia"/>
                <w:b w:val="0"/>
                <w:bCs w:val="0"/>
                <w:sz w:val="22"/>
                <w:szCs w:val="22"/>
                <w:lang w:val="fr-FR"/>
              </w:rPr>
              <w:t> of identification</w:t>
            </w:r>
            <w:r w:rsidRPr="00A81A5A">
              <w:rPr>
                <w:rStyle w:val="eop"/>
                <w:rFonts w:eastAsiaTheme="majorEastAsia"/>
                <w:sz w:val="22"/>
                <w:szCs w:val="22"/>
                <w:vertAlign w:val="superscript"/>
              </w:rPr>
              <w:t>3</w:t>
            </w:r>
          </w:p>
        </w:tc>
        <w:tc>
          <w:tcPr>
            <w:tcW w:w="1843" w:type="dxa"/>
            <w:vAlign w:val="center"/>
            <w:hideMark/>
          </w:tcPr>
          <w:p w14:paraId="7DEB161F" w14:textId="66DAB59E"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b w:val="0"/>
                <w:bCs w:val="0"/>
                <w:sz w:val="22"/>
                <w:szCs w:val="22"/>
                <w:lang w:val="fr-FR"/>
              </w:rPr>
              <w:t xml:space="preserve">MS </w:t>
            </w:r>
            <w:r>
              <w:rPr>
                <w:rStyle w:val="normaltextrun"/>
                <w:rFonts w:eastAsiaTheme="majorEastAsia"/>
                <w:b w:val="0"/>
                <w:bCs w:val="0"/>
                <w:sz w:val="22"/>
                <w:szCs w:val="22"/>
                <w:lang w:val="fr-FR"/>
              </w:rPr>
              <w:t>f</w:t>
            </w:r>
            <w:r w:rsidRPr="00A81A5A">
              <w:rPr>
                <w:rStyle w:val="normaltextrun"/>
                <w:rFonts w:eastAsiaTheme="majorEastAsia"/>
                <w:b w:val="0"/>
                <w:bCs w:val="0"/>
                <w:sz w:val="22"/>
                <w:szCs w:val="22"/>
                <w:lang w:val="fr-FR"/>
              </w:rPr>
              <w:t>ragments for identification</w:t>
            </w:r>
          </w:p>
        </w:tc>
        <w:tc>
          <w:tcPr>
            <w:tcW w:w="775" w:type="dxa"/>
            <w:vAlign w:val="center"/>
          </w:tcPr>
          <w:p w14:paraId="3EBCA410" w14:textId="6F764B28" w:rsidR="007E7809" w:rsidRPr="00A81A5A" w:rsidRDefault="007E7809" w:rsidP="00D902CA">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ajorEastAsia"/>
                <w:b w:val="0"/>
                <w:bCs w:val="0"/>
                <w:sz w:val="22"/>
                <w:szCs w:val="22"/>
                <w:lang w:val="fr-FR"/>
              </w:rPr>
            </w:pPr>
            <w:r>
              <w:rPr>
                <w:rStyle w:val="normaltextrun"/>
                <w:rFonts w:eastAsiaTheme="majorEastAsia"/>
                <w:b w:val="0"/>
                <w:bCs w:val="0"/>
                <w:sz w:val="22"/>
                <w:szCs w:val="22"/>
                <w:lang w:val="fr-FR"/>
              </w:rPr>
              <w:t>Rank</w:t>
            </w:r>
            <w:r w:rsidRPr="0091354A">
              <w:rPr>
                <w:rStyle w:val="normaltextrun"/>
                <w:rFonts w:eastAsiaTheme="majorEastAsia"/>
                <w:b w:val="0"/>
                <w:bCs w:val="0"/>
                <w:sz w:val="22"/>
                <w:szCs w:val="22"/>
                <w:vertAlign w:val="superscript"/>
                <w:lang w:val="fr-FR"/>
              </w:rPr>
              <w:t>4</w:t>
            </w:r>
          </w:p>
        </w:tc>
      </w:tr>
      <w:tr w:rsidR="007E7809" w:rsidRPr="00A81A5A" w14:paraId="2FA7613B" w14:textId="77777777" w:rsidTr="00DC08FA">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916" w:type="dxa"/>
            <w:vAlign w:val="center"/>
            <w:hideMark/>
          </w:tcPr>
          <w:p w14:paraId="179EEF4E" w14:textId="77777777" w:rsidR="007E7809" w:rsidRPr="00A81A5A" w:rsidRDefault="007E7809" w:rsidP="00DC08FA">
            <w:pPr>
              <w:pStyle w:val="paragraph"/>
              <w:spacing w:before="0" w:beforeAutospacing="0" w:after="0" w:afterAutospacing="0"/>
              <w:jc w:val="center"/>
              <w:textAlignment w:val="baseline"/>
              <w:rPr>
                <w:b w:val="0"/>
                <w:sz w:val="22"/>
                <w:szCs w:val="22"/>
              </w:rPr>
            </w:pPr>
            <w:r w:rsidRPr="00A81A5A">
              <w:rPr>
                <w:rStyle w:val="normaltextrun"/>
                <w:rFonts w:eastAsiaTheme="majorEastAsia"/>
                <w:b w:val="0"/>
                <w:sz w:val="22"/>
                <w:szCs w:val="22"/>
              </w:rPr>
              <w:t>1-(1-enyl-stearoyl)-2-arachidonoyl-GPE (P-18:0/20:4)</w:t>
            </w:r>
          </w:p>
        </w:tc>
        <w:tc>
          <w:tcPr>
            <w:tcW w:w="1412" w:type="dxa"/>
            <w:vAlign w:val="center"/>
            <w:hideMark/>
          </w:tcPr>
          <w:p w14:paraId="474F5070" w14:textId="282E38CA"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43</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78</w:t>
            </w:r>
            <w:r w:rsidRPr="00A81A5A">
              <w:rPr>
                <w:rStyle w:val="normaltextrun"/>
                <w:rFonts w:eastAsiaTheme="majorEastAsia"/>
                <w:color w:val="000000"/>
                <w:sz w:val="22"/>
                <w:szCs w:val="22"/>
                <w:lang w:val="fr-FR"/>
              </w:rPr>
              <w:t>NO</w:t>
            </w:r>
            <w:r w:rsidRPr="00A81A5A">
              <w:rPr>
                <w:rStyle w:val="normaltextrun"/>
                <w:rFonts w:eastAsiaTheme="majorEastAsia"/>
                <w:color w:val="000000"/>
                <w:sz w:val="22"/>
                <w:szCs w:val="22"/>
                <w:vertAlign w:val="subscript"/>
                <w:lang w:val="fr-FR"/>
              </w:rPr>
              <w:t>7</w:t>
            </w:r>
            <w:r w:rsidRPr="00A81A5A">
              <w:rPr>
                <w:rStyle w:val="normaltextrun"/>
                <w:rFonts w:eastAsiaTheme="majorEastAsia"/>
                <w:color w:val="000000"/>
                <w:sz w:val="22"/>
                <w:szCs w:val="22"/>
                <w:lang w:val="fr-FR"/>
              </w:rPr>
              <w:t>P</w:t>
            </w:r>
          </w:p>
        </w:tc>
        <w:tc>
          <w:tcPr>
            <w:tcW w:w="1208" w:type="dxa"/>
            <w:vAlign w:val="center"/>
            <w:hideMark/>
          </w:tcPr>
          <w:p w14:paraId="48CDAF01" w14:textId="10456F95"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2.52</w:t>
            </w:r>
          </w:p>
        </w:tc>
        <w:tc>
          <w:tcPr>
            <w:tcW w:w="1490" w:type="dxa"/>
            <w:vAlign w:val="center"/>
            <w:hideMark/>
          </w:tcPr>
          <w:p w14:paraId="15BF9CCC" w14:textId="52D66492"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1.36 x 10</w:t>
            </w:r>
            <w:r w:rsidRPr="00A81A5A">
              <w:rPr>
                <w:rStyle w:val="normaltextrun"/>
                <w:rFonts w:eastAsiaTheme="majorEastAsia"/>
                <w:sz w:val="22"/>
                <w:szCs w:val="22"/>
                <w:vertAlign w:val="superscript"/>
              </w:rPr>
              <w:t>-6</w:t>
            </w:r>
          </w:p>
        </w:tc>
        <w:tc>
          <w:tcPr>
            <w:tcW w:w="1771" w:type="dxa"/>
            <w:vAlign w:val="center"/>
            <w:hideMark/>
          </w:tcPr>
          <w:p w14:paraId="72EEF302" w14:textId="05DD0CC9"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RP</w:t>
            </w:r>
          </w:p>
        </w:tc>
        <w:tc>
          <w:tcPr>
            <w:tcW w:w="1559" w:type="dxa"/>
            <w:vAlign w:val="center"/>
            <w:hideMark/>
          </w:tcPr>
          <w:p w14:paraId="53ED76B5" w14:textId="0C402309"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9.04, 9.43</w:t>
            </w:r>
          </w:p>
        </w:tc>
        <w:tc>
          <w:tcPr>
            <w:tcW w:w="1984" w:type="dxa"/>
            <w:vAlign w:val="center"/>
            <w:hideMark/>
          </w:tcPr>
          <w:p w14:paraId="57EFD5A5"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Level 2</w:t>
            </w:r>
          </w:p>
        </w:tc>
        <w:tc>
          <w:tcPr>
            <w:tcW w:w="1843" w:type="dxa"/>
            <w:vAlign w:val="center"/>
            <w:hideMark/>
          </w:tcPr>
          <w:p w14:paraId="26E3F741" w14:textId="138CC399"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361.2741</w:t>
            </w:r>
          </w:p>
          <w:p w14:paraId="12914A10" w14:textId="1A388852"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611.5296</w:t>
            </w:r>
          </w:p>
          <w:p w14:paraId="6AD30C4B" w14:textId="05D26D10"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392.2934</w:t>
            </w:r>
          </w:p>
        </w:tc>
        <w:tc>
          <w:tcPr>
            <w:tcW w:w="775" w:type="dxa"/>
            <w:vAlign w:val="center"/>
          </w:tcPr>
          <w:p w14:paraId="3D8B9A33"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1</w:t>
            </w:r>
          </w:p>
        </w:tc>
      </w:tr>
      <w:tr w:rsidR="007E7809" w:rsidRPr="00A81A5A" w14:paraId="1BABA30F" w14:textId="77777777" w:rsidTr="00DC08FA">
        <w:trPr>
          <w:trHeight w:val="300"/>
        </w:trPr>
        <w:tc>
          <w:tcPr>
            <w:cnfStyle w:val="001000000000" w:firstRow="0" w:lastRow="0" w:firstColumn="1" w:lastColumn="0" w:oddVBand="0" w:evenVBand="0" w:oddHBand="0" w:evenHBand="0" w:firstRowFirstColumn="0" w:firstRowLastColumn="0" w:lastRowFirstColumn="0" w:lastRowLastColumn="0"/>
            <w:tcW w:w="1916" w:type="dxa"/>
            <w:shd w:val="clear" w:color="auto" w:fill="auto"/>
            <w:vAlign w:val="center"/>
          </w:tcPr>
          <w:p w14:paraId="4349F1F2" w14:textId="77777777" w:rsidR="007E7809" w:rsidRPr="00BF0908" w:rsidRDefault="007E7809" w:rsidP="00DC08FA">
            <w:pPr>
              <w:pStyle w:val="paragraph"/>
              <w:spacing w:before="0" w:beforeAutospacing="0" w:after="0" w:afterAutospacing="0"/>
              <w:jc w:val="center"/>
              <w:textAlignment w:val="baseline"/>
              <w:rPr>
                <w:b w:val="0"/>
              </w:rPr>
            </w:pPr>
            <w:r w:rsidRPr="00BF0908">
              <w:rPr>
                <w:b w:val="0"/>
                <w:sz w:val="22"/>
                <w:szCs w:val="22"/>
              </w:rPr>
              <w:t>1-(1-enyl-stearoyl)-2-arachidonoyl-GPC (P-18:0/20:4)</w:t>
            </w:r>
          </w:p>
        </w:tc>
        <w:tc>
          <w:tcPr>
            <w:tcW w:w="1412" w:type="dxa"/>
            <w:shd w:val="clear" w:color="auto" w:fill="auto"/>
            <w:vAlign w:val="center"/>
          </w:tcPr>
          <w:p w14:paraId="06D39EC5"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C</w:t>
            </w:r>
            <w:r w:rsidRPr="00BF0908">
              <w:rPr>
                <w:sz w:val="22"/>
                <w:szCs w:val="22"/>
                <w:vertAlign w:val="subscript"/>
              </w:rPr>
              <w:t>46</w:t>
            </w:r>
            <w:r w:rsidRPr="00BF0908">
              <w:rPr>
                <w:sz w:val="22"/>
                <w:szCs w:val="22"/>
              </w:rPr>
              <w:t>H</w:t>
            </w:r>
            <w:r w:rsidRPr="00BF0908">
              <w:rPr>
                <w:sz w:val="22"/>
                <w:szCs w:val="22"/>
                <w:vertAlign w:val="subscript"/>
              </w:rPr>
              <w:t>84</w:t>
            </w:r>
            <w:r w:rsidRPr="00BF0908">
              <w:rPr>
                <w:sz w:val="22"/>
                <w:szCs w:val="22"/>
              </w:rPr>
              <w:t>NO</w:t>
            </w:r>
            <w:r w:rsidRPr="00BF0908">
              <w:rPr>
                <w:sz w:val="22"/>
                <w:szCs w:val="22"/>
                <w:vertAlign w:val="subscript"/>
              </w:rPr>
              <w:t>7</w:t>
            </w:r>
            <w:r w:rsidRPr="00BF0908">
              <w:rPr>
                <w:sz w:val="22"/>
                <w:szCs w:val="22"/>
              </w:rPr>
              <w:t>P</w:t>
            </w:r>
          </w:p>
        </w:tc>
        <w:tc>
          <w:tcPr>
            <w:tcW w:w="1208" w:type="dxa"/>
            <w:shd w:val="clear" w:color="auto" w:fill="auto"/>
            <w:vAlign w:val="center"/>
          </w:tcPr>
          <w:p w14:paraId="7F7E9479"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2.00</w:t>
            </w:r>
          </w:p>
        </w:tc>
        <w:tc>
          <w:tcPr>
            <w:tcW w:w="1490" w:type="dxa"/>
            <w:shd w:val="clear" w:color="auto" w:fill="auto"/>
            <w:vAlign w:val="center"/>
          </w:tcPr>
          <w:p w14:paraId="3612ECE7" w14:textId="74AEA5EC"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Pr>
                <w:sz w:val="22"/>
                <w:szCs w:val="22"/>
              </w:rPr>
              <w:t>6.69</w:t>
            </w:r>
            <w:r w:rsidRPr="00A81A5A">
              <w:rPr>
                <w:rStyle w:val="normaltextrun"/>
                <w:rFonts w:eastAsiaTheme="majorEastAsia"/>
                <w:sz w:val="22"/>
                <w:szCs w:val="22"/>
              </w:rPr>
              <w:t xml:space="preserve"> x 10</w:t>
            </w:r>
            <w:r w:rsidRPr="00A81A5A">
              <w:rPr>
                <w:rStyle w:val="normaltextrun"/>
                <w:rFonts w:eastAsiaTheme="majorEastAsia"/>
                <w:sz w:val="22"/>
                <w:szCs w:val="22"/>
                <w:vertAlign w:val="superscript"/>
              </w:rPr>
              <w:t>-6</w:t>
            </w:r>
          </w:p>
        </w:tc>
        <w:tc>
          <w:tcPr>
            <w:tcW w:w="1771" w:type="dxa"/>
            <w:shd w:val="clear" w:color="auto" w:fill="auto"/>
            <w:vAlign w:val="center"/>
          </w:tcPr>
          <w:p w14:paraId="0F173901"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RP</w:t>
            </w:r>
          </w:p>
        </w:tc>
        <w:tc>
          <w:tcPr>
            <w:tcW w:w="1559" w:type="dxa"/>
            <w:shd w:val="clear" w:color="auto" w:fill="auto"/>
            <w:vAlign w:val="center"/>
          </w:tcPr>
          <w:p w14:paraId="08F2A219"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9.1</w:t>
            </w:r>
          </w:p>
        </w:tc>
        <w:tc>
          <w:tcPr>
            <w:tcW w:w="1984" w:type="dxa"/>
            <w:shd w:val="clear" w:color="auto" w:fill="auto"/>
            <w:vAlign w:val="center"/>
          </w:tcPr>
          <w:p w14:paraId="5F415E8A"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Level 3</w:t>
            </w:r>
          </w:p>
        </w:tc>
        <w:tc>
          <w:tcPr>
            <w:tcW w:w="1843" w:type="dxa"/>
            <w:shd w:val="clear" w:color="auto" w:fill="auto"/>
            <w:vAlign w:val="center"/>
          </w:tcPr>
          <w:p w14:paraId="69D4BC95"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BF0908">
              <w:rPr>
                <w:sz w:val="22"/>
                <w:szCs w:val="22"/>
              </w:rPr>
              <w:t>184.0733</w:t>
            </w:r>
          </w:p>
        </w:tc>
        <w:tc>
          <w:tcPr>
            <w:tcW w:w="775" w:type="dxa"/>
            <w:vAlign w:val="center"/>
          </w:tcPr>
          <w:p w14:paraId="215381EA" w14:textId="77777777" w:rsidR="007E7809" w:rsidRPr="00BF0908"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r w:rsidR="007E7809" w:rsidRPr="00A81A5A" w14:paraId="509289EF" w14:textId="77777777" w:rsidTr="00DC0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229B4101" w14:textId="6B2047E4" w:rsidR="007E7809" w:rsidRPr="00A81A5A" w:rsidRDefault="007E7809" w:rsidP="00DC08FA">
            <w:pPr>
              <w:pStyle w:val="paragraph"/>
              <w:spacing w:before="0" w:beforeAutospacing="0" w:after="0" w:afterAutospacing="0"/>
              <w:jc w:val="center"/>
              <w:textAlignment w:val="baseline"/>
              <w:rPr>
                <w:rStyle w:val="normaltextrun"/>
                <w:rFonts w:eastAsiaTheme="majorEastAsia" w:cstheme="minorBidi"/>
                <w:b w:val="0"/>
                <w:bCs w:val="0"/>
                <w:kern w:val="2"/>
                <w:sz w:val="22"/>
                <w:szCs w:val="22"/>
              </w:rPr>
            </w:pPr>
            <w:r w:rsidRPr="00A81A5A">
              <w:rPr>
                <w:rStyle w:val="normaltextrun"/>
                <w:rFonts w:eastAsiaTheme="majorEastAsia"/>
                <w:b w:val="0"/>
                <w:sz w:val="22"/>
                <w:szCs w:val="22"/>
              </w:rPr>
              <w:t>4-Hydroxyproline</w:t>
            </w:r>
          </w:p>
        </w:tc>
        <w:tc>
          <w:tcPr>
            <w:tcW w:w="1412" w:type="dxa"/>
            <w:vAlign w:val="center"/>
          </w:tcPr>
          <w:p w14:paraId="391992F0" w14:textId="5072EB1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5</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9</w:t>
            </w:r>
            <w:r w:rsidRPr="00A81A5A">
              <w:rPr>
                <w:rStyle w:val="normaltextrun"/>
                <w:rFonts w:eastAsiaTheme="majorEastAsia"/>
                <w:color w:val="000000"/>
                <w:sz w:val="22"/>
                <w:szCs w:val="22"/>
                <w:lang w:val="fr-FR"/>
              </w:rPr>
              <w:t>NO</w:t>
            </w:r>
            <w:r w:rsidRPr="00A81A5A">
              <w:rPr>
                <w:rStyle w:val="normaltextrun"/>
                <w:rFonts w:eastAsiaTheme="majorEastAsia"/>
                <w:color w:val="000000"/>
                <w:sz w:val="22"/>
                <w:szCs w:val="22"/>
                <w:vertAlign w:val="subscript"/>
                <w:lang w:val="fr-FR"/>
              </w:rPr>
              <w:t>3</w:t>
            </w:r>
          </w:p>
        </w:tc>
        <w:tc>
          <w:tcPr>
            <w:tcW w:w="1208" w:type="dxa"/>
            <w:vAlign w:val="center"/>
          </w:tcPr>
          <w:p w14:paraId="2526D748" w14:textId="63B1B588"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6.27</w:t>
            </w:r>
          </w:p>
        </w:tc>
        <w:tc>
          <w:tcPr>
            <w:tcW w:w="1490" w:type="dxa"/>
            <w:vAlign w:val="center"/>
          </w:tcPr>
          <w:p w14:paraId="5E1DB3AE" w14:textId="338E1CFD"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1</w:t>
            </w:r>
            <w:r>
              <w:rPr>
                <w:rStyle w:val="normaltextrun"/>
                <w:rFonts w:eastAsiaTheme="majorEastAsia"/>
                <w:color w:val="000000"/>
                <w:sz w:val="22"/>
                <w:szCs w:val="22"/>
                <w:lang w:val="fr-FR"/>
              </w:rPr>
              <w:t>.</w:t>
            </w:r>
            <w:r w:rsidRPr="00A81A5A">
              <w:rPr>
                <w:rStyle w:val="normaltextrun"/>
                <w:rFonts w:eastAsiaTheme="majorEastAsia"/>
                <w:color w:val="000000"/>
                <w:sz w:val="22"/>
                <w:szCs w:val="22"/>
                <w:lang w:val="fr-FR"/>
              </w:rPr>
              <w:t>06</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-4</w:t>
            </w:r>
          </w:p>
        </w:tc>
        <w:tc>
          <w:tcPr>
            <w:tcW w:w="1771" w:type="dxa"/>
            <w:vAlign w:val="center"/>
          </w:tcPr>
          <w:p w14:paraId="348301D6" w14:textId="6DFAF60A"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HILIC</w:t>
            </w:r>
          </w:p>
        </w:tc>
        <w:tc>
          <w:tcPr>
            <w:tcW w:w="1559" w:type="dxa"/>
            <w:vAlign w:val="center"/>
          </w:tcPr>
          <w:p w14:paraId="20EA509A" w14:textId="4FBDDF8F"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5.74</w:t>
            </w:r>
          </w:p>
        </w:tc>
        <w:tc>
          <w:tcPr>
            <w:tcW w:w="1984" w:type="dxa"/>
            <w:vAlign w:val="center"/>
          </w:tcPr>
          <w:p w14:paraId="5822DFF6"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Level 1</w:t>
            </w:r>
          </w:p>
        </w:tc>
        <w:tc>
          <w:tcPr>
            <w:tcW w:w="1843" w:type="dxa"/>
            <w:vAlign w:val="center"/>
          </w:tcPr>
          <w:p w14:paraId="4CF6CD2A" w14:textId="4236499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68.0498</w:t>
            </w:r>
          </w:p>
          <w:p w14:paraId="33299435" w14:textId="37B1FB20"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86.0601</w:t>
            </w:r>
          </w:p>
        </w:tc>
        <w:tc>
          <w:tcPr>
            <w:tcW w:w="775" w:type="dxa"/>
            <w:vAlign w:val="center"/>
          </w:tcPr>
          <w:p w14:paraId="5D2787D3"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4</w:t>
            </w:r>
          </w:p>
        </w:tc>
      </w:tr>
      <w:tr w:rsidR="007E7809" w:rsidRPr="00A81A5A" w14:paraId="4B9BBA0B" w14:textId="77777777" w:rsidTr="00DC08FA">
        <w:trPr>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hideMark/>
          </w:tcPr>
          <w:p w14:paraId="20C27F53" w14:textId="77777777" w:rsidR="007E7809" w:rsidRPr="00A81A5A" w:rsidRDefault="007E7809" w:rsidP="00DC08FA">
            <w:pPr>
              <w:pStyle w:val="paragraph"/>
              <w:spacing w:before="0" w:beforeAutospacing="0" w:after="0" w:afterAutospacing="0"/>
              <w:jc w:val="center"/>
              <w:textAlignment w:val="baseline"/>
              <w:rPr>
                <w:b w:val="0"/>
                <w:sz w:val="22"/>
                <w:szCs w:val="22"/>
              </w:rPr>
            </w:pPr>
            <w:r w:rsidRPr="00A81A5A">
              <w:rPr>
                <w:rStyle w:val="normaltextrun"/>
                <w:rFonts w:eastAsiaTheme="majorEastAsia"/>
                <w:b w:val="0"/>
                <w:sz w:val="22"/>
                <w:szCs w:val="22"/>
              </w:rPr>
              <w:t>TMAO</w:t>
            </w:r>
            <w:r w:rsidRPr="00A81A5A">
              <w:rPr>
                <w:rStyle w:val="eop"/>
                <w:rFonts w:eastAsiaTheme="majorEastAsia"/>
                <w:b w:val="0"/>
                <w:sz w:val="22"/>
                <w:szCs w:val="22"/>
              </w:rPr>
              <w:t> </w:t>
            </w:r>
          </w:p>
        </w:tc>
        <w:tc>
          <w:tcPr>
            <w:tcW w:w="1412" w:type="dxa"/>
            <w:vAlign w:val="center"/>
            <w:hideMark/>
          </w:tcPr>
          <w:p w14:paraId="609B6366" w14:textId="41FBC93A"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3</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9</w:t>
            </w:r>
            <w:r w:rsidRPr="00A81A5A">
              <w:rPr>
                <w:rStyle w:val="normaltextrun"/>
                <w:rFonts w:eastAsiaTheme="majorEastAsia"/>
                <w:color w:val="000000"/>
                <w:sz w:val="22"/>
                <w:szCs w:val="22"/>
                <w:lang w:val="fr-FR"/>
              </w:rPr>
              <w:t>NO</w:t>
            </w:r>
          </w:p>
        </w:tc>
        <w:tc>
          <w:tcPr>
            <w:tcW w:w="1208" w:type="dxa"/>
            <w:vAlign w:val="center"/>
            <w:hideMark/>
          </w:tcPr>
          <w:p w14:paraId="44412E80" w14:textId="73637E4C"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1.56</w:t>
            </w:r>
          </w:p>
        </w:tc>
        <w:tc>
          <w:tcPr>
            <w:tcW w:w="1490" w:type="dxa"/>
            <w:vAlign w:val="center"/>
            <w:hideMark/>
          </w:tcPr>
          <w:p w14:paraId="13A1B44D" w14:textId="4AF12DB5"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6</w:t>
            </w:r>
            <w:r>
              <w:rPr>
                <w:rStyle w:val="normaltextrun"/>
                <w:rFonts w:eastAsiaTheme="majorEastAsia"/>
                <w:color w:val="000000"/>
                <w:sz w:val="22"/>
                <w:szCs w:val="22"/>
                <w:lang w:val="fr-FR"/>
              </w:rPr>
              <w:t>.</w:t>
            </w:r>
            <w:r w:rsidRPr="00A81A5A">
              <w:rPr>
                <w:rStyle w:val="normaltextrun"/>
                <w:rFonts w:eastAsiaTheme="majorEastAsia"/>
                <w:color w:val="000000"/>
                <w:sz w:val="22"/>
                <w:szCs w:val="22"/>
                <w:lang w:val="fr-FR"/>
              </w:rPr>
              <w:t>3</w:t>
            </w:r>
            <w:r>
              <w:rPr>
                <w:rStyle w:val="normaltextrun"/>
                <w:rFonts w:eastAsiaTheme="majorEastAsia"/>
                <w:color w:val="000000"/>
                <w:sz w:val="22"/>
                <w:szCs w:val="22"/>
                <w:lang w:val="fr-FR"/>
              </w:rPr>
              <w:t>0</w:t>
            </w:r>
            <w:r w:rsidRPr="00A81A5A">
              <w:rPr>
                <w:rStyle w:val="eop"/>
                <w:rFonts w:eastAsiaTheme="majorEastAsia"/>
                <w:color w:val="000000"/>
                <w:sz w:val="22"/>
                <w:szCs w:val="22"/>
              </w:rPr>
              <w:t> </w:t>
            </w:r>
            <w:r w:rsidRPr="00A81A5A">
              <w:rPr>
                <w:rStyle w:val="normaltextrun"/>
                <w:rFonts w:eastAsiaTheme="majorEastAsia"/>
                <w:sz w:val="22"/>
                <w:szCs w:val="22"/>
              </w:rPr>
              <w:t>x 10</w:t>
            </w:r>
            <w:r>
              <w:rPr>
                <w:rStyle w:val="normaltextrun"/>
                <w:rFonts w:eastAsiaTheme="majorEastAsia"/>
                <w:sz w:val="22"/>
                <w:szCs w:val="22"/>
                <w:vertAlign w:val="superscript"/>
              </w:rPr>
              <w:t>-3</w:t>
            </w:r>
          </w:p>
        </w:tc>
        <w:tc>
          <w:tcPr>
            <w:tcW w:w="1771" w:type="dxa"/>
            <w:vAlign w:val="center"/>
            <w:hideMark/>
          </w:tcPr>
          <w:p w14:paraId="3D8EB29C" w14:textId="21735B96"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HILIC</w:t>
            </w:r>
          </w:p>
        </w:tc>
        <w:tc>
          <w:tcPr>
            <w:tcW w:w="1559" w:type="dxa"/>
            <w:vAlign w:val="center"/>
            <w:hideMark/>
          </w:tcPr>
          <w:p w14:paraId="2666CCD6" w14:textId="67D5A0B9" w:rsidR="007E7809" w:rsidRPr="00A81A5A" w:rsidRDefault="00630420"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rFonts w:eastAsiaTheme="majorEastAsia"/>
                <w:sz w:val="22"/>
                <w:szCs w:val="22"/>
              </w:rPr>
              <w:t>3</w:t>
            </w:r>
            <w:r w:rsidR="007E7809" w:rsidRPr="00A81A5A">
              <w:rPr>
                <w:rStyle w:val="normaltextrun"/>
                <w:rFonts w:eastAsiaTheme="majorEastAsia"/>
                <w:sz w:val="22"/>
                <w:szCs w:val="22"/>
              </w:rPr>
              <w:t>.62</w:t>
            </w:r>
          </w:p>
        </w:tc>
        <w:tc>
          <w:tcPr>
            <w:tcW w:w="1984" w:type="dxa"/>
            <w:vAlign w:val="center"/>
            <w:hideMark/>
          </w:tcPr>
          <w:p w14:paraId="50CCF021"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Level 1</w:t>
            </w:r>
          </w:p>
        </w:tc>
        <w:tc>
          <w:tcPr>
            <w:tcW w:w="1843" w:type="dxa"/>
            <w:vAlign w:val="center"/>
            <w:hideMark/>
          </w:tcPr>
          <w:p w14:paraId="6124F947" w14:textId="05C4411A"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42.0329</w:t>
            </w:r>
          </w:p>
        </w:tc>
        <w:tc>
          <w:tcPr>
            <w:tcW w:w="775" w:type="dxa"/>
            <w:vAlign w:val="center"/>
          </w:tcPr>
          <w:p w14:paraId="627C0A15"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7</w:t>
            </w:r>
          </w:p>
        </w:tc>
      </w:tr>
      <w:tr w:rsidR="007E7809" w:rsidRPr="00F77750" w14:paraId="7AC77711" w14:textId="77777777" w:rsidTr="00DC0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303D1FD9" w14:textId="77777777" w:rsidR="007E7809" w:rsidRPr="00F77750" w:rsidRDefault="007E7809" w:rsidP="00DC08FA">
            <w:pPr>
              <w:pStyle w:val="paragraph"/>
              <w:spacing w:before="0" w:beforeAutospacing="0" w:after="0" w:afterAutospacing="0"/>
              <w:jc w:val="center"/>
              <w:textAlignment w:val="baseline"/>
              <w:rPr>
                <w:b w:val="0"/>
              </w:rPr>
            </w:pPr>
            <w:r w:rsidRPr="00F77750">
              <w:rPr>
                <w:b w:val="0"/>
                <w:sz w:val="22"/>
                <w:szCs w:val="22"/>
              </w:rPr>
              <w:t>1-(1-enyl-palmitoyl</w:t>
            </w:r>
            <w:r>
              <w:rPr>
                <w:b w:val="0"/>
                <w:sz w:val="22"/>
                <w:szCs w:val="22"/>
              </w:rPr>
              <w:t>)-2-linoleoyl-GPC (P-16:0/18:2)</w:t>
            </w:r>
          </w:p>
        </w:tc>
        <w:tc>
          <w:tcPr>
            <w:tcW w:w="1412" w:type="dxa"/>
            <w:vAlign w:val="center"/>
          </w:tcPr>
          <w:p w14:paraId="33FB983B"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C</w:t>
            </w:r>
            <w:r w:rsidRPr="00F77750">
              <w:rPr>
                <w:sz w:val="22"/>
                <w:szCs w:val="22"/>
                <w:vertAlign w:val="subscript"/>
              </w:rPr>
              <w:t>42</w:t>
            </w:r>
            <w:r w:rsidRPr="00F77750">
              <w:rPr>
                <w:sz w:val="22"/>
                <w:szCs w:val="22"/>
              </w:rPr>
              <w:t>H</w:t>
            </w:r>
            <w:r w:rsidRPr="00F77750">
              <w:rPr>
                <w:sz w:val="22"/>
                <w:szCs w:val="22"/>
                <w:vertAlign w:val="subscript"/>
              </w:rPr>
              <w:t>80</w:t>
            </w:r>
            <w:r w:rsidRPr="00F77750">
              <w:rPr>
                <w:sz w:val="22"/>
                <w:szCs w:val="22"/>
              </w:rPr>
              <w:t>NO</w:t>
            </w:r>
            <w:r w:rsidRPr="00F77750">
              <w:rPr>
                <w:sz w:val="22"/>
                <w:szCs w:val="22"/>
                <w:vertAlign w:val="subscript"/>
              </w:rPr>
              <w:t>7</w:t>
            </w:r>
            <w:r w:rsidRPr="00F77750">
              <w:rPr>
                <w:sz w:val="22"/>
                <w:szCs w:val="22"/>
              </w:rPr>
              <w:t>P</w:t>
            </w:r>
          </w:p>
        </w:tc>
        <w:tc>
          <w:tcPr>
            <w:tcW w:w="1208" w:type="dxa"/>
            <w:vAlign w:val="center"/>
          </w:tcPr>
          <w:p w14:paraId="560BE573"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1.32</w:t>
            </w:r>
          </w:p>
        </w:tc>
        <w:tc>
          <w:tcPr>
            <w:tcW w:w="1490" w:type="dxa"/>
            <w:vAlign w:val="center"/>
          </w:tcPr>
          <w:p w14:paraId="216E5AB3" w14:textId="550230E6"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1</w:t>
            </w:r>
            <w:r>
              <w:rPr>
                <w:sz w:val="22"/>
                <w:szCs w:val="22"/>
              </w:rPr>
              <w:t>.</w:t>
            </w:r>
            <w:r w:rsidRPr="00F77750">
              <w:rPr>
                <w:sz w:val="22"/>
                <w:szCs w:val="22"/>
              </w:rPr>
              <w:t>94</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-4</w:t>
            </w:r>
          </w:p>
        </w:tc>
        <w:tc>
          <w:tcPr>
            <w:tcW w:w="1771" w:type="dxa"/>
            <w:vAlign w:val="center"/>
          </w:tcPr>
          <w:p w14:paraId="219A4A6A"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RP</w:t>
            </w:r>
          </w:p>
        </w:tc>
        <w:tc>
          <w:tcPr>
            <w:tcW w:w="1559" w:type="dxa"/>
            <w:vAlign w:val="center"/>
          </w:tcPr>
          <w:p w14:paraId="37257FA1"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8.97</w:t>
            </w:r>
          </w:p>
        </w:tc>
        <w:tc>
          <w:tcPr>
            <w:tcW w:w="1984" w:type="dxa"/>
            <w:vAlign w:val="center"/>
          </w:tcPr>
          <w:p w14:paraId="349E0307"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Level 3</w:t>
            </w:r>
          </w:p>
        </w:tc>
        <w:tc>
          <w:tcPr>
            <w:tcW w:w="1843" w:type="dxa"/>
            <w:vAlign w:val="center"/>
          </w:tcPr>
          <w:p w14:paraId="2CE6FE95"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F77750">
              <w:rPr>
                <w:sz w:val="22"/>
                <w:szCs w:val="22"/>
              </w:rPr>
              <w:t>184.0733</w:t>
            </w:r>
          </w:p>
        </w:tc>
        <w:tc>
          <w:tcPr>
            <w:tcW w:w="775" w:type="dxa"/>
            <w:vAlign w:val="center"/>
          </w:tcPr>
          <w:p w14:paraId="34C16835"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w:t>
            </w:r>
          </w:p>
        </w:tc>
      </w:tr>
      <w:tr w:rsidR="007E7809" w:rsidRPr="00A81A5A" w14:paraId="298ACDB6" w14:textId="77777777" w:rsidTr="00DC08FA">
        <w:trPr>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hideMark/>
          </w:tcPr>
          <w:p w14:paraId="512FC1C2" w14:textId="501AD912" w:rsidR="007E7809" w:rsidRPr="00A81A5A" w:rsidRDefault="007E7809" w:rsidP="00DC08FA">
            <w:pPr>
              <w:pStyle w:val="paragraph"/>
              <w:spacing w:before="0" w:beforeAutospacing="0" w:after="0" w:afterAutospacing="0"/>
              <w:jc w:val="center"/>
              <w:textAlignment w:val="baseline"/>
              <w:rPr>
                <w:b w:val="0"/>
                <w:sz w:val="22"/>
                <w:szCs w:val="22"/>
              </w:rPr>
            </w:pPr>
            <w:r w:rsidRPr="00A81A5A">
              <w:rPr>
                <w:rStyle w:val="normaltextrun"/>
                <w:rFonts w:eastAsiaTheme="majorEastAsia"/>
                <w:b w:val="0"/>
                <w:color w:val="000000"/>
                <w:sz w:val="22"/>
                <w:szCs w:val="22"/>
                <w:lang w:val="fr-FR"/>
              </w:rPr>
              <w:t>1-palmityl-GPC (O-16:0)</w:t>
            </w:r>
          </w:p>
          <w:p w14:paraId="30290F9C" w14:textId="3106687F" w:rsidR="007E7809" w:rsidRPr="00A81A5A" w:rsidRDefault="007E7809" w:rsidP="00DC08FA">
            <w:pPr>
              <w:pStyle w:val="paragraph"/>
              <w:spacing w:before="0" w:beforeAutospacing="0" w:after="0" w:afterAutospacing="0"/>
              <w:jc w:val="center"/>
              <w:textAlignment w:val="baseline"/>
              <w:rPr>
                <w:b w:val="0"/>
                <w:sz w:val="22"/>
                <w:szCs w:val="22"/>
              </w:rPr>
            </w:pPr>
          </w:p>
        </w:tc>
        <w:tc>
          <w:tcPr>
            <w:tcW w:w="1412" w:type="dxa"/>
            <w:vAlign w:val="center"/>
            <w:hideMark/>
          </w:tcPr>
          <w:p w14:paraId="3248AF3C" w14:textId="5DE3AB9F"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24</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52</w:t>
            </w:r>
            <w:r w:rsidRPr="00A81A5A">
              <w:rPr>
                <w:rStyle w:val="normaltextrun"/>
                <w:rFonts w:eastAsiaTheme="majorEastAsia"/>
                <w:color w:val="000000"/>
                <w:sz w:val="22"/>
                <w:szCs w:val="22"/>
                <w:lang w:val="fr-FR"/>
              </w:rPr>
              <w:t>NO</w:t>
            </w:r>
            <w:r w:rsidRPr="00A81A5A">
              <w:rPr>
                <w:rStyle w:val="normaltextrun"/>
                <w:rFonts w:eastAsiaTheme="majorEastAsia"/>
                <w:color w:val="000000"/>
                <w:sz w:val="22"/>
                <w:szCs w:val="22"/>
                <w:vertAlign w:val="subscript"/>
                <w:lang w:val="fr-FR"/>
              </w:rPr>
              <w:t>6</w:t>
            </w:r>
            <w:r w:rsidRPr="00A81A5A">
              <w:rPr>
                <w:rStyle w:val="normaltextrun"/>
                <w:rFonts w:eastAsiaTheme="majorEastAsia"/>
                <w:color w:val="000000"/>
                <w:sz w:val="22"/>
                <w:szCs w:val="22"/>
                <w:lang w:val="fr-FR"/>
              </w:rPr>
              <w:t>P</w:t>
            </w:r>
          </w:p>
        </w:tc>
        <w:tc>
          <w:tcPr>
            <w:tcW w:w="1208" w:type="dxa"/>
            <w:vAlign w:val="center"/>
            <w:hideMark/>
          </w:tcPr>
          <w:p w14:paraId="2977694A" w14:textId="023BEAA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2.01</w:t>
            </w:r>
          </w:p>
        </w:tc>
        <w:tc>
          <w:tcPr>
            <w:tcW w:w="1490" w:type="dxa"/>
            <w:vAlign w:val="center"/>
            <w:hideMark/>
          </w:tcPr>
          <w:p w14:paraId="650F0336" w14:textId="4FA5ADC2"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3.64 x </w:t>
            </w:r>
            <w:r w:rsidRPr="00A81A5A">
              <w:rPr>
                <w:rStyle w:val="normaltextrun"/>
                <w:rFonts w:eastAsiaTheme="majorEastAsia"/>
                <w:sz w:val="22"/>
                <w:szCs w:val="22"/>
              </w:rPr>
              <w:t>10</w:t>
            </w:r>
            <w:r w:rsidRPr="00A81A5A">
              <w:rPr>
                <w:rStyle w:val="normaltextrun"/>
                <w:rFonts w:eastAsiaTheme="majorEastAsia"/>
                <w:sz w:val="22"/>
                <w:szCs w:val="22"/>
                <w:vertAlign w:val="superscript"/>
              </w:rPr>
              <w:t>-6</w:t>
            </w:r>
          </w:p>
        </w:tc>
        <w:tc>
          <w:tcPr>
            <w:tcW w:w="1771" w:type="dxa"/>
            <w:vAlign w:val="center"/>
            <w:hideMark/>
          </w:tcPr>
          <w:p w14:paraId="0BFB2BD3" w14:textId="2207C1F3"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RP</w:t>
            </w:r>
          </w:p>
        </w:tc>
        <w:tc>
          <w:tcPr>
            <w:tcW w:w="1559" w:type="dxa"/>
            <w:vAlign w:val="center"/>
            <w:hideMark/>
          </w:tcPr>
          <w:p w14:paraId="3DCD0522" w14:textId="1EA842EC"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7.18</w:t>
            </w:r>
          </w:p>
        </w:tc>
        <w:tc>
          <w:tcPr>
            <w:tcW w:w="1984" w:type="dxa"/>
            <w:vAlign w:val="center"/>
            <w:hideMark/>
          </w:tcPr>
          <w:p w14:paraId="7D4ACE20"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Level 2</w:t>
            </w:r>
          </w:p>
        </w:tc>
        <w:tc>
          <w:tcPr>
            <w:tcW w:w="1843" w:type="dxa"/>
            <w:vAlign w:val="center"/>
            <w:hideMark/>
          </w:tcPr>
          <w:p w14:paraId="39D2AD97" w14:textId="381C21B0"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104.1072</w:t>
            </w:r>
          </w:p>
          <w:p w14:paraId="625A5F62" w14:textId="2A45417E"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184.0770</w:t>
            </w:r>
          </w:p>
          <w:p w14:paraId="400A1129" w14:textId="3DEE4F79"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341.3025</w:t>
            </w:r>
          </w:p>
        </w:tc>
        <w:tc>
          <w:tcPr>
            <w:tcW w:w="775" w:type="dxa"/>
            <w:vAlign w:val="center"/>
          </w:tcPr>
          <w:p w14:paraId="5D413493"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9</w:t>
            </w:r>
          </w:p>
        </w:tc>
      </w:tr>
      <w:tr w:rsidR="007E7809" w:rsidRPr="00A81A5A" w14:paraId="3DE6A13E" w14:textId="77777777" w:rsidTr="00DC0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4D027E95" w14:textId="7A6BA07B" w:rsidR="007E7809" w:rsidRPr="00F77750" w:rsidRDefault="007E7809" w:rsidP="00DC08FA">
            <w:pPr>
              <w:pStyle w:val="paragraph"/>
              <w:spacing w:before="0" w:beforeAutospacing="0" w:after="0" w:afterAutospacing="0"/>
              <w:jc w:val="center"/>
              <w:textAlignment w:val="baseline"/>
              <w:rPr>
                <w:rStyle w:val="normaltextrun"/>
                <w:rFonts w:eastAsiaTheme="majorEastAsia" w:cstheme="minorBidi"/>
                <w:b w:val="0"/>
                <w:bCs w:val="0"/>
                <w:color w:val="000000"/>
                <w:kern w:val="2"/>
                <w:sz w:val="22"/>
                <w:szCs w:val="22"/>
                <w:lang w:val="fr-FR"/>
              </w:rPr>
            </w:pPr>
            <w:proofErr w:type="spellStart"/>
            <w:r w:rsidRPr="00A81A5A">
              <w:rPr>
                <w:rStyle w:val="normaltextrun"/>
                <w:rFonts w:eastAsiaTheme="majorEastAsia"/>
                <w:b w:val="0"/>
                <w:sz w:val="22"/>
                <w:szCs w:val="22"/>
              </w:rPr>
              <w:t>Creatine</w:t>
            </w:r>
            <w:proofErr w:type="spellEnd"/>
          </w:p>
        </w:tc>
        <w:tc>
          <w:tcPr>
            <w:tcW w:w="1412" w:type="dxa"/>
            <w:vAlign w:val="center"/>
          </w:tcPr>
          <w:p w14:paraId="73BEEE32" w14:textId="0DF8927C"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4</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9</w:t>
            </w:r>
            <w:r w:rsidRPr="00A81A5A">
              <w:rPr>
                <w:rStyle w:val="normaltextrun"/>
                <w:rFonts w:eastAsiaTheme="majorEastAsia"/>
                <w:color w:val="000000"/>
                <w:sz w:val="22"/>
                <w:szCs w:val="22"/>
                <w:lang w:val="fr-FR"/>
              </w:rPr>
              <w:t>N</w:t>
            </w:r>
            <w:r w:rsidRPr="00A81A5A">
              <w:rPr>
                <w:rStyle w:val="normaltextrun"/>
                <w:rFonts w:eastAsiaTheme="majorEastAsia"/>
                <w:color w:val="000000"/>
                <w:sz w:val="22"/>
                <w:szCs w:val="22"/>
                <w:vertAlign w:val="subscript"/>
                <w:lang w:val="fr-FR"/>
              </w:rPr>
              <w:t>3</w:t>
            </w:r>
            <w:r w:rsidRPr="00A81A5A">
              <w:rPr>
                <w:rStyle w:val="normaltextrun"/>
                <w:rFonts w:eastAsiaTheme="majorEastAsia"/>
                <w:color w:val="000000"/>
                <w:sz w:val="22"/>
                <w:szCs w:val="22"/>
                <w:lang w:val="fr-FR"/>
              </w:rPr>
              <w:t>O</w:t>
            </w:r>
            <w:r w:rsidRPr="00A81A5A">
              <w:rPr>
                <w:rStyle w:val="normaltextrun"/>
                <w:rFonts w:eastAsiaTheme="majorEastAsia"/>
                <w:color w:val="000000"/>
                <w:sz w:val="22"/>
                <w:szCs w:val="22"/>
                <w:vertAlign w:val="subscript"/>
                <w:lang w:val="fr-FR"/>
              </w:rPr>
              <w:t>2</w:t>
            </w:r>
          </w:p>
        </w:tc>
        <w:tc>
          <w:tcPr>
            <w:tcW w:w="1208" w:type="dxa"/>
            <w:vAlign w:val="center"/>
          </w:tcPr>
          <w:p w14:paraId="7EC4ECB8" w14:textId="14186602"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sz w:val="22"/>
                <w:szCs w:val="22"/>
              </w:rPr>
              <w:t>1.5</w:t>
            </w:r>
            <w:r>
              <w:rPr>
                <w:rStyle w:val="normaltextrun"/>
                <w:rFonts w:eastAsiaTheme="majorEastAsia"/>
                <w:sz w:val="22"/>
                <w:szCs w:val="22"/>
              </w:rPr>
              <w:t>0</w:t>
            </w:r>
          </w:p>
        </w:tc>
        <w:tc>
          <w:tcPr>
            <w:tcW w:w="1490" w:type="dxa"/>
            <w:vAlign w:val="center"/>
          </w:tcPr>
          <w:p w14:paraId="63BA5916" w14:textId="070E0EBB"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4</w:t>
            </w:r>
            <w:r>
              <w:rPr>
                <w:rStyle w:val="normaltextrun"/>
                <w:rFonts w:eastAsiaTheme="majorEastAsia"/>
                <w:color w:val="000000"/>
                <w:sz w:val="22"/>
                <w:szCs w:val="22"/>
                <w:lang w:val="fr-FR"/>
              </w:rPr>
              <w:t>.</w:t>
            </w:r>
            <w:r w:rsidRPr="00A81A5A">
              <w:rPr>
                <w:rStyle w:val="normaltextrun"/>
                <w:rFonts w:eastAsiaTheme="majorEastAsia"/>
                <w:color w:val="000000"/>
                <w:sz w:val="22"/>
                <w:szCs w:val="22"/>
                <w:lang w:val="fr-FR"/>
              </w:rPr>
              <w:t>88</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-2</w:t>
            </w:r>
          </w:p>
        </w:tc>
        <w:tc>
          <w:tcPr>
            <w:tcW w:w="1771" w:type="dxa"/>
            <w:vAlign w:val="center"/>
          </w:tcPr>
          <w:p w14:paraId="7EF87FC6" w14:textId="4157D1A8"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sz w:val="22"/>
                <w:szCs w:val="22"/>
              </w:rPr>
              <w:t>RP</w:t>
            </w:r>
          </w:p>
        </w:tc>
        <w:tc>
          <w:tcPr>
            <w:tcW w:w="1559" w:type="dxa"/>
            <w:vAlign w:val="center"/>
          </w:tcPr>
          <w:p w14:paraId="1E4AC685" w14:textId="6112FCEF"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sz w:val="22"/>
                <w:szCs w:val="22"/>
              </w:rPr>
              <w:t>0.7</w:t>
            </w:r>
          </w:p>
        </w:tc>
        <w:tc>
          <w:tcPr>
            <w:tcW w:w="1984" w:type="dxa"/>
            <w:vAlign w:val="center"/>
          </w:tcPr>
          <w:p w14:paraId="35AE8BE6"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sz w:val="22"/>
                <w:szCs w:val="22"/>
              </w:rPr>
              <w:t>Level 1</w:t>
            </w:r>
          </w:p>
        </w:tc>
        <w:tc>
          <w:tcPr>
            <w:tcW w:w="1843" w:type="dxa"/>
            <w:vAlign w:val="center"/>
          </w:tcPr>
          <w:p w14:paraId="0439B726" w14:textId="307E5409"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44.0482</w:t>
            </w:r>
          </w:p>
          <w:p w14:paraId="3533CFF2" w14:textId="796AB6BB"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sz w:val="22"/>
                <w:szCs w:val="22"/>
              </w:rPr>
              <w:t>90.0538</w:t>
            </w:r>
          </w:p>
        </w:tc>
        <w:tc>
          <w:tcPr>
            <w:tcW w:w="775" w:type="dxa"/>
            <w:vAlign w:val="center"/>
          </w:tcPr>
          <w:p w14:paraId="1FBD5806"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13</w:t>
            </w:r>
          </w:p>
        </w:tc>
      </w:tr>
      <w:tr w:rsidR="007E7809" w:rsidRPr="00A81A5A" w14:paraId="0D3C223A" w14:textId="77777777" w:rsidTr="00DC08FA">
        <w:trPr>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53C490CD" w14:textId="77777777" w:rsidR="007E7809" w:rsidRPr="00F77750" w:rsidRDefault="007E7809" w:rsidP="00DC08FA">
            <w:pPr>
              <w:pStyle w:val="paragraph"/>
              <w:spacing w:before="0" w:beforeAutospacing="0" w:after="0" w:afterAutospacing="0"/>
              <w:jc w:val="center"/>
              <w:textAlignment w:val="baseline"/>
              <w:rPr>
                <w:rStyle w:val="normaltextrun"/>
                <w:rFonts w:eastAsiaTheme="majorEastAsia" w:cstheme="minorBidi"/>
                <w:b w:val="0"/>
                <w:bCs w:val="0"/>
                <w:color w:val="000000"/>
                <w:kern w:val="2"/>
                <w:sz w:val="22"/>
                <w:szCs w:val="22"/>
                <w:lang w:val="fr-FR"/>
              </w:rPr>
            </w:pPr>
            <w:r w:rsidRPr="00F77750">
              <w:rPr>
                <w:rStyle w:val="normaltextrun"/>
                <w:rFonts w:eastAsiaTheme="majorEastAsia"/>
                <w:b w:val="0"/>
                <w:color w:val="000000"/>
                <w:sz w:val="22"/>
                <w:szCs w:val="22"/>
                <w:lang w:val="fr-FR"/>
              </w:rPr>
              <w:t>1-palmityl-2</w:t>
            </w:r>
            <w:r>
              <w:rPr>
                <w:rStyle w:val="normaltextrun"/>
                <w:rFonts w:eastAsiaTheme="majorEastAsia"/>
                <w:b w:val="0"/>
                <w:color w:val="000000"/>
                <w:sz w:val="22"/>
                <w:szCs w:val="22"/>
                <w:lang w:val="fr-FR"/>
              </w:rPr>
              <w:t>-arachidonoyl-GPC (O-16:0/20:4)</w:t>
            </w:r>
          </w:p>
        </w:tc>
        <w:tc>
          <w:tcPr>
            <w:tcW w:w="1412" w:type="dxa"/>
            <w:vAlign w:val="center"/>
          </w:tcPr>
          <w:p w14:paraId="36F3FB0A"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F77750">
              <w:rPr>
                <w:rStyle w:val="normaltextrun"/>
                <w:rFonts w:eastAsiaTheme="majorEastAsia"/>
                <w:color w:val="000000"/>
                <w:sz w:val="22"/>
                <w:szCs w:val="22"/>
                <w:lang w:val="fr-FR"/>
              </w:rPr>
              <w:t>C</w:t>
            </w:r>
            <w:r w:rsidRPr="00F77750">
              <w:rPr>
                <w:rStyle w:val="normaltextrun"/>
                <w:rFonts w:eastAsiaTheme="majorEastAsia"/>
                <w:color w:val="000000"/>
                <w:sz w:val="22"/>
                <w:szCs w:val="22"/>
                <w:vertAlign w:val="subscript"/>
                <w:lang w:val="fr-FR"/>
              </w:rPr>
              <w:t>44</w:t>
            </w:r>
            <w:r w:rsidRPr="00F77750">
              <w:rPr>
                <w:rStyle w:val="normaltextrun"/>
                <w:rFonts w:eastAsiaTheme="majorEastAsia"/>
                <w:color w:val="000000"/>
                <w:sz w:val="22"/>
                <w:szCs w:val="22"/>
                <w:lang w:val="fr-FR"/>
              </w:rPr>
              <w:t>H</w:t>
            </w:r>
            <w:r w:rsidRPr="00F77750">
              <w:rPr>
                <w:rStyle w:val="normaltextrun"/>
                <w:rFonts w:eastAsiaTheme="majorEastAsia"/>
                <w:color w:val="000000"/>
                <w:sz w:val="22"/>
                <w:szCs w:val="22"/>
                <w:vertAlign w:val="subscript"/>
                <w:lang w:val="fr-FR"/>
              </w:rPr>
              <w:t>82</w:t>
            </w:r>
            <w:r w:rsidRPr="00F77750">
              <w:rPr>
                <w:rStyle w:val="normaltextrun"/>
                <w:rFonts w:eastAsiaTheme="majorEastAsia"/>
                <w:color w:val="000000"/>
                <w:sz w:val="22"/>
                <w:szCs w:val="22"/>
                <w:lang w:val="fr-FR"/>
              </w:rPr>
              <w:t>NO</w:t>
            </w:r>
            <w:r w:rsidRPr="00F77750">
              <w:rPr>
                <w:rStyle w:val="normaltextrun"/>
                <w:rFonts w:eastAsiaTheme="majorEastAsia"/>
                <w:color w:val="000000"/>
                <w:sz w:val="22"/>
                <w:szCs w:val="22"/>
                <w:vertAlign w:val="subscript"/>
                <w:lang w:val="fr-FR"/>
              </w:rPr>
              <w:t>7</w:t>
            </w:r>
            <w:r w:rsidRPr="00F77750">
              <w:rPr>
                <w:rStyle w:val="normaltextrun"/>
                <w:rFonts w:eastAsiaTheme="majorEastAsia"/>
                <w:color w:val="000000"/>
                <w:sz w:val="22"/>
                <w:szCs w:val="22"/>
                <w:lang w:val="fr-FR"/>
              </w:rPr>
              <w:t>P</w:t>
            </w:r>
          </w:p>
        </w:tc>
        <w:tc>
          <w:tcPr>
            <w:tcW w:w="1208" w:type="dxa"/>
            <w:vAlign w:val="center"/>
          </w:tcPr>
          <w:p w14:paraId="48F27E0E"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F77750">
              <w:rPr>
                <w:rStyle w:val="normaltextrun"/>
                <w:rFonts w:eastAsiaTheme="majorEastAsia"/>
                <w:color w:val="000000"/>
                <w:sz w:val="22"/>
                <w:szCs w:val="22"/>
                <w:lang w:val="fr-FR"/>
              </w:rPr>
              <w:t>2.44</w:t>
            </w:r>
          </w:p>
        </w:tc>
        <w:tc>
          <w:tcPr>
            <w:tcW w:w="1490" w:type="dxa"/>
            <w:vAlign w:val="center"/>
          </w:tcPr>
          <w:p w14:paraId="19DACD9C" w14:textId="0DF11F7E"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Pr>
                <w:rStyle w:val="normaltextrun"/>
                <w:rFonts w:eastAsiaTheme="majorEastAsia"/>
                <w:color w:val="000000"/>
                <w:sz w:val="22"/>
                <w:szCs w:val="22"/>
                <w:lang w:val="fr-FR"/>
              </w:rPr>
              <w:t>4.30</w:t>
            </w:r>
            <w:r w:rsidRPr="00A81A5A">
              <w:rPr>
                <w:rStyle w:val="normaltextrun"/>
                <w:rFonts w:eastAsiaTheme="majorEastAsia"/>
                <w:sz w:val="22"/>
                <w:szCs w:val="22"/>
              </w:rPr>
              <w:t xml:space="preserve"> x 10</w:t>
            </w:r>
            <w:r w:rsidRPr="00A81A5A">
              <w:rPr>
                <w:rStyle w:val="normaltextrun"/>
                <w:rFonts w:eastAsiaTheme="majorEastAsia"/>
                <w:sz w:val="22"/>
                <w:szCs w:val="22"/>
                <w:vertAlign w:val="superscript"/>
              </w:rPr>
              <w:t>-6</w:t>
            </w:r>
          </w:p>
        </w:tc>
        <w:tc>
          <w:tcPr>
            <w:tcW w:w="1771" w:type="dxa"/>
            <w:vAlign w:val="center"/>
          </w:tcPr>
          <w:p w14:paraId="7A0E8A13"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F77750">
              <w:rPr>
                <w:rStyle w:val="normaltextrun"/>
                <w:rFonts w:eastAsiaTheme="majorEastAsia"/>
                <w:color w:val="000000"/>
                <w:sz w:val="22"/>
                <w:szCs w:val="22"/>
                <w:lang w:val="fr-FR"/>
              </w:rPr>
              <w:t>RP</w:t>
            </w:r>
          </w:p>
        </w:tc>
        <w:tc>
          <w:tcPr>
            <w:tcW w:w="1559" w:type="dxa"/>
            <w:vAlign w:val="center"/>
          </w:tcPr>
          <w:p w14:paraId="1AD3E1C8"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F77750">
              <w:rPr>
                <w:rStyle w:val="normaltextrun"/>
                <w:rFonts w:eastAsiaTheme="majorEastAsia"/>
                <w:color w:val="000000"/>
                <w:sz w:val="22"/>
                <w:szCs w:val="22"/>
                <w:lang w:val="fr-FR"/>
              </w:rPr>
              <w:t>9.04</w:t>
            </w:r>
          </w:p>
        </w:tc>
        <w:tc>
          <w:tcPr>
            <w:tcW w:w="1984" w:type="dxa"/>
            <w:vAlign w:val="center"/>
          </w:tcPr>
          <w:p w14:paraId="4D897844"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proofErr w:type="spellStart"/>
            <w:r w:rsidRPr="00F77750">
              <w:rPr>
                <w:rStyle w:val="normaltextrun"/>
                <w:rFonts w:eastAsiaTheme="majorEastAsia"/>
                <w:color w:val="000000"/>
                <w:sz w:val="22"/>
                <w:szCs w:val="22"/>
                <w:lang w:val="fr-FR"/>
              </w:rPr>
              <w:t>Level</w:t>
            </w:r>
            <w:proofErr w:type="spellEnd"/>
            <w:r w:rsidRPr="00F77750">
              <w:rPr>
                <w:rStyle w:val="normaltextrun"/>
                <w:rFonts w:eastAsiaTheme="majorEastAsia"/>
                <w:color w:val="000000"/>
                <w:sz w:val="22"/>
                <w:szCs w:val="22"/>
                <w:lang w:val="fr-FR"/>
              </w:rPr>
              <w:t xml:space="preserve"> 3</w:t>
            </w:r>
          </w:p>
        </w:tc>
        <w:tc>
          <w:tcPr>
            <w:tcW w:w="1843" w:type="dxa"/>
            <w:vAlign w:val="center"/>
          </w:tcPr>
          <w:p w14:paraId="2DD7B4E7"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F77750">
              <w:rPr>
                <w:rStyle w:val="normaltextrun"/>
                <w:rFonts w:eastAsiaTheme="majorEastAsia"/>
                <w:color w:val="000000"/>
                <w:sz w:val="22"/>
                <w:szCs w:val="22"/>
                <w:lang w:val="fr-FR"/>
              </w:rPr>
              <w:t>184.0733</w:t>
            </w:r>
          </w:p>
        </w:tc>
        <w:tc>
          <w:tcPr>
            <w:tcW w:w="775" w:type="dxa"/>
            <w:vAlign w:val="center"/>
          </w:tcPr>
          <w:p w14:paraId="4743C07C" w14:textId="77777777" w:rsidR="007E7809" w:rsidRPr="00F77750"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Pr>
                <w:rStyle w:val="normaltextrun"/>
                <w:rFonts w:eastAsiaTheme="majorEastAsia"/>
                <w:color w:val="000000"/>
                <w:sz w:val="22"/>
                <w:szCs w:val="22"/>
                <w:lang w:val="fr-FR"/>
              </w:rPr>
              <w:t>17</w:t>
            </w:r>
          </w:p>
        </w:tc>
      </w:tr>
      <w:tr w:rsidR="007E7809" w:rsidRPr="00A81A5A" w14:paraId="25B63CE8" w14:textId="77777777" w:rsidTr="00DC0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56F9C1FE" w14:textId="77777777" w:rsidR="007E7809" w:rsidRPr="00F77750" w:rsidRDefault="007E7809" w:rsidP="00DC08FA">
            <w:pPr>
              <w:pStyle w:val="paragraph"/>
              <w:spacing w:before="0" w:beforeAutospacing="0" w:after="0" w:afterAutospacing="0"/>
              <w:jc w:val="center"/>
              <w:textAlignment w:val="baseline"/>
              <w:rPr>
                <w:rStyle w:val="normaltextrun"/>
                <w:rFonts w:eastAsiaTheme="majorEastAsia" w:cstheme="minorBidi"/>
                <w:b w:val="0"/>
                <w:bCs w:val="0"/>
                <w:color w:val="000000"/>
                <w:kern w:val="2"/>
                <w:sz w:val="22"/>
                <w:szCs w:val="22"/>
                <w:lang w:val="fr-FR"/>
              </w:rPr>
            </w:pPr>
            <w:r w:rsidRPr="00F77750">
              <w:rPr>
                <w:rStyle w:val="normaltextrun"/>
                <w:rFonts w:eastAsiaTheme="majorEastAsia"/>
                <w:b w:val="0"/>
                <w:color w:val="000000"/>
                <w:sz w:val="22"/>
                <w:szCs w:val="22"/>
                <w:lang w:val="fr-FR"/>
              </w:rPr>
              <w:t>1-(1-enyl-stearoyl)-2-</w:t>
            </w:r>
            <w:r w:rsidRPr="00F77750">
              <w:rPr>
                <w:rStyle w:val="normaltextrun"/>
                <w:rFonts w:eastAsiaTheme="majorEastAsia"/>
                <w:b w:val="0"/>
                <w:color w:val="000000"/>
                <w:sz w:val="22"/>
                <w:szCs w:val="22"/>
                <w:lang w:val="fr-FR"/>
              </w:rPr>
              <w:lastRenderedPageBreak/>
              <w:t>linoleoyl-GPC (P-18:0/18:2)</w:t>
            </w:r>
          </w:p>
        </w:tc>
        <w:tc>
          <w:tcPr>
            <w:tcW w:w="1412" w:type="dxa"/>
            <w:vAlign w:val="center"/>
          </w:tcPr>
          <w:p w14:paraId="46940C95"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lastRenderedPageBreak/>
              <w:t>C</w:t>
            </w:r>
            <w:r w:rsidRPr="00F77750">
              <w:rPr>
                <w:rStyle w:val="normaltextrun"/>
                <w:rFonts w:eastAsiaTheme="majorEastAsia"/>
                <w:bCs/>
                <w:color w:val="000000"/>
                <w:sz w:val="22"/>
                <w:szCs w:val="22"/>
                <w:vertAlign w:val="subscript"/>
                <w:lang w:val="fr-FR"/>
              </w:rPr>
              <w:t>44</w:t>
            </w:r>
            <w:r w:rsidRPr="00F77750">
              <w:rPr>
                <w:rStyle w:val="normaltextrun"/>
                <w:rFonts w:eastAsiaTheme="majorEastAsia"/>
                <w:bCs/>
                <w:color w:val="000000"/>
                <w:sz w:val="22"/>
                <w:szCs w:val="22"/>
                <w:lang w:val="fr-FR"/>
              </w:rPr>
              <w:t>H</w:t>
            </w:r>
            <w:r w:rsidRPr="00F77750">
              <w:rPr>
                <w:rStyle w:val="normaltextrun"/>
                <w:rFonts w:eastAsiaTheme="majorEastAsia"/>
                <w:bCs/>
                <w:color w:val="000000"/>
                <w:sz w:val="22"/>
                <w:szCs w:val="22"/>
                <w:vertAlign w:val="subscript"/>
                <w:lang w:val="fr-FR"/>
              </w:rPr>
              <w:t>84</w:t>
            </w:r>
            <w:r w:rsidRPr="00F77750">
              <w:rPr>
                <w:rStyle w:val="normaltextrun"/>
                <w:rFonts w:eastAsiaTheme="majorEastAsia"/>
                <w:bCs/>
                <w:color w:val="000000"/>
                <w:sz w:val="22"/>
                <w:szCs w:val="22"/>
                <w:lang w:val="fr-FR"/>
              </w:rPr>
              <w:t>NO</w:t>
            </w:r>
            <w:r w:rsidRPr="00F77750">
              <w:rPr>
                <w:rStyle w:val="normaltextrun"/>
                <w:rFonts w:eastAsiaTheme="majorEastAsia"/>
                <w:bCs/>
                <w:color w:val="000000"/>
                <w:sz w:val="22"/>
                <w:szCs w:val="22"/>
                <w:vertAlign w:val="subscript"/>
                <w:lang w:val="fr-FR"/>
              </w:rPr>
              <w:t>7</w:t>
            </w:r>
            <w:r w:rsidRPr="00F77750">
              <w:rPr>
                <w:rStyle w:val="normaltextrun"/>
                <w:rFonts w:eastAsiaTheme="majorEastAsia"/>
                <w:bCs/>
                <w:color w:val="000000"/>
                <w:sz w:val="22"/>
                <w:szCs w:val="22"/>
                <w:lang w:val="fr-FR"/>
              </w:rPr>
              <w:t>P</w:t>
            </w:r>
          </w:p>
        </w:tc>
        <w:tc>
          <w:tcPr>
            <w:tcW w:w="1208" w:type="dxa"/>
            <w:vAlign w:val="center"/>
          </w:tcPr>
          <w:p w14:paraId="38B38BC4"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t>1.96</w:t>
            </w:r>
          </w:p>
        </w:tc>
        <w:tc>
          <w:tcPr>
            <w:tcW w:w="1490" w:type="dxa"/>
            <w:vAlign w:val="center"/>
          </w:tcPr>
          <w:p w14:paraId="5B05BDA9" w14:textId="7651EC7A"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t>1</w:t>
            </w:r>
            <w:r>
              <w:rPr>
                <w:rStyle w:val="normaltextrun"/>
                <w:rFonts w:eastAsiaTheme="majorEastAsia"/>
                <w:bCs/>
                <w:color w:val="000000"/>
                <w:sz w:val="22"/>
                <w:szCs w:val="22"/>
                <w:lang w:val="fr-FR"/>
              </w:rPr>
              <w:t>.00</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-3</w:t>
            </w:r>
          </w:p>
        </w:tc>
        <w:tc>
          <w:tcPr>
            <w:tcW w:w="1771" w:type="dxa"/>
            <w:vAlign w:val="center"/>
          </w:tcPr>
          <w:p w14:paraId="0649E5F9"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t>RP</w:t>
            </w:r>
          </w:p>
        </w:tc>
        <w:tc>
          <w:tcPr>
            <w:tcW w:w="1559" w:type="dxa"/>
            <w:vAlign w:val="center"/>
          </w:tcPr>
          <w:p w14:paraId="5C08324F"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t>9.19</w:t>
            </w:r>
          </w:p>
        </w:tc>
        <w:tc>
          <w:tcPr>
            <w:tcW w:w="1984" w:type="dxa"/>
            <w:vAlign w:val="center"/>
          </w:tcPr>
          <w:p w14:paraId="417EEB06"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proofErr w:type="spellStart"/>
            <w:r w:rsidRPr="00F77750">
              <w:rPr>
                <w:rStyle w:val="normaltextrun"/>
                <w:rFonts w:eastAsiaTheme="majorEastAsia"/>
                <w:bCs/>
                <w:color w:val="000000"/>
                <w:sz w:val="22"/>
                <w:szCs w:val="22"/>
                <w:lang w:val="fr-FR"/>
              </w:rPr>
              <w:t>Level</w:t>
            </w:r>
            <w:proofErr w:type="spellEnd"/>
            <w:r w:rsidRPr="00F77750">
              <w:rPr>
                <w:rStyle w:val="normaltextrun"/>
                <w:rFonts w:eastAsiaTheme="majorEastAsia"/>
                <w:bCs/>
                <w:color w:val="000000"/>
                <w:sz w:val="22"/>
                <w:szCs w:val="22"/>
                <w:lang w:val="fr-FR"/>
              </w:rPr>
              <w:t xml:space="preserve"> 3</w:t>
            </w:r>
          </w:p>
        </w:tc>
        <w:tc>
          <w:tcPr>
            <w:tcW w:w="1843" w:type="dxa"/>
            <w:vAlign w:val="center"/>
          </w:tcPr>
          <w:p w14:paraId="3D0B155A"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sidRPr="00F77750">
              <w:rPr>
                <w:rStyle w:val="normaltextrun"/>
                <w:rFonts w:eastAsiaTheme="majorEastAsia"/>
                <w:bCs/>
                <w:color w:val="000000"/>
                <w:sz w:val="22"/>
                <w:szCs w:val="22"/>
                <w:lang w:val="fr-FR"/>
              </w:rPr>
              <w:t>184.0733</w:t>
            </w:r>
          </w:p>
        </w:tc>
        <w:tc>
          <w:tcPr>
            <w:tcW w:w="775" w:type="dxa"/>
            <w:vAlign w:val="center"/>
          </w:tcPr>
          <w:p w14:paraId="6D3F052B" w14:textId="77777777" w:rsidR="007E7809" w:rsidRPr="00F77750"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bCs/>
                <w:color w:val="000000"/>
                <w:sz w:val="22"/>
                <w:szCs w:val="22"/>
                <w:lang w:val="fr-FR"/>
              </w:rPr>
            </w:pPr>
            <w:r>
              <w:rPr>
                <w:rStyle w:val="normaltextrun"/>
                <w:rFonts w:eastAsiaTheme="majorEastAsia"/>
                <w:bCs/>
                <w:color w:val="000000"/>
                <w:sz w:val="22"/>
                <w:szCs w:val="22"/>
                <w:lang w:val="fr-FR"/>
              </w:rPr>
              <w:t>18</w:t>
            </w:r>
          </w:p>
        </w:tc>
      </w:tr>
      <w:tr w:rsidR="007E7809" w:rsidRPr="00A81A5A" w14:paraId="5649D120" w14:textId="77777777" w:rsidTr="00DC08FA">
        <w:trPr>
          <w:trHeight w:val="30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5B4B548A" w14:textId="3FE9FE01" w:rsidR="007E7809" w:rsidRDefault="007E7809" w:rsidP="00DC08FA">
            <w:pPr>
              <w:pStyle w:val="paragraph"/>
              <w:spacing w:before="0" w:beforeAutospacing="0" w:after="0" w:afterAutospacing="0"/>
              <w:jc w:val="center"/>
              <w:textAlignment w:val="baseline"/>
              <w:rPr>
                <w:rStyle w:val="normaltextrun"/>
                <w:rFonts w:eastAsiaTheme="majorEastAsia" w:cstheme="minorBidi"/>
                <w:b w:val="0"/>
                <w:bCs w:val="0"/>
                <w:color w:val="000000"/>
                <w:kern w:val="2"/>
                <w:sz w:val="22"/>
                <w:szCs w:val="22"/>
                <w:lang w:val="fr-FR"/>
              </w:rPr>
            </w:pPr>
            <w:proofErr w:type="spellStart"/>
            <w:r w:rsidRPr="00A81A5A">
              <w:rPr>
                <w:rStyle w:val="normaltextrun"/>
                <w:rFonts w:eastAsiaTheme="majorEastAsia"/>
                <w:b w:val="0"/>
                <w:sz w:val="22"/>
                <w:szCs w:val="22"/>
              </w:rPr>
              <w:t>Deoxycarnitine</w:t>
            </w:r>
            <w:proofErr w:type="spellEnd"/>
          </w:p>
        </w:tc>
        <w:tc>
          <w:tcPr>
            <w:tcW w:w="1412" w:type="dxa"/>
            <w:vAlign w:val="center"/>
          </w:tcPr>
          <w:p w14:paraId="73F71E2D" w14:textId="0EC2459B"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7</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15</w:t>
            </w:r>
            <w:r w:rsidRPr="00A81A5A">
              <w:rPr>
                <w:rStyle w:val="normaltextrun"/>
                <w:rFonts w:eastAsiaTheme="majorEastAsia"/>
                <w:color w:val="000000"/>
                <w:sz w:val="22"/>
                <w:szCs w:val="22"/>
                <w:lang w:val="fr-FR"/>
              </w:rPr>
              <w:t>NO</w:t>
            </w:r>
            <w:r w:rsidRPr="00A81A5A">
              <w:rPr>
                <w:rStyle w:val="normaltextrun"/>
                <w:rFonts w:eastAsiaTheme="majorEastAsia"/>
                <w:color w:val="000000"/>
                <w:sz w:val="22"/>
                <w:szCs w:val="22"/>
                <w:vertAlign w:val="subscript"/>
                <w:lang w:val="fr-FR"/>
              </w:rPr>
              <w:t>2</w:t>
            </w:r>
          </w:p>
        </w:tc>
        <w:tc>
          <w:tcPr>
            <w:tcW w:w="1208" w:type="dxa"/>
            <w:vAlign w:val="center"/>
          </w:tcPr>
          <w:p w14:paraId="6A4DA1B3" w14:textId="4DF50B99"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1.23</w:t>
            </w:r>
          </w:p>
        </w:tc>
        <w:tc>
          <w:tcPr>
            <w:tcW w:w="1490" w:type="dxa"/>
            <w:vAlign w:val="center"/>
          </w:tcPr>
          <w:p w14:paraId="3F414BE2" w14:textId="194AB8FF" w:rsidR="007E7809" w:rsidRPr="00A81A5A" w:rsidRDefault="007E7809" w:rsidP="00DC08F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lang w:val="fr-FR"/>
              </w:rPr>
            </w:pPr>
            <w:r w:rsidRPr="00A81A5A">
              <w:rPr>
                <w:rStyle w:val="normaltextrun"/>
                <w:rFonts w:eastAsiaTheme="majorEastAsia"/>
                <w:color w:val="000000"/>
                <w:sz w:val="22"/>
                <w:szCs w:val="22"/>
                <w:lang w:val="fr-FR"/>
              </w:rPr>
              <w:t>6</w:t>
            </w:r>
            <w:r>
              <w:rPr>
                <w:rStyle w:val="normaltextrun"/>
                <w:rFonts w:eastAsiaTheme="majorEastAsia"/>
                <w:color w:val="000000"/>
                <w:sz w:val="22"/>
                <w:szCs w:val="22"/>
                <w:lang w:val="fr-FR"/>
              </w:rPr>
              <w:t>.</w:t>
            </w:r>
            <w:r w:rsidRPr="00A81A5A">
              <w:rPr>
                <w:rStyle w:val="normaltextrun"/>
                <w:rFonts w:eastAsiaTheme="majorEastAsia"/>
                <w:color w:val="000000"/>
                <w:sz w:val="22"/>
                <w:szCs w:val="22"/>
                <w:lang w:val="fr-FR"/>
              </w:rPr>
              <w:t>12</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-3</w:t>
            </w:r>
          </w:p>
        </w:tc>
        <w:tc>
          <w:tcPr>
            <w:tcW w:w="1771" w:type="dxa"/>
            <w:vAlign w:val="center"/>
          </w:tcPr>
          <w:p w14:paraId="4709009B"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HILIC</w:t>
            </w:r>
          </w:p>
        </w:tc>
        <w:tc>
          <w:tcPr>
            <w:tcW w:w="1559" w:type="dxa"/>
            <w:vAlign w:val="center"/>
          </w:tcPr>
          <w:p w14:paraId="3F691C8A" w14:textId="62A7D032"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5.18</w:t>
            </w:r>
          </w:p>
        </w:tc>
        <w:tc>
          <w:tcPr>
            <w:tcW w:w="1984" w:type="dxa"/>
            <w:vAlign w:val="center"/>
          </w:tcPr>
          <w:p w14:paraId="3E78B8FE"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Level 2</w:t>
            </w:r>
          </w:p>
        </w:tc>
        <w:tc>
          <w:tcPr>
            <w:tcW w:w="1843" w:type="dxa"/>
            <w:vAlign w:val="center"/>
          </w:tcPr>
          <w:p w14:paraId="385DC077" w14:textId="5AEB0BE4"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43.0179</w:t>
            </w:r>
          </w:p>
          <w:p w14:paraId="7FAD670C" w14:textId="06342218"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A81A5A">
              <w:rPr>
                <w:rStyle w:val="normaltextrun"/>
                <w:rFonts w:eastAsiaTheme="majorEastAsia"/>
                <w:sz w:val="22"/>
                <w:szCs w:val="22"/>
              </w:rPr>
              <w:t>60.0811</w:t>
            </w:r>
          </w:p>
          <w:p w14:paraId="3A57450D" w14:textId="190C944A"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sidRPr="00A81A5A">
              <w:rPr>
                <w:rStyle w:val="normaltextrun"/>
                <w:rFonts w:eastAsiaTheme="majorEastAsia"/>
                <w:sz w:val="22"/>
                <w:szCs w:val="22"/>
              </w:rPr>
              <w:t>87.0445</w:t>
            </w:r>
          </w:p>
        </w:tc>
        <w:tc>
          <w:tcPr>
            <w:tcW w:w="775" w:type="dxa"/>
            <w:vAlign w:val="center"/>
          </w:tcPr>
          <w:p w14:paraId="4100C9C8" w14:textId="77777777" w:rsidR="007E7809" w:rsidRPr="00A81A5A" w:rsidRDefault="007E7809" w:rsidP="00D902CA">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21</w:t>
            </w:r>
          </w:p>
        </w:tc>
      </w:tr>
      <w:tr w:rsidR="007E7809" w:rsidRPr="00A81A5A" w14:paraId="20F0AB5A" w14:textId="77777777" w:rsidTr="00DC08FA">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916" w:type="dxa"/>
            <w:vAlign w:val="center"/>
            <w:hideMark/>
          </w:tcPr>
          <w:p w14:paraId="68E89FCD" w14:textId="12A19CBF" w:rsidR="007E7809" w:rsidRPr="00A81A5A" w:rsidRDefault="007E7809" w:rsidP="00DC08FA">
            <w:pPr>
              <w:pStyle w:val="paragraph"/>
              <w:spacing w:before="0" w:beforeAutospacing="0" w:after="0" w:afterAutospacing="0"/>
              <w:jc w:val="center"/>
              <w:textAlignment w:val="baseline"/>
              <w:rPr>
                <w:b w:val="0"/>
                <w:sz w:val="22"/>
                <w:szCs w:val="22"/>
              </w:rPr>
            </w:pPr>
            <w:proofErr w:type="spellStart"/>
            <w:r w:rsidRPr="00A81A5A">
              <w:rPr>
                <w:rStyle w:val="normaltextrun"/>
                <w:rFonts w:eastAsiaTheme="majorEastAsia"/>
                <w:b w:val="0"/>
                <w:color w:val="000000"/>
                <w:sz w:val="22"/>
                <w:szCs w:val="22"/>
                <w:lang w:val="fr-FR"/>
              </w:rPr>
              <w:t>Stearoylcarnitine</w:t>
            </w:r>
            <w:proofErr w:type="spellEnd"/>
          </w:p>
          <w:p w14:paraId="3F4759E2" w14:textId="5D071843" w:rsidR="007E7809" w:rsidRPr="00A81A5A" w:rsidRDefault="007E7809" w:rsidP="00DC08FA">
            <w:pPr>
              <w:pStyle w:val="paragraph"/>
              <w:spacing w:before="0" w:beforeAutospacing="0" w:after="0" w:afterAutospacing="0"/>
              <w:jc w:val="center"/>
              <w:textAlignment w:val="baseline"/>
              <w:rPr>
                <w:b w:val="0"/>
                <w:sz w:val="22"/>
                <w:szCs w:val="22"/>
              </w:rPr>
            </w:pPr>
          </w:p>
        </w:tc>
        <w:tc>
          <w:tcPr>
            <w:tcW w:w="1412" w:type="dxa"/>
            <w:vAlign w:val="center"/>
            <w:hideMark/>
          </w:tcPr>
          <w:p w14:paraId="2F5007D9" w14:textId="743AAA1D"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C</w:t>
            </w:r>
            <w:r w:rsidRPr="00A81A5A">
              <w:rPr>
                <w:rStyle w:val="normaltextrun"/>
                <w:rFonts w:eastAsiaTheme="majorEastAsia"/>
                <w:color w:val="000000"/>
                <w:sz w:val="22"/>
                <w:szCs w:val="22"/>
                <w:vertAlign w:val="subscript"/>
                <w:lang w:val="fr-FR"/>
              </w:rPr>
              <w:t>25</w:t>
            </w:r>
            <w:r w:rsidRPr="00A81A5A">
              <w:rPr>
                <w:rStyle w:val="normaltextrun"/>
                <w:rFonts w:eastAsiaTheme="majorEastAsia"/>
                <w:color w:val="000000"/>
                <w:sz w:val="22"/>
                <w:szCs w:val="22"/>
                <w:lang w:val="fr-FR"/>
              </w:rPr>
              <w:t>H</w:t>
            </w:r>
            <w:r w:rsidRPr="00A81A5A">
              <w:rPr>
                <w:rStyle w:val="normaltextrun"/>
                <w:rFonts w:eastAsiaTheme="majorEastAsia"/>
                <w:color w:val="000000"/>
                <w:sz w:val="22"/>
                <w:szCs w:val="22"/>
                <w:vertAlign w:val="subscript"/>
                <w:lang w:val="fr-FR"/>
              </w:rPr>
              <w:t>49</w:t>
            </w:r>
            <w:r w:rsidRPr="00A81A5A">
              <w:rPr>
                <w:rStyle w:val="normaltextrun"/>
                <w:rFonts w:eastAsiaTheme="majorEastAsia"/>
                <w:color w:val="000000"/>
                <w:sz w:val="22"/>
                <w:szCs w:val="22"/>
                <w:lang w:val="fr-FR"/>
              </w:rPr>
              <w:t>NO</w:t>
            </w:r>
            <w:r w:rsidRPr="00A81A5A">
              <w:rPr>
                <w:rStyle w:val="normaltextrun"/>
                <w:rFonts w:eastAsiaTheme="majorEastAsia"/>
                <w:color w:val="000000"/>
                <w:sz w:val="22"/>
                <w:szCs w:val="22"/>
                <w:vertAlign w:val="subscript"/>
                <w:lang w:val="fr-FR"/>
              </w:rPr>
              <w:t>4</w:t>
            </w:r>
          </w:p>
          <w:p w14:paraId="2C49D405" w14:textId="099D0A55"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c>
          <w:tcPr>
            <w:tcW w:w="1208" w:type="dxa"/>
            <w:vAlign w:val="center"/>
            <w:hideMark/>
          </w:tcPr>
          <w:p w14:paraId="27578289" w14:textId="68A212A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1.52</w:t>
            </w:r>
          </w:p>
        </w:tc>
        <w:tc>
          <w:tcPr>
            <w:tcW w:w="1490" w:type="dxa"/>
            <w:vAlign w:val="center"/>
            <w:hideMark/>
          </w:tcPr>
          <w:p w14:paraId="63377684" w14:textId="2CB27E3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color w:val="000000"/>
                <w:sz w:val="22"/>
                <w:szCs w:val="22"/>
                <w:lang w:val="fr-FR"/>
              </w:rPr>
              <w:t>7</w:t>
            </w:r>
            <w:r>
              <w:rPr>
                <w:rStyle w:val="normaltextrun"/>
                <w:rFonts w:eastAsiaTheme="majorEastAsia"/>
                <w:color w:val="000000"/>
                <w:sz w:val="22"/>
                <w:szCs w:val="22"/>
                <w:lang w:val="fr-FR"/>
              </w:rPr>
              <w:t>.</w:t>
            </w:r>
            <w:r w:rsidRPr="00A81A5A">
              <w:rPr>
                <w:rStyle w:val="normaltextrun"/>
                <w:rFonts w:eastAsiaTheme="majorEastAsia"/>
                <w:color w:val="000000"/>
                <w:sz w:val="22"/>
                <w:szCs w:val="22"/>
                <w:lang w:val="fr-FR"/>
              </w:rPr>
              <w:t>36</w:t>
            </w:r>
            <w:r w:rsidRPr="00A81A5A">
              <w:rPr>
                <w:rStyle w:val="normaltextrun"/>
                <w:rFonts w:eastAsiaTheme="majorEastAsia"/>
                <w:sz w:val="22"/>
                <w:szCs w:val="22"/>
              </w:rPr>
              <w:t xml:space="preserve"> x 10</w:t>
            </w:r>
            <w:r>
              <w:rPr>
                <w:rStyle w:val="normaltextrun"/>
                <w:rFonts w:eastAsiaTheme="majorEastAsia"/>
                <w:sz w:val="22"/>
                <w:szCs w:val="22"/>
                <w:vertAlign w:val="superscript"/>
              </w:rPr>
              <w:t>-3</w:t>
            </w:r>
          </w:p>
          <w:p w14:paraId="61CAA15C"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p>
        </w:tc>
        <w:tc>
          <w:tcPr>
            <w:tcW w:w="1771" w:type="dxa"/>
            <w:vAlign w:val="center"/>
            <w:hideMark/>
          </w:tcPr>
          <w:p w14:paraId="359D267B"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RP</w:t>
            </w:r>
          </w:p>
        </w:tc>
        <w:tc>
          <w:tcPr>
            <w:tcW w:w="1559" w:type="dxa"/>
            <w:vAlign w:val="center"/>
            <w:hideMark/>
          </w:tcPr>
          <w:p w14:paraId="68DA1147" w14:textId="56A0CCE2"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6.47</w:t>
            </w:r>
          </w:p>
        </w:tc>
        <w:tc>
          <w:tcPr>
            <w:tcW w:w="1984" w:type="dxa"/>
            <w:vAlign w:val="center"/>
            <w:hideMark/>
          </w:tcPr>
          <w:p w14:paraId="10D5AD68"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Level 1</w:t>
            </w:r>
          </w:p>
        </w:tc>
        <w:tc>
          <w:tcPr>
            <w:tcW w:w="1843" w:type="dxa"/>
            <w:vAlign w:val="center"/>
            <w:hideMark/>
          </w:tcPr>
          <w:p w14:paraId="706A35BC" w14:textId="71E0F030"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85.0277</w:t>
            </w:r>
          </w:p>
          <w:p w14:paraId="359C6E06" w14:textId="5D6B45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81A5A">
              <w:rPr>
                <w:rStyle w:val="normaltextrun"/>
                <w:rFonts w:eastAsiaTheme="majorEastAsia"/>
                <w:sz w:val="22"/>
                <w:szCs w:val="22"/>
              </w:rPr>
              <w:t>60.0813</w:t>
            </w:r>
          </w:p>
        </w:tc>
        <w:tc>
          <w:tcPr>
            <w:tcW w:w="775" w:type="dxa"/>
            <w:vAlign w:val="center"/>
          </w:tcPr>
          <w:p w14:paraId="4D35B86A" w14:textId="77777777" w:rsidR="007E7809" w:rsidRPr="00A81A5A" w:rsidRDefault="007E7809" w:rsidP="00D902CA">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ajorEastAsia"/>
                <w:sz w:val="22"/>
                <w:szCs w:val="22"/>
              </w:rPr>
            </w:pPr>
            <w:r>
              <w:rPr>
                <w:rStyle w:val="normaltextrun"/>
                <w:rFonts w:eastAsiaTheme="majorEastAsia"/>
                <w:sz w:val="22"/>
                <w:szCs w:val="22"/>
              </w:rPr>
              <w:t>57</w:t>
            </w:r>
          </w:p>
        </w:tc>
      </w:tr>
    </w:tbl>
    <w:p w14:paraId="4BEA644D" w14:textId="0983D9CA" w:rsidR="007E7809" w:rsidRDefault="007E7809" w:rsidP="007E7809">
      <w:pPr>
        <w:pStyle w:val="paragraph"/>
        <w:spacing w:before="0" w:beforeAutospacing="0" w:after="0" w:afterAutospacing="0"/>
        <w:textAlignment w:val="baseline"/>
      </w:pPr>
      <w:r w:rsidRPr="0022721E">
        <w:rPr>
          <w:rStyle w:val="normaltextrun"/>
          <w:rFonts w:eastAsiaTheme="majorEastAsia"/>
          <w:sz w:val="17"/>
          <w:szCs w:val="17"/>
          <w:vertAlign w:val="superscript"/>
        </w:rPr>
        <w:t>1</w:t>
      </w:r>
      <w:r>
        <w:rPr>
          <w:rStyle w:val="normaltextrun"/>
          <w:rFonts w:eastAsiaTheme="majorEastAsia"/>
          <w:sz w:val="22"/>
          <w:szCs w:val="22"/>
        </w:rPr>
        <w:t>Fold change in signal intensity in the RCT</w:t>
      </w:r>
      <w:r w:rsidRPr="0022721E">
        <w:rPr>
          <w:rStyle w:val="normaltextrun"/>
          <w:rFonts w:eastAsiaTheme="majorEastAsia"/>
          <w:sz w:val="22"/>
          <w:szCs w:val="22"/>
        </w:rPr>
        <w:t xml:space="preserve"> </w:t>
      </w:r>
      <w:r>
        <w:rPr>
          <w:rStyle w:val="normaltextrun"/>
          <w:rFonts w:eastAsiaTheme="majorEastAsia"/>
          <w:sz w:val="22"/>
          <w:szCs w:val="22"/>
        </w:rPr>
        <w:t>after fried pork intake compared with the tofu diet</w:t>
      </w:r>
      <w:r>
        <w:rPr>
          <w:rStyle w:val="eop"/>
          <w:rFonts w:eastAsiaTheme="majorEastAsia"/>
          <w:sz w:val="22"/>
          <w:szCs w:val="22"/>
        </w:rPr>
        <w:t>.</w:t>
      </w:r>
      <w:r w:rsidR="00207A56">
        <w:rPr>
          <w:rStyle w:val="eop"/>
          <w:rFonts w:eastAsiaTheme="majorEastAsia"/>
          <w:sz w:val="22"/>
          <w:szCs w:val="22"/>
        </w:rPr>
        <w:t xml:space="preserve"> </w:t>
      </w:r>
      <w:r w:rsidR="00207A56" w:rsidRPr="00DC08FA">
        <w:rPr>
          <w:rStyle w:val="eop"/>
          <w:rFonts w:eastAsiaTheme="majorEastAsia"/>
          <w:sz w:val="20"/>
          <w:szCs w:val="22"/>
        </w:rPr>
        <w:t>P</w:t>
      </w:r>
      <w:r w:rsidR="00207A56" w:rsidRPr="00DC08FA">
        <w:rPr>
          <w:sz w:val="22"/>
        </w:rPr>
        <w:t xml:space="preserve">aired Welch’s t-tests were used to </w:t>
      </w:r>
      <w:r w:rsidR="00207A56">
        <w:rPr>
          <w:sz w:val="22"/>
        </w:rPr>
        <w:t>evaluate</w:t>
      </w:r>
      <w:r w:rsidR="00207A56" w:rsidRPr="00DC08FA">
        <w:rPr>
          <w:sz w:val="22"/>
        </w:rPr>
        <w:t xml:space="preserve"> whether metabolites were significantly </w:t>
      </w:r>
      <w:r w:rsidR="00207A56">
        <w:rPr>
          <w:sz w:val="22"/>
        </w:rPr>
        <w:t>increased</w:t>
      </w:r>
      <w:r w:rsidR="00207A56" w:rsidRPr="00DC08FA">
        <w:rPr>
          <w:sz w:val="22"/>
        </w:rPr>
        <w:t xml:space="preserve"> after pork intake compared to tofu intake.</w:t>
      </w:r>
      <w:r w:rsidR="00D902CA" w:rsidRPr="00DC08FA">
        <w:rPr>
          <w:rStyle w:val="eop"/>
          <w:rFonts w:eastAsiaTheme="majorEastAsia"/>
          <w:sz w:val="20"/>
          <w:szCs w:val="22"/>
        </w:rPr>
        <w:t xml:space="preserve"> </w:t>
      </w:r>
      <w:r w:rsidR="00D902CA">
        <w:rPr>
          <w:rStyle w:val="eop"/>
          <w:rFonts w:eastAsiaTheme="majorEastAsia"/>
          <w:sz w:val="22"/>
          <w:szCs w:val="22"/>
        </w:rPr>
        <w:t xml:space="preserve">The </w:t>
      </w:r>
      <w:r w:rsidR="00735627">
        <w:rPr>
          <w:rStyle w:val="eop"/>
          <w:rFonts w:eastAsiaTheme="majorEastAsia"/>
          <w:sz w:val="22"/>
          <w:szCs w:val="22"/>
        </w:rPr>
        <w:t>variation</w:t>
      </w:r>
      <w:r w:rsidR="00D902CA">
        <w:rPr>
          <w:rStyle w:val="eop"/>
          <w:rFonts w:eastAsiaTheme="majorEastAsia"/>
          <w:sz w:val="22"/>
          <w:szCs w:val="22"/>
        </w:rPr>
        <w:t xml:space="preserve"> of metabolites </w:t>
      </w:r>
      <w:r w:rsidR="00735627">
        <w:rPr>
          <w:rStyle w:val="eop"/>
          <w:rFonts w:eastAsiaTheme="majorEastAsia"/>
          <w:sz w:val="22"/>
          <w:szCs w:val="22"/>
        </w:rPr>
        <w:t xml:space="preserve">intensity </w:t>
      </w:r>
      <w:r w:rsidR="00D902CA" w:rsidRPr="00D902CA">
        <w:rPr>
          <w:rStyle w:val="normaltextrun"/>
          <w:rFonts w:eastAsiaTheme="majorEastAsia"/>
          <w:sz w:val="22"/>
          <w:szCs w:val="22"/>
        </w:rPr>
        <w:t xml:space="preserve">after consumption of pork vs tofu </w:t>
      </w:r>
      <w:r w:rsidR="00D902CA">
        <w:rPr>
          <w:rStyle w:val="normaltextrun"/>
          <w:rFonts w:eastAsiaTheme="majorEastAsia"/>
          <w:sz w:val="22"/>
          <w:szCs w:val="22"/>
        </w:rPr>
        <w:t xml:space="preserve">is shown </w:t>
      </w:r>
      <w:r w:rsidR="00D902CA">
        <w:rPr>
          <w:rStyle w:val="eop"/>
          <w:rFonts w:eastAsiaTheme="majorEastAsia"/>
          <w:sz w:val="22"/>
          <w:szCs w:val="22"/>
        </w:rPr>
        <w:t>in Supplementary Figure 3.</w:t>
      </w:r>
    </w:p>
    <w:p w14:paraId="7A16B82F" w14:textId="5D05F72F" w:rsidR="007E7809" w:rsidRPr="003B1361" w:rsidRDefault="007E7809" w:rsidP="007E7809">
      <w:pPr>
        <w:pStyle w:val="paragraph"/>
        <w:spacing w:before="0" w:beforeAutospacing="0" w:after="0" w:afterAutospacing="0"/>
        <w:textAlignment w:val="baseline"/>
        <w:rPr>
          <w:rStyle w:val="normaltextrun"/>
          <w:rFonts w:eastAsiaTheme="majorEastAsia"/>
          <w:sz w:val="22"/>
          <w:szCs w:val="22"/>
        </w:rPr>
      </w:pPr>
      <w:r>
        <w:rPr>
          <w:rStyle w:val="normaltextrun"/>
          <w:rFonts w:eastAsiaTheme="majorEastAsia"/>
          <w:sz w:val="17"/>
          <w:szCs w:val="17"/>
          <w:vertAlign w:val="superscript"/>
        </w:rPr>
        <w:t>2</w:t>
      </w:r>
      <w:r w:rsidRPr="00E602AE">
        <w:rPr>
          <w:rStyle w:val="normaltextrun"/>
          <w:rFonts w:eastAsiaTheme="majorEastAsia"/>
          <w:sz w:val="22"/>
          <w:szCs w:val="22"/>
        </w:rPr>
        <w:t>R</w:t>
      </w:r>
      <w:r>
        <w:rPr>
          <w:rStyle w:val="normaltextrun"/>
          <w:rFonts w:eastAsiaTheme="majorEastAsia"/>
          <w:sz w:val="22"/>
          <w:szCs w:val="22"/>
        </w:rPr>
        <w:t>P: r</w:t>
      </w:r>
      <w:r w:rsidRPr="00E602AE">
        <w:rPr>
          <w:rStyle w:val="normaltextrun"/>
          <w:rFonts w:eastAsiaTheme="majorEastAsia"/>
          <w:sz w:val="22"/>
          <w:szCs w:val="22"/>
        </w:rPr>
        <w:t>everse</w:t>
      </w:r>
      <w:r w:rsidRPr="0022721E">
        <w:rPr>
          <w:rStyle w:val="normaltextrun"/>
          <w:rFonts w:eastAsiaTheme="majorEastAsia"/>
          <w:sz w:val="22"/>
          <w:szCs w:val="22"/>
        </w:rPr>
        <w:t xml:space="preserve"> phase chromatography</w:t>
      </w:r>
      <w:r>
        <w:rPr>
          <w:rStyle w:val="normaltextrun"/>
          <w:rFonts w:eastAsiaTheme="majorEastAsia"/>
          <w:sz w:val="22"/>
          <w:szCs w:val="22"/>
        </w:rPr>
        <w:t xml:space="preserve">; HILIC: </w:t>
      </w:r>
      <w:r w:rsidRPr="003B1361">
        <w:rPr>
          <w:rStyle w:val="normaltextrun"/>
          <w:rFonts w:eastAsiaTheme="majorEastAsia"/>
          <w:sz w:val="22"/>
          <w:szCs w:val="22"/>
        </w:rPr>
        <w:t>Hydrophilic Interaction Liquid Chromatography.</w:t>
      </w:r>
      <w:r w:rsidR="00D902CA">
        <w:rPr>
          <w:rStyle w:val="normaltextrun"/>
          <w:rFonts w:eastAsiaTheme="majorEastAsia"/>
          <w:sz w:val="22"/>
          <w:szCs w:val="22"/>
        </w:rPr>
        <w:t xml:space="preserve"> The </w:t>
      </w:r>
      <w:r w:rsidR="00D902CA" w:rsidRPr="00D902CA">
        <w:rPr>
          <w:rStyle w:val="normaltextrun"/>
          <w:rFonts w:eastAsiaTheme="majorEastAsia"/>
          <w:sz w:val="22"/>
          <w:szCs w:val="22"/>
        </w:rPr>
        <w:t xml:space="preserve">chromatographic tracing of selected metabolites in the blood after consumption of pork vs tofu </w:t>
      </w:r>
      <w:r w:rsidR="00D902CA">
        <w:rPr>
          <w:rStyle w:val="normaltextrun"/>
          <w:rFonts w:eastAsiaTheme="majorEastAsia"/>
          <w:sz w:val="22"/>
          <w:szCs w:val="22"/>
        </w:rPr>
        <w:t>are shown in Supplementary Figure 4</w:t>
      </w:r>
      <w:r w:rsidR="00D902CA" w:rsidRPr="00D902CA">
        <w:rPr>
          <w:rStyle w:val="normaltextrun"/>
          <w:rFonts w:eastAsiaTheme="majorEastAsia"/>
          <w:sz w:val="22"/>
          <w:szCs w:val="22"/>
        </w:rPr>
        <w:t>.</w:t>
      </w:r>
    </w:p>
    <w:p w14:paraId="54A4D796" w14:textId="69F5160E" w:rsidR="007E7809" w:rsidRDefault="007E7809" w:rsidP="007E7809">
      <w:pPr>
        <w:pStyle w:val="paragraph"/>
        <w:spacing w:before="0" w:beforeAutospacing="0" w:after="0" w:afterAutospacing="0"/>
        <w:textAlignment w:val="baseline"/>
        <w:rPr>
          <w:rStyle w:val="normaltextrun"/>
          <w:rFonts w:eastAsiaTheme="majorEastAsia"/>
          <w:sz w:val="22"/>
          <w:szCs w:val="22"/>
        </w:rPr>
      </w:pPr>
      <w:r>
        <w:rPr>
          <w:rStyle w:val="normaltextrun"/>
          <w:rFonts w:eastAsiaTheme="majorEastAsia"/>
          <w:sz w:val="17"/>
          <w:szCs w:val="17"/>
          <w:vertAlign w:val="superscript"/>
        </w:rPr>
        <w:t>3</w:t>
      </w:r>
      <w:r w:rsidRPr="0022721E">
        <w:rPr>
          <w:rStyle w:val="normaltextrun"/>
          <w:rFonts w:eastAsiaTheme="majorEastAsia"/>
          <w:sz w:val="22"/>
          <w:szCs w:val="22"/>
        </w:rPr>
        <w:t xml:space="preserve">Level of </w:t>
      </w:r>
      <w:r>
        <w:rPr>
          <w:rStyle w:val="normaltextrun"/>
          <w:rFonts w:eastAsiaTheme="majorEastAsia"/>
          <w:sz w:val="22"/>
          <w:szCs w:val="22"/>
        </w:rPr>
        <w:t xml:space="preserve">confidence in metabolite </w:t>
      </w:r>
      <w:r w:rsidRPr="0022721E">
        <w:rPr>
          <w:rStyle w:val="normaltextrun"/>
          <w:rFonts w:eastAsiaTheme="majorEastAsia"/>
          <w:sz w:val="22"/>
          <w:szCs w:val="22"/>
        </w:rPr>
        <w:t>identification</w:t>
      </w:r>
      <w:r>
        <w:rPr>
          <w:rStyle w:val="normaltextrun"/>
          <w:rFonts w:eastAsiaTheme="majorEastAsia"/>
          <w:sz w:val="22"/>
          <w:szCs w:val="22"/>
        </w:rPr>
        <w:t xml:space="preserve"> according to Sumner et al.</w:t>
      </w:r>
      <w:r>
        <w:rPr>
          <w:rStyle w:val="normaltextrun"/>
          <w:rFonts w:eastAsiaTheme="majorEastAsia"/>
          <w:sz w:val="22"/>
          <w:szCs w:val="22"/>
        </w:rPr>
        <w:fldChar w:fldCharType="begin" w:fldLock="1"/>
      </w:r>
      <w:r w:rsidR="003D41CF">
        <w:rPr>
          <w:rStyle w:val="normaltextrun"/>
          <w:rFonts w:eastAsiaTheme="majorEastAsia"/>
          <w:sz w:val="22"/>
          <w:szCs w:val="22"/>
        </w:rPr>
        <w:instrText>ADDIN CSL_CITATION {"citationItems":[{"id":"ITEM-1","itemData":{"DOI":"10.1007/s11306-007-0082-2","ISSN":"1573-3882 (Print) 1573-3882 (Linking)","abstract":"There is a general consensus that supports the need for standardized reporting of metadata or information describing large-scale metabolomics and other functional genomics data sets. Reporting of standard metadata provides a biological and empirical context for the data, facilitates experimental replication, and enables the re-interrogation and comparison of data by others. Accordingly, the Metabolomics Standards Initiative is building a general consensus concerning the minimum reporting standards for metabolomics experiments of which the Chemical Analysis Working Group (CAWG) is a member of this community effort. This article proposes the minimum reporting standards related to the chemical analysis aspects of metabolomics experiments including: sample preparation, experimental analysis, quality control, metabolite identification, and data pre-processing. These minimum standards currently focus mostly upon mass spectrometry and nuclear magnetic resonance spectroscopy due to the popularity of these techniques in metabolomics. However, additional input concerning other techniques is welcomed and can be provided via the CAWG on-line discussion forum at http://msi-workgroups.sourceforge.net/ or http://Msi-workgroups-feedback@lists.sourceforge.net. Further, community input related to this document can also be provided via this electronic forum.","author":[{"dropping-particle":"","family":"Sumner","given":"L W","non-dropping-particle":"","parse-names":false,"suffix":""},{"dropping-particle":"","family":"Amberg","given":"A","non-dropping-particle":"","parse-names":false,"suffix":""},{"dropping-particle":"","family":"Barrett","given":"D","non-dropping-particle":"","parse-names":false,"suffix":""},{"dropping-particle":"","family":"Beale","given":"M H","non-dropping-particle":"","parse-names":false,"suffix":""},{"dropping-particle":"","family":"Beger","given":"R","non-dropping-particle":"","parse-names":false,"suffix":""},{"dropping-particle":"","family":"Daykin","given":"C A","non-dropping-particle":"","parse-names":false,"suffix":""},{"dropping-particle":"","family":"Fan","given":"T W","non-dropping-particle":"","parse-names":false,"suffix":""},{"dropping-particle":"","family":"Fiehn","given":"O","non-dropping-particle":"","parse-names":false,"suffix":""},{"dropping-particle":"","family":"Goodacre","given":"R","non-dropping-particle":"","parse-names":false,"suffix":""},{"dropping-particle":"","family":"Griffin","given":"J L","non-dropping-particle":"","parse-names":false,"suffix":""},{"dropping-particle":"","family":"Hankemeier","given":"T","non-dropping-particle":"","parse-names":false,"suffix":""},{"dropping-particle":"","family":"Hardy","given":"N","non-dropping-particle":"","parse-names":false,"suffix":""},{"dropping-particle":"","family":"Harnly","given":"J","non-dropping-particle":"","parse-names":false,"suffix":""},{"dropping-particle":"","family":"Higashi","given":"R","non-dropping-particle":"","parse-names":false,"suffix":""},{"dropping-particle":"","family":"Kopka","given":"J","non-dropping-particle":"","parse-names":false,"suffix":""},{"dropping-particle":"","family":"Lane","given":"A N","non-dropping-particle":"","parse-names":false,"suffix":""},{"dropping-particle":"","family":"Lindon","given":"J C","non-dropping-particle":"","parse-names":false,"suffix":""},{"dropping-particle":"","family":"Marriott","given":"P","non-dropping-particle":"","parse-names":false,"suffix":""},{"dropping-particle":"","family":"Nicholls","given":"A W","non-dropping-particle":"","parse-names":false,"suffix":""},{"dropping-particle":"","family":"Reily","given":"M D","non-dropping-particle":"","parse-names":false,"suffix":""},{"dropping-particle":"","family":"Thaden","given":"J J","non-dropping-particle":"","parse-names":false,"suffix":""},{"dropping-particle":"","family":"Viant","given":"M R","non-dropping-particle":"","parse-names":false,"suffix":""}],"container-title":"Metabolomics","id":"ITEM-1","issue":"3","issued":{"date-parts":[["2007"]]},"note":"Sumner, Lloyd W\nAmberg, Alexander\nBarrett, Dave\nBeale, Michael H\nBeger, Richard\nDaykin, Clare A\nFan, Teresa W-M\nFiehn, Oliver\nGoodacre, Royston\nGriffin, Julian L\nHankemeier, Thomas\nHardy, Nigel\nHarnly, James\nHigashi, Richard\nKopka, Joachim\nLane, Andrew N\nLindon, John C\nMarriott, Philip\nNicholls, Andrew W\nReily, Michael D\nThaden, John J\nViant, Mark R\neng\nY01 OD001298-01/OD/NIH HHS/\nBB/D006422/1/Biotechnology and Biological Sciences Research Council/United Kingdom\nBB/C519038/1/Biotechnology and Biological Sciences Research Council/United Kingdom\nBBS/E/C/00004559/Biotechnology and Biological Sciences Research Council/United Kingdom\nBB/D525121/1/Biotechnology and Biological Sciences Research Council/United Kingdom\nMC_QA137293/Medical Research Council/United Kingdom\n2007/09/01 00:00\nMetabolomics. 2007 Sep;3(3):211-221. doi: 10.1007/s11306-007-0082-2.","page":"211-221","publisher-place":"The Samuel Roberts Noble Foundation, Ardmore, OK, USA.","title":"Proposed minimum reporting standards for chemical analysis Chemical Analysis Working Group (CAWG) Metabolomics Standards Initiative (MSI)","type":"article-journal","volume":"3"},"uris":["http://www.mendeley.com/documents/?uuid=8f855747-6ba1-495c-bc5b-6a1ba0ce650a"]}],"mendeley":{"formattedCitation":"(25)","plainTextFormattedCitation":"(25)","previouslyFormattedCitation":"(25)"},"properties":{"noteIndex":0},"schema":"https://github.com/citation-style-language/schema/raw/master/csl-citation.json"}</w:instrText>
      </w:r>
      <w:r>
        <w:rPr>
          <w:rStyle w:val="normaltextrun"/>
          <w:rFonts w:eastAsiaTheme="majorEastAsia"/>
          <w:sz w:val="22"/>
          <w:szCs w:val="22"/>
          <w:vertAlign w:val="superscript"/>
        </w:rPr>
        <w:fldChar w:fldCharType="separate"/>
      </w:r>
      <w:r w:rsidR="00AB1D57" w:rsidRPr="00AB1D57">
        <w:rPr>
          <w:rStyle w:val="normaltextrun"/>
          <w:rFonts w:eastAsiaTheme="majorEastAsia"/>
          <w:noProof/>
          <w:sz w:val="22"/>
          <w:szCs w:val="22"/>
        </w:rPr>
        <w:t>(25)</w:t>
      </w:r>
      <w:r>
        <w:rPr>
          <w:rStyle w:val="normaltextrun"/>
          <w:rFonts w:eastAsiaTheme="majorEastAsia"/>
          <w:sz w:val="22"/>
          <w:szCs w:val="22"/>
        </w:rPr>
        <w:fldChar w:fldCharType="end"/>
      </w:r>
      <w:r w:rsidRPr="0022721E">
        <w:rPr>
          <w:rStyle w:val="normaltextrun"/>
          <w:rFonts w:eastAsiaTheme="majorEastAsia"/>
          <w:sz w:val="22"/>
          <w:szCs w:val="22"/>
        </w:rPr>
        <w:t xml:space="preserve">: level 1, matching of mass, retention time and </w:t>
      </w:r>
      <w:r>
        <w:rPr>
          <w:rStyle w:val="normaltextrun"/>
          <w:rFonts w:eastAsiaTheme="majorEastAsia"/>
          <w:sz w:val="22"/>
          <w:szCs w:val="22"/>
        </w:rPr>
        <w:t xml:space="preserve">mass </w:t>
      </w:r>
      <w:r w:rsidRPr="0022721E">
        <w:rPr>
          <w:rStyle w:val="normaltextrun"/>
          <w:rFonts w:eastAsiaTheme="majorEastAsia"/>
          <w:sz w:val="22"/>
          <w:szCs w:val="22"/>
        </w:rPr>
        <w:t xml:space="preserve">fragmentation pattern with authentic </w:t>
      </w:r>
      <w:r>
        <w:rPr>
          <w:rStyle w:val="normaltextrun"/>
          <w:rFonts w:eastAsiaTheme="majorEastAsia"/>
          <w:sz w:val="22"/>
          <w:szCs w:val="22"/>
        </w:rPr>
        <w:t xml:space="preserve">chemical </w:t>
      </w:r>
      <w:r w:rsidRPr="0022721E">
        <w:rPr>
          <w:rStyle w:val="normaltextrun"/>
          <w:rFonts w:eastAsiaTheme="majorEastAsia"/>
          <w:sz w:val="22"/>
          <w:szCs w:val="22"/>
        </w:rPr>
        <w:t xml:space="preserve">standard; level 2, matching of </w:t>
      </w:r>
      <w:r>
        <w:rPr>
          <w:rStyle w:val="normaltextrun"/>
          <w:rFonts w:eastAsiaTheme="majorEastAsia"/>
          <w:sz w:val="22"/>
          <w:szCs w:val="22"/>
        </w:rPr>
        <w:t xml:space="preserve">accurate </w:t>
      </w:r>
      <w:r w:rsidRPr="0022721E">
        <w:rPr>
          <w:rStyle w:val="normaltextrun"/>
          <w:rFonts w:eastAsiaTheme="majorEastAsia"/>
          <w:sz w:val="22"/>
          <w:szCs w:val="22"/>
        </w:rPr>
        <w:t xml:space="preserve">mass and </w:t>
      </w:r>
      <w:r>
        <w:rPr>
          <w:rStyle w:val="normaltextrun"/>
          <w:rFonts w:eastAsiaTheme="majorEastAsia"/>
          <w:sz w:val="22"/>
          <w:szCs w:val="22"/>
        </w:rPr>
        <w:t xml:space="preserve">mass </w:t>
      </w:r>
      <w:r w:rsidRPr="0022721E">
        <w:rPr>
          <w:rStyle w:val="normaltextrun"/>
          <w:rFonts w:eastAsiaTheme="majorEastAsia"/>
          <w:sz w:val="22"/>
          <w:szCs w:val="22"/>
        </w:rPr>
        <w:t>fragmentation pattern with the corresponding compound in a database</w:t>
      </w:r>
      <w:r>
        <w:rPr>
          <w:rStyle w:val="normaltextrun"/>
          <w:rFonts w:eastAsiaTheme="majorEastAsia"/>
          <w:sz w:val="22"/>
          <w:szCs w:val="22"/>
        </w:rPr>
        <w:t xml:space="preserve">; </w:t>
      </w:r>
      <w:r w:rsidRPr="00EF6DE8">
        <w:rPr>
          <w:rStyle w:val="normaltextrun"/>
          <w:rFonts w:eastAsiaTheme="majorEastAsia"/>
          <w:sz w:val="22"/>
          <w:szCs w:val="22"/>
        </w:rPr>
        <w:t xml:space="preserve">level 3, matching of mass and fragmentation pattern with the corresponding compound </w:t>
      </w:r>
      <w:r>
        <w:rPr>
          <w:rStyle w:val="normaltextrun"/>
          <w:rFonts w:eastAsiaTheme="majorEastAsia"/>
          <w:sz w:val="22"/>
          <w:szCs w:val="22"/>
        </w:rPr>
        <w:t>a database, d</w:t>
      </w:r>
      <w:r w:rsidRPr="00EF6DE8">
        <w:rPr>
          <w:rStyle w:val="normaltextrun"/>
          <w:rFonts w:eastAsiaTheme="majorEastAsia"/>
          <w:sz w:val="22"/>
          <w:szCs w:val="22"/>
        </w:rPr>
        <w:t>ue to the non-specific fragment, only the functional group, but not the length of each carbon chains can be determi</w:t>
      </w:r>
      <w:r>
        <w:rPr>
          <w:rStyle w:val="normaltextrun"/>
          <w:rFonts w:eastAsiaTheme="majorEastAsia"/>
          <w:sz w:val="22"/>
          <w:szCs w:val="22"/>
        </w:rPr>
        <w:t>ned.</w:t>
      </w:r>
    </w:p>
    <w:p w14:paraId="52EF80B7" w14:textId="77777777" w:rsidR="007E7809" w:rsidRPr="0091354A" w:rsidRDefault="007E7809" w:rsidP="007E7809">
      <w:pPr>
        <w:pStyle w:val="paragraph"/>
        <w:spacing w:before="0" w:beforeAutospacing="0" w:after="0" w:afterAutospacing="0"/>
        <w:textAlignment w:val="baseline"/>
        <w:rPr>
          <w:sz w:val="18"/>
          <w:szCs w:val="18"/>
          <w:vertAlign w:val="superscript"/>
        </w:rPr>
      </w:pPr>
      <w:r w:rsidRPr="0091354A">
        <w:rPr>
          <w:sz w:val="22"/>
          <w:szCs w:val="18"/>
          <w:vertAlign w:val="superscript"/>
        </w:rPr>
        <w:t>4</w:t>
      </w:r>
      <w:r>
        <w:rPr>
          <w:sz w:val="22"/>
          <w:szCs w:val="18"/>
        </w:rPr>
        <w:t xml:space="preserve">Rank: The rank of coefficients out of 139 metabolites in the red meat metabolite score in the EPIC-Norfolk study. </w:t>
      </w:r>
    </w:p>
    <w:p w14:paraId="4929C38C" w14:textId="77777777" w:rsidR="007E7809" w:rsidRDefault="007E7809" w:rsidP="007E7809">
      <w:pPr>
        <w:pStyle w:val="paragraph"/>
        <w:spacing w:before="0" w:beforeAutospacing="0" w:after="0" w:afterAutospacing="0"/>
        <w:textAlignment w:val="baseline"/>
        <w:rPr>
          <w:rFonts w:eastAsiaTheme="majorEastAsia" w:cstheme="majorBidi"/>
          <w:b/>
          <w:szCs w:val="32"/>
        </w:rPr>
      </w:pPr>
      <w:r>
        <w:br w:type="page"/>
      </w:r>
    </w:p>
    <w:p w14:paraId="623FAE3F" w14:textId="77777777" w:rsidR="007E7809" w:rsidRDefault="007E7809" w:rsidP="00735627">
      <w:pPr>
        <w:pStyle w:val="Heading1"/>
        <w:sectPr w:rsidR="007E7809" w:rsidSect="00DC08FA">
          <w:type w:val="continuous"/>
          <w:pgSz w:w="16838" w:h="11906" w:orient="landscape"/>
          <w:pgMar w:top="1440" w:right="1440" w:bottom="1440" w:left="1440" w:header="708" w:footer="708" w:gutter="0"/>
          <w:cols w:space="708"/>
          <w:docGrid w:linePitch="360"/>
        </w:sectPr>
      </w:pPr>
    </w:p>
    <w:p w14:paraId="1E9D940E" w14:textId="73707757" w:rsidR="007E7809" w:rsidRPr="007D5390" w:rsidRDefault="007E7809" w:rsidP="00EF3667">
      <w:pPr>
        <w:pStyle w:val="Heading2"/>
      </w:pPr>
      <w:r>
        <w:lastRenderedPageBreak/>
        <w:t xml:space="preserve">Table 3. </w:t>
      </w:r>
      <w:r w:rsidRPr="00C30866">
        <w:t>Characteristics of the study parti</w:t>
      </w:r>
      <w:r>
        <w:t>cipants from baseline</w:t>
      </w:r>
      <w:r w:rsidRPr="00C30866">
        <w:t xml:space="preserve"> of the</w:t>
      </w:r>
      <w:r>
        <w:t xml:space="preserve"> T2D case-cohort in the</w:t>
      </w:r>
      <w:r w:rsidRPr="00C30866">
        <w:t xml:space="preserve"> </w:t>
      </w:r>
      <w:r>
        <w:t>EPIC-Norfolk</w:t>
      </w:r>
      <w:r w:rsidRPr="00C30866">
        <w:t xml:space="preserve"> </w:t>
      </w:r>
      <w:r>
        <w:t>cohort</w:t>
      </w:r>
      <w:r w:rsidR="003E405E" w:rsidRPr="00DC08FA">
        <w:rPr>
          <w:vertAlign w:val="superscript"/>
        </w:rPr>
        <w:t>1</w:t>
      </w:r>
    </w:p>
    <w:tbl>
      <w:tblPr>
        <w:tblpPr w:leftFromText="180" w:rightFromText="180" w:bottomFromText="160" w:vertAnchor="page" w:horzAnchor="margin" w:tblpY="2831"/>
        <w:tblW w:w="10409" w:type="dxa"/>
        <w:shd w:val="clear" w:color="auto" w:fill="FFFFFF"/>
        <w:tblLayout w:type="fixed"/>
        <w:tblCellMar>
          <w:left w:w="0" w:type="dxa"/>
          <w:right w:w="0" w:type="dxa"/>
        </w:tblCellMar>
        <w:tblLook w:val="04A0" w:firstRow="1" w:lastRow="0" w:firstColumn="1" w:lastColumn="0" w:noHBand="0" w:noVBand="1"/>
      </w:tblPr>
      <w:tblGrid>
        <w:gridCol w:w="3019"/>
        <w:gridCol w:w="1055"/>
        <w:gridCol w:w="1055"/>
        <w:gridCol w:w="1055"/>
        <w:gridCol w:w="1055"/>
        <w:gridCol w:w="1055"/>
        <w:gridCol w:w="1060"/>
        <w:gridCol w:w="1055"/>
      </w:tblGrid>
      <w:tr w:rsidR="007E7809" w:rsidRPr="003E405E" w14:paraId="48EA83CD" w14:textId="77777777" w:rsidTr="00B164B5">
        <w:trPr>
          <w:trHeight w:val="162"/>
        </w:trPr>
        <w:tc>
          <w:tcPr>
            <w:tcW w:w="3019" w:type="dxa"/>
            <w:tcBorders>
              <w:top w:val="single" w:sz="8" w:space="0" w:color="auto"/>
              <w:left w:val="nil"/>
              <w:bottom w:val="nil"/>
              <w:right w:val="single" w:sz="4" w:space="0" w:color="auto"/>
            </w:tcBorders>
            <w:shd w:val="clear" w:color="auto" w:fill="FFFFFF"/>
            <w:tcMar>
              <w:top w:w="60" w:type="dxa"/>
              <w:left w:w="60" w:type="dxa"/>
              <w:bottom w:w="60" w:type="dxa"/>
              <w:right w:w="180" w:type="dxa"/>
            </w:tcMar>
            <w:vAlign w:val="center"/>
            <w:hideMark/>
          </w:tcPr>
          <w:p w14:paraId="1E459F07" w14:textId="77777777" w:rsidR="007E7809" w:rsidRPr="003E405E" w:rsidRDefault="007E7809" w:rsidP="00B164B5">
            <w:pPr>
              <w:widowControl/>
              <w:spacing w:line="240" w:lineRule="auto"/>
              <w:rPr>
                <w:rFonts w:cs="Times New Roman"/>
                <w:kern w:val="0"/>
              </w:rPr>
            </w:pPr>
          </w:p>
        </w:tc>
        <w:tc>
          <w:tcPr>
            <w:tcW w:w="6335" w:type="dxa"/>
            <w:gridSpan w:val="6"/>
            <w:tcBorders>
              <w:top w:val="single" w:sz="8" w:space="0" w:color="auto"/>
              <w:left w:val="single" w:sz="4" w:space="0" w:color="auto"/>
              <w:bottom w:val="nil"/>
              <w:right w:val="nil"/>
            </w:tcBorders>
            <w:shd w:val="clear" w:color="auto" w:fill="FFFFFF"/>
            <w:vAlign w:val="center"/>
            <w:hideMark/>
          </w:tcPr>
          <w:p w14:paraId="6FF28886" w14:textId="77777777" w:rsidR="007E7809" w:rsidRPr="00DC08FA" w:rsidRDefault="007E7809" w:rsidP="00B164B5">
            <w:pPr>
              <w:widowControl/>
              <w:spacing w:line="180" w:lineRule="exact"/>
              <w:jc w:val="center"/>
              <w:rPr>
                <w:rFonts w:eastAsia="Times New Roman" w:cs="Times New Roman"/>
                <w:b/>
                <w:bCs/>
                <w:color w:val="000000"/>
                <w:kern w:val="0"/>
                <w:sz w:val="20"/>
                <w:szCs w:val="20"/>
              </w:rPr>
            </w:pPr>
            <w:proofErr w:type="spellStart"/>
            <w:r w:rsidRPr="00DC08FA">
              <w:rPr>
                <w:rFonts w:eastAsia="Times New Roman" w:cs="Times New Roman"/>
                <w:b/>
                <w:bCs/>
                <w:color w:val="000000"/>
                <w:kern w:val="0"/>
                <w:sz w:val="20"/>
                <w:szCs w:val="20"/>
              </w:rPr>
              <w:t>Subcohort</w:t>
            </w:r>
            <w:proofErr w:type="spellEnd"/>
            <w:r w:rsidRPr="00DC08FA">
              <w:rPr>
                <w:rFonts w:eastAsia="Times New Roman" w:cs="Times New Roman"/>
                <w:b/>
                <w:bCs/>
                <w:color w:val="000000"/>
                <w:kern w:val="0"/>
                <w:sz w:val="20"/>
                <w:szCs w:val="20"/>
              </w:rPr>
              <w:t xml:space="preserve">  </w:t>
            </w:r>
          </w:p>
        </w:tc>
        <w:tc>
          <w:tcPr>
            <w:tcW w:w="1055" w:type="dxa"/>
            <w:vMerge w:val="restart"/>
            <w:tcBorders>
              <w:top w:val="single" w:sz="8" w:space="0" w:color="auto"/>
              <w:left w:val="nil"/>
              <w:bottom w:val="single" w:sz="8" w:space="0" w:color="auto"/>
              <w:right w:val="nil"/>
            </w:tcBorders>
            <w:shd w:val="clear" w:color="auto" w:fill="FFFFFF"/>
            <w:vAlign w:val="center"/>
            <w:hideMark/>
          </w:tcPr>
          <w:p w14:paraId="466C6EFC" w14:textId="2246C22C" w:rsidR="007E7809" w:rsidRPr="00DC08FA" w:rsidRDefault="007E7809" w:rsidP="004E3041">
            <w:pPr>
              <w:widowControl/>
              <w:spacing w:line="180" w:lineRule="exact"/>
              <w:jc w:val="center"/>
              <w:rPr>
                <w:rFonts w:eastAsia="Times New Roman" w:cs="Times New Roman"/>
                <w:b/>
                <w:bCs/>
                <w:color w:val="000000"/>
                <w:kern w:val="0"/>
                <w:sz w:val="20"/>
                <w:szCs w:val="20"/>
              </w:rPr>
            </w:pPr>
            <w:r w:rsidRPr="00DC08FA">
              <w:rPr>
                <w:rFonts w:eastAsia="Times New Roman" w:cs="Times New Roman"/>
                <w:b/>
                <w:bCs/>
                <w:color w:val="000000"/>
                <w:kern w:val="0"/>
                <w:sz w:val="20"/>
                <w:szCs w:val="20"/>
              </w:rPr>
              <w:t>T2D Cases</w:t>
            </w:r>
            <w:r w:rsidRPr="00DC08FA">
              <w:rPr>
                <w:rFonts w:eastAsia="Times New Roman" w:cs="Times New Roman"/>
                <w:b/>
                <w:bCs/>
                <w:color w:val="000000"/>
                <w:kern w:val="0"/>
                <w:sz w:val="20"/>
                <w:szCs w:val="20"/>
              </w:rPr>
              <w:br/>
              <w:t>(</w:t>
            </w:r>
            <w:r w:rsidR="00133BC4">
              <w:rPr>
                <w:rFonts w:eastAsia="Times New Roman" w:cs="Times New Roman"/>
                <w:b/>
                <w:bCs/>
                <w:color w:val="000000"/>
                <w:kern w:val="0"/>
                <w:sz w:val="20"/>
                <w:szCs w:val="20"/>
              </w:rPr>
              <w:t>n</w:t>
            </w:r>
            <w:r w:rsidRPr="00DC08FA">
              <w:rPr>
                <w:rFonts w:eastAsia="Times New Roman" w:cs="Times New Roman"/>
                <w:b/>
                <w:bCs/>
                <w:color w:val="000000"/>
                <w:kern w:val="0"/>
                <w:sz w:val="20"/>
                <w:szCs w:val="20"/>
              </w:rPr>
              <w:t>=659)</w:t>
            </w:r>
          </w:p>
        </w:tc>
      </w:tr>
      <w:tr w:rsidR="007E7809" w:rsidRPr="003E405E" w14:paraId="2536A913" w14:textId="77777777" w:rsidTr="00B164B5">
        <w:trPr>
          <w:trHeight w:val="162"/>
        </w:trPr>
        <w:tc>
          <w:tcPr>
            <w:tcW w:w="3019" w:type="dxa"/>
            <w:tcBorders>
              <w:top w:val="nil"/>
              <w:left w:val="nil"/>
              <w:bottom w:val="single" w:sz="8" w:space="0" w:color="auto"/>
              <w:right w:val="single" w:sz="4" w:space="0" w:color="auto"/>
            </w:tcBorders>
            <w:shd w:val="clear" w:color="auto" w:fill="FFFFFF"/>
            <w:tcMar>
              <w:top w:w="60" w:type="dxa"/>
              <w:left w:w="60" w:type="dxa"/>
              <w:bottom w:w="60" w:type="dxa"/>
              <w:right w:w="180" w:type="dxa"/>
            </w:tcMar>
            <w:vAlign w:val="center"/>
          </w:tcPr>
          <w:p w14:paraId="67CF2989" w14:textId="77777777" w:rsidR="007E7809" w:rsidRPr="00DC08FA" w:rsidRDefault="007E7809" w:rsidP="00B164B5">
            <w:pPr>
              <w:widowControl/>
              <w:spacing w:line="180" w:lineRule="exact"/>
              <w:rPr>
                <w:rFonts w:eastAsia="Times New Roman" w:cs="Times New Roman"/>
                <w:kern w:val="0"/>
                <w:sz w:val="20"/>
                <w:szCs w:val="20"/>
              </w:rPr>
            </w:pP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11795359" w14:textId="77777777" w:rsidR="007E7809" w:rsidRPr="00DC08FA" w:rsidRDefault="007E7809" w:rsidP="00B164B5">
            <w:pPr>
              <w:widowControl/>
              <w:spacing w:line="180" w:lineRule="exact"/>
              <w:jc w:val="center"/>
              <w:rPr>
                <w:rFonts w:eastAsia="Times New Roman" w:cs="Times New Roman"/>
                <w:b/>
                <w:bCs/>
                <w:color w:val="000000"/>
                <w:kern w:val="0"/>
                <w:sz w:val="20"/>
                <w:szCs w:val="20"/>
              </w:rPr>
            </w:pPr>
            <w:r w:rsidRPr="00DC08FA">
              <w:rPr>
                <w:rFonts w:eastAsia="Times New Roman" w:cs="Times New Roman"/>
                <w:b/>
                <w:bCs/>
                <w:color w:val="000000"/>
                <w:kern w:val="0"/>
                <w:sz w:val="20"/>
                <w:szCs w:val="20"/>
              </w:rPr>
              <w:t>Total</w:t>
            </w:r>
          </w:p>
          <w:p w14:paraId="767F4A5B" w14:textId="0F93D6C6" w:rsidR="007E7809" w:rsidRPr="003E405E" w:rsidRDefault="007E7809" w:rsidP="004E3041">
            <w:pPr>
              <w:widowControl/>
              <w:spacing w:line="180" w:lineRule="exact"/>
              <w:jc w:val="center"/>
              <w:rPr>
                <w:rStyle w:val="stratlabel"/>
                <w:rFonts w:cs="Times New Roman"/>
              </w:rPr>
            </w:pPr>
            <w:r w:rsidRPr="00DC08FA">
              <w:rPr>
                <w:rFonts w:eastAsia="Times New Roman" w:cs="Times New Roman"/>
                <w:b/>
                <w:bCs/>
                <w:color w:val="000000"/>
                <w:kern w:val="0"/>
                <w:sz w:val="20"/>
                <w:szCs w:val="20"/>
              </w:rPr>
              <w:t>(</w:t>
            </w:r>
            <w:r w:rsidR="00133BC4">
              <w:rPr>
                <w:rFonts w:eastAsia="Times New Roman" w:cs="Times New Roman"/>
                <w:b/>
                <w:bCs/>
                <w:color w:val="000000"/>
                <w:kern w:val="0"/>
                <w:sz w:val="20"/>
                <w:szCs w:val="20"/>
              </w:rPr>
              <w:t>n</w:t>
            </w:r>
            <w:r w:rsidRPr="00DC08FA">
              <w:rPr>
                <w:rFonts w:eastAsia="Times New Roman" w:cs="Times New Roman"/>
                <w:b/>
                <w:bCs/>
                <w:color w:val="000000"/>
                <w:kern w:val="0"/>
                <w:sz w:val="20"/>
                <w:szCs w:val="20"/>
              </w:rPr>
              <w:t>=846)</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0C547AC6" w14:textId="35A313AA" w:rsidR="007E7809" w:rsidRPr="003E405E" w:rsidRDefault="007E7809" w:rsidP="004E3041">
            <w:pPr>
              <w:spacing w:line="180" w:lineRule="exact"/>
              <w:jc w:val="center"/>
              <w:rPr>
                <w:rFonts w:cs="Times New Roman"/>
                <w:b/>
                <w:bCs/>
                <w:color w:val="000000"/>
              </w:rPr>
            </w:pPr>
            <w:r w:rsidRPr="00DC08FA">
              <w:rPr>
                <w:rStyle w:val="stratlabel"/>
                <w:rFonts w:cs="Times New Roman"/>
                <w:b/>
                <w:bCs/>
                <w:color w:val="000000"/>
                <w:sz w:val="20"/>
                <w:szCs w:val="20"/>
              </w:rPr>
              <w:t>Q1</w:t>
            </w:r>
            <w:r w:rsidR="003E405E" w:rsidRPr="00DC08FA">
              <w:rPr>
                <w:rStyle w:val="stratlabel"/>
                <w:rFonts w:cs="Times New Roman"/>
                <w:b/>
                <w:bCs/>
                <w:color w:val="000000"/>
                <w:sz w:val="20"/>
                <w:szCs w:val="20"/>
                <w:vertAlign w:val="superscript"/>
              </w:rPr>
              <w:t>2</w:t>
            </w:r>
            <w:r w:rsidRPr="00DC08FA">
              <w:rPr>
                <w:rFonts w:cs="Times New Roman"/>
                <w:b/>
                <w:bCs/>
                <w:color w:val="000000"/>
                <w:sz w:val="20"/>
                <w:szCs w:val="20"/>
              </w:rPr>
              <w:br/>
            </w:r>
            <w:r w:rsidRPr="00DC08FA">
              <w:rPr>
                <w:rStyle w:val="stratn"/>
                <w:rFonts w:cs="Times New Roman"/>
                <w:b/>
                <w:bCs/>
                <w:color w:val="000000"/>
                <w:sz w:val="20"/>
                <w:szCs w:val="20"/>
              </w:rPr>
              <w:t>(</w:t>
            </w:r>
            <w:r w:rsidR="00133BC4">
              <w:rPr>
                <w:rStyle w:val="stratn"/>
                <w:rFonts w:cs="Times New Roman"/>
                <w:b/>
                <w:bCs/>
                <w:color w:val="000000"/>
                <w:sz w:val="20"/>
                <w:szCs w:val="20"/>
              </w:rPr>
              <w:t>n</w:t>
            </w:r>
            <w:r w:rsidRPr="00DC08FA">
              <w:rPr>
                <w:rStyle w:val="stratn"/>
                <w:rFonts w:cs="Times New Roman"/>
                <w:b/>
                <w:bCs/>
                <w:color w:val="000000"/>
                <w:sz w:val="20"/>
                <w:szCs w:val="20"/>
              </w:rPr>
              <w:t>=169)</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1FF6BF32" w14:textId="4C364144" w:rsidR="007E7809" w:rsidRPr="00DC08FA" w:rsidRDefault="007E7809" w:rsidP="004E3041">
            <w:pPr>
              <w:spacing w:line="180" w:lineRule="exact"/>
              <w:jc w:val="center"/>
              <w:rPr>
                <w:rFonts w:cs="Times New Roman"/>
                <w:b/>
                <w:bCs/>
                <w:color w:val="000000"/>
                <w:sz w:val="20"/>
                <w:szCs w:val="20"/>
              </w:rPr>
            </w:pPr>
            <w:r w:rsidRPr="00DC08FA">
              <w:rPr>
                <w:rStyle w:val="stratlabel"/>
                <w:rFonts w:cs="Times New Roman"/>
                <w:b/>
                <w:bCs/>
                <w:color w:val="000000"/>
                <w:sz w:val="20"/>
                <w:szCs w:val="20"/>
              </w:rPr>
              <w:t>Q2</w:t>
            </w:r>
            <w:r w:rsidRPr="00DC08FA">
              <w:rPr>
                <w:rFonts w:cs="Times New Roman"/>
                <w:b/>
                <w:bCs/>
                <w:color w:val="000000"/>
                <w:sz w:val="20"/>
                <w:szCs w:val="20"/>
              </w:rPr>
              <w:br/>
            </w:r>
            <w:r w:rsidRPr="00DC08FA">
              <w:rPr>
                <w:rStyle w:val="stratn"/>
                <w:rFonts w:cs="Times New Roman"/>
                <w:b/>
                <w:bCs/>
                <w:color w:val="000000"/>
                <w:sz w:val="20"/>
                <w:szCs w:val="20"/>
              </w:rPr>
              <w:t>(</w:t>
            </w:r>
            <w:r w:rsidR="00133BC4">
              <w:rPr>
                <w:rStyle w:val="stratn"/>
                <w:rFonts w:cs="Times New Roman"/>
                <w:b/>
                <w:bCs/>
                <w:color w:val="000000"/>
                <w:sz w:val="20"/>
                <w:szCs w:val="20"/>
              </w:rPr>
              <w:t>n</w:t>
            </w:r>
            <w:r w:rsidRPr="00DC08FA">
              <w:rPr>
                <w:rStyle w:val="stratn"/>
                <w:rFonts w:cs="Times New Roman"/>
                <w:b/>
                <w:bCs/>
                <w:color w:val="000000"/>
                <w:sz w:val="20"/>
                <w:szCs w:val="20"/>
              </w:rPr>
              <w:t>=169)</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58119CA8" w14:textId="5872A5BE" w:rsidR="007E7809" w:rsidRPr="00DC08FA" w:rsidRDefault="007E7809" w:rsidP="000035DE">
            <w:pPr>
              <w:spacing w:line="180" w:lineRule="exact"/>
              <w:jc w:val="center"/>
              <w:rPr>
                <w:rFonts w:cs="Times New Roman"/>
                <w:b/>
                <w:bCs/>
                <w:color w:val="000000"/>
                <w:sz w:val="20"/>
                <w:szCs w:val="20"/>
              </w:rPr>
            </w:pPr>
            <w:r w:rsidRPr="00DC08FA">
              <w:rPr>
                <w:rStyle w:val="stratlabel"/>
                <w:rFonts w:cs="Times New Roman"/>
                <w:b/>
                <w:bCs/>
                <w:color w:val="000000"/>
                <w:sz w:val="20"/>
                <w:szCs w:val="20"/>
              </w:rPr>
              <w:t>Q3</w:t>
            </w:r>
            <w:r w:rsidRPr="00DC08FA">
              <w:rPr>
                <w:rFonts w:cs="Times New Roman"/>
                <w:b/>
                <w:bCs/>
                <w:color w:val="000000"/>
                <w:sz w:val="20"/>
                <w:szCs w:val="20"/>
              </w:rPr>
              <w:br/>
            </w:r>
            <w:r w:rsidRPr="00DC08FA">
              <w:rPr>
                <w:rStyle w:val="stratn"/>
                <w:rFonts w:cs="Times New Roman"/>
                <w:b/>
                <w:bCs/>
                <w:color w:val="000000"/>
                <w:sz w:val="20"/>
                <w:szCs w:val="20"/>
              </w:rPr>
              <w:t>(</w:t>
            </w:r>
            <w:r w:rsidR="00133BC4">
              <w:rPr>
                <w:rStyle w:val="stratn"/>
                <w:rFonts w:cs="Times New Roman"/>
                <w:b/>
                <w:bCs/>
                <w:color w:val="000000"/>
                <w:sz w:val="20"/>
                <w:szCs w:val="20"/>
              </w:rPr>
              <w:t>n</w:t>
            </w:r>
            <w:r w:rsidRPr="00DC08FA">
              <w:rPr>
                <w:rStyle w:val="stratn"/>
                <w:rFonts w:cs="Times New Roman"/>
                <w:b/>
                <w:bCs/>
                <w:color w:val="000000"/>
                <w:sz w:val="20"/>
                <w:szCs w:val="20"/>
              </w:rPr>
              <w:t>=169)</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36B3BB6A" w14:textId="414D5446" w:rsidR="007E7809" w:rsidRPr="00DC08FA" w:rsidRDefault="007E7809" w:rsidP="00010759">
            <w:pPr>
              <w:spacing w:line="180" w:lineRule="exact"/>
              <w:jc w:val="center"/>
              <w:rPr>
                <w:rFonts w:cs="Times New Roman"/>
                <w:b/>
                <w:bCs/>
                <w:color w:val="000000"/>
                <w:sz w:val="20"/>
                <w:szCs w:val="20"/>
              </w:rPr>
            </w:pPr>
            <w:r w:rsidRPr="00DC08FA">
              <w:rPr>
                <w:rStyle w:val="stratlabel"/>
                <w:rFonts w:cs="Times New Roman"/>
                <w:b/>
                <w:bCs/>
                <w:color w:val="000000"/>
                <w:sz w:val="20"/>
                <w:szCs w:val="20"/>
              </w:rPr>
              <w:t>Q4</w:t>
            </w:r>
            <w:r w:rsidRPr="00DC08FA">
              <w:rPr>
                <w:rFonts w:cs="Times New Roman"/>
                <w:b/>
                <w:bCs/>
                <w:color w:val="000000"/>
                <w:sz w:val="20"/>
                <w:szCs w:val="20"/>
              </w:rPr>
              <w:br/>
            </w:r>
            <w:r w:rsidRPr="00DC08FA">
              <w:rPr>
                <w:rStyle w:val="stratn"/>
                <w:rFonts w:cs="Times New Roman"/>
                <w:b/>
                <w:bCs/>
                <w:color w:val="000000"/>
                <w:sz w:val="20"/>
                <w:szCs w:val="20"/>
              </w:rPr>
              <w:t>(</w:t>
            </w:r>
            <w:r w:rsidR="00133BC4">
              <w:rPr>
                <w:rStyle w:val="stratn"/>
                <w:rFonts w:cs="Times New Roman"/>
                <w:b/>
                <w:bCs/>
                <w:color w:val="000000"/>
                <w:sz w:val="20"/>
                <w:szCs w:val="20"/>
              </w:rPr>
              <w:t>n</w:t>
            </w:r>
            <w:r w:rsidRPr="00DC08FA">
              <w:rPr>
                <w:rStyle w:val="stratn"/>
                <w:rFonts w:cs="Times New Roman"/>
                <w:b/>
                <w:bCs/>
                <w:color w:val="000000"/>
                <w:sz w:val="20"/>
                <w:szCs w:val="20"/>
              </w:rPr>
              <w:t>=169)</w:t>
            </w:r>
          </w:p>
        </w:tc>
        <w:tc>
          <w:tcPr>
            <w:tcW w:w="1060" w:type="dxa"/>
            <w:tcBorders>
              <w:top w:val="nil"/>
              <w:left w:val="single" w:sz="4" w:space="0" w:color="auto"/>
              <w:bottom w:val="single" w:sz="8" w:space="0" w:color="auto"/>
              <w:right w:val="single" w:sz="4" w:space="0" w:color="auto"/>
            </w:tcBorders>
            <w:shd w:val="clear" w:color="auto" w:fill="FFFFFF"/>
            <w:vAlign w:val="center"/>
            <w:hideMark/>
          </w:tcPr>
          <w:p w14:paraId="282997F1" w14:textId="4EA6CAA2" w:rsidR="007E7809" w:rsidRPr="00DC08FA" w:rsidRDefault="007E7809" w:rsidP="00D7176B">
            <w:pPr>
              <w:spacing w:line="180" w:lineRule="exact"/>
              <w:jc w:val="center"/>
              <w:rPr>
                <w:rFonts w:cs="Times New Roman"/>
                <w:b/>
                <w:bCs/>
                <w:color w:val="000000"/>
                <w:sz w:val="20"/>
                <w:szCs w:val="20"/>
              </w:rPr>
            </w:pPr>
            <w:r w:rsidRPr="00DC08FA">
              <w:rPr>
                <w:rStyle w:val="stratlabel"/>
                <w:rFonts w:cs="Times New Roman"/>
                <w:b/>
                <w:bCs/>
                <w:color w:val="000000"/>
                <w:sz w:val="20"/>
                <w:szCs w:val="20"/>
              </w:rPr>
              <w:t>Q5</w:t>
            </w:r>
            <w:r w:rsidRPr="00DC08FA">
              <w:rPr>
                <w:rFonts w:cs="Times New Roman"/>
                <w:b/>
                <w:bCs/>
                <w:color w:val="000000"/>
                <w:sz w:val="20"/>
                <w:szCs w:val="20"/>
              </w:rPr>
              <w:br/>
            </w:r>
            <w:r w:rsidRPr="00DC08FA">
              <w:rPr>
                <w:rStyle w:val="stratn"/>
                <w:rFonts w:cs="Times New Roman"/>
                <w:b/>
                <w:bCs/>
                <w:color w:val="000000"/>
                <w:sz w:val="20"/>
                <w:szCs w:val="20"/>
              </w:rPr>
              <w:t>(</w:t>
            </w:r>
            <w:r w:rsidR="00133BC4">
              <w:rPr>
                <w:rStyle w:val="stratn"/>
                <w:rFonts w:cs="Times New Roman"/>
                <w:b/>
                <w:bCs/>
                <w:color w:val="000000"/>
                <w:sz w:val="20"/>
                <w:szCs w:val="20"/>
              </w:rPr>
              <w:t>n</w:t>
            </w:r>
            <w:r w:rsidRPr="00DC08FA">
              <w:rPr>
                <w:rStyle w:val="stratn"/>
                <w:rFonts w:cs="Times New Roman"/>
                <w:b/>
                <w:bCs/>
                <w:color w:val="000000"/>
                <w:sz w:val="20"/>
                <w:szCs w:val="20"/>
              </w:rPr>
              <w:t>=170)</w:t>
            </w:r>
          </w:p>
        </w:tc>
        <w:tc>
          <w:tcPr>
            <w:tcW w:w="1055" w:type="dxa"/>
            <w:vMerge/>
            <w:tcBorders>
              <w:top w:val="single" w:sz="8" w:space="0" w:color="auto"/>
              <w:left w:val="single" w:sz="4" w:space="0" w:color="auto"/>
              <w:bottom w:val="single" w:sz="8" w:space="0" w:color="auto"/>
              <w:right w:val="nil"/>
            </w:tcBorders>
            <w:shd w:val="clear" w:color="auto" w:fill="FFFFFF"/>
            <w:vAlign w:val="center"/>
            <w:hideMark/>
          </w:tcPr>
          <w:p w14:paraId="5EB6C87F" w14:textId="77777777" w:rsidR="007E7809" w:rsidRPr="00DC08FA" w:rsidRDefault="007E7809" w:rsidP="00B164B5">
            <w:pPr>
              <w:widowControl/>
              <w:spacing w:line="256" w:lineRule="auto"/>
              <w:rPr>
                <w:rFonts w:eastAsia="Times New Roman" w:cs="Times New Roman"/>
                <w:b/>
                <w:bCs/>
                <w:color w:val="000000"/>
                <w:kern w:val="0"/>
                <w:sz w:val="20"/>
                <w:szCs w:val="20"/>
              </w:rPr>
            </w:pPr>
          </w:p>
        </w:tc>
      </w:tr>
      <w:tr w:rsidR="007E7809" w:rsidRPr="003E405E" w14:paraId="5A091F8F" w14:textId="77777777" w:rsidTr="00B164B5">
        <w:trPr>
          <w:trHeight w:val="162"/>
        </w:trPr>
        <w:tc>
          <w:tcPr>
            <w:tcW w:w="3019" w:type="dxa"/>
            <w:tcBorders>
              <w:top w:val="single" w:sz="8" w:space="0" w:color="auto"/>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3D00F7D3" w14:textId="77777777" w:rsidR="007E7809" w:rsidRPr="00DC08FA" w:rsidRDefault="007E7809" w:rsidP="00B164B5">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Red meat intake (g/d)</w:t>
            </w:r>
          </w:p>
        </w:tc>
        <w:tc>
          <w:tcPr>
            <w:tcW w:w="1055"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69301CC9"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33.6 ± 29.1</w:t>
            </w:r>
          </w:p>
        </w:tc>
        <w:tc>
          <w:tcPr>
            <w:tcW w:w="1055"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75CD41A1"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20.7 ± 20.7</w:t>
            </w:r>
          </w:p>
        </w:tc>
        <w:tc>
          <w:tcPr>
            <w:tcW w:w="1055"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5E5BABEE"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25.8 ± 22.2</w:t>
            </w:r>
          </w:p>
        </w:tc>
        <w:tc>
          <w:tcPr>
            <w:tcW w:w="1055"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7DDFBFC5"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29.4 ± 22.7</w:t>
            </w:r>
          </w:p>
        </w:tc>
        <w:tc>
          <w:tcPr>
            <w:tcW w:w="1055"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0BCCE181"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40.9 ± 28.0</w:t>
            </w:r>
          </w:p>
        </w:tc>
        <w:tc>
          <w:tcPr>
            <w:tcW w:w="1060"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4DF3CBEF"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51.3 ± 37.8</w:t>
            </w:r>
          </w:p>
        </w:tc>
        <w:tc>
          <w:tcPr>
            <w:tcW w:w="1055" w:type="dxa"/>
            <w:tcBorders>
              <w:top w:val="single" w:sz="8" w:space="0" w:color="auto"/>
              <w:left w:val="single" w:sz="4" w:space="0" w:color="auto"/>
              <w:bottom w:val="nil"/>
              <w:right w:val="nil"/>
            </w:tcBorders>
            <w:shd w:val="clear" w:color="auto" w:fill="D9D9D9" w:themeFill="background1" w:themeFillShade="D9"/>
            <w:vAlign w:val="center"/>
            <w:hideMark/>
          </w:tcPr>
          <w:p w14:paraId="1CE360E6" w14:textId="77777777" w:rsidR="007E7809" w:rsidRPr="00DC08FA" w:rsidRDefault="007E7809" w:rsidP="00B164B5">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39.3 ± 30.6</w:t>
            </w:r>
          </w:p>
        </w:tc>
      </w:tr>
      <w:tr w:rsidR="007E7809" w:rsidRPr="003E405E" w14:paraId="2A1F4E48"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2B0CA025" w14:textId="77777777" w:rsidR="007E7809" w:rsidRPr="00DC08FA" w:rsidRDefault="007E7809" w:rsidP="00B164B5">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Age (y)</w:t>
            </w:r>
          </w:p>
        </w:tc>
        <w:tc>
          <w:tcPr>
            <w:tcW w:w="1055" w:type="dxa"/>
            <w:tcBorders>
              <w:top w:val="nil"/>
              <w:left w:val="single" w:sz="4" w:space="0" w:color="auto"/>
              <w:bottom w:val="nil"/>
              <w:right w:val="single" w:sz="4" w:space="0" w:color="auto"/>
            </w:tcBorders>
            <w:shd w:val="clear" w:color="auto" w:fill="FFFFFF"/>
            <w:vAlign w:val="center"/>
            <w:hideMark/>
          </w:tcPr>
          <w:p w14:paraId="1E687433"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59.0 ± 9.4</w:t>
            </w:r>
          </w:p>
        </w:tc>
        <w:tc>
          <w:tcPr>
            <w:tcW w:w="1055" w:type="dxa"/>
            <w:tcBorders>
              <w:top w:val="nil"/>
              <w:left w:val="single" w:sz="4" w:space="0" w:color="auto"/>
              <w:bottom w:val="nil"/>
              <w:right w:val="single" w:sz="4" w:space="0" w:color="auto"/>
            </w:tcBorders>
            <w:shd w:val="clear" w:color="auto" w:fill="FFFFFF"/>
            <w:vAlign w:val="center"/>
            <w:hideMark/>
          </w:tcPr>
          <w:p w14:paraId="283E8A51"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59.3 ± 9.5</w:t>
            </w:r>
          </w:p>
        </w:tc>
        <w:tc>
          <w:tcPr>
            <w:tcW w:w="1055" w:type="dxa"/>
            <w:tcBorders>
              <w:top w:val="nil"/>
              <w:left w:val="single" w:sz="4" w:space="0" w:color="auto"/>
              <w:bottom w:val="nil"/>
              <w:right w:val="single" w:sz="4" w:space="0" w:color="auto"/>
            </w:tcBorders>
            <w:shd w:val="clear" w:color="auto" w:fill="FFFFFF"/>
            <w:vAlign w:val="center"/>
            <w:hideMark/>
          </w:tcPr>
          <w:p w14:paraId="024D0B57"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58.5 ± 9.4</w:t>
            </w:r>
          </w:p>
        </w:tc>
        <w:tc>
          <w:tcPr>
            <w:tcW w:w="1055" w:type="dxa"/>
            <w:tcBorders>
              <w:top w:val="nil"/>
              <w:left w:val="single" w:sz="4" w:space="0" w:color="auto"/>
              <w:bottom w:val="nil"/>
              <w:right w:val="single" w:sz="4" w:space="0" w:color="auto"/>
            </w:tcBorders>
            <w:shd w:val="clear" w:color="auto" w:fill="FFFFFF"/>
            <w:vAlign w:val="center"/>
            <w:hideMark/>
          </w:tcPr>
          <w:p w14:paraId="60B8A7C6"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58.9 ± 9.5</w:t>
            </w:r>
          </w:p>
        </w:tc>
        <w:tc>
          <w:tcPr>
            <w:tcW w:w="1055" w:type="dxa"/>
            <w:tcBorders>
              <w:top w:val="nil"/>
              <w:left w:val="single" w:sz="4" w:space="0" w:color="auto"/>
              <w:bottom w:val="nil"/>
              <w:right w:val="single" w:sz="4" w:space="0" w:color="auto"/>
            </w:tcBorders>
            <w:shd w:val="clear" w:color="auto" w:fill="FFFFFF"/>
            <w:vAlign w:val="center"/>
            <w:hideMark/>
          </w:tcPr>
          <w:p w14:paraId="2709465A"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59.4 ± 9.3</w:t>
            </w:r>
          </w:p>
        </w:tc>
        <w:tc>
          <w:tcPr>
            <w:tcW w:w="1060" w:type="dxa"/>
            <w:tcBorders>
              <w:top w:val="nil"/>
              <w:left w:val="single" w:sz="4" w:space="0" w:color="auto"/>
              <w:bottom w:val="nil"/>
              <w:right w:val="single" w:sz="4" w:space="0" w:color="auto"/>
            </w:tcBorders>
            <w:shd w:val="clear" w:color="auto" w:fill="FFFFFF"/>
            <w:vAlign w:val="center"/>
            <w:hideMark/>
          </w:tcPr>
          <w:p w14:paraId="29DCB8FF" w14:textId="77777777" w:rsidR="007E7809" w:rsidRPr="00DC08FA" w:rsidRDefault="007E7809" w:rsidP="00B164B5">
            <w:pPr>
              <w:spacing w:line="180" w:lineRule="exact"/>
              <w:jc w:val="center"/>
              <w:rPr>
                <w:rFonts w:cs="Times New Roman"/>
                <w:color w:val="000000"/>
                <w:sz w:val="20"/>
                <w:szCs w:val="20"/>
              </w:rPr>
            </w:pPr>
            <w:r w:rsidRPr="00DC08FA">
              <w:rPr>
                <w:rFonts w:cs="Times New Roman"/>
                <w:color w:val="000000"/>
                <w:sz w:val="20"/>
                <w:szCs w:val="20"/>
              </w:rPr>
              <w:t>58.7 ± 9.3</w:t>
            </w:r>
          </w:p>
        </w:tc>
        <w:tc>
          <w:tcPr>
            <w:tcW w:w="1055" w:type="dxa"/>
            <w:tcBorders>
              <w:left w:val="single" w:sz="4" w:space="0" w:color="auto"/>
            </w:tcBorders>
            <w:shd w:val="clear" w:color="auto" w:fill="FFFFFF"/>
            <w:vAlign w:val="center"/>
            <w:hideMark/>
          </w:tcPr>
          <w:p w14:paraId="13B1E15C" w14:textId="77777777" w:rsidR="007E7809" w:rsidRPr="00DC08FA" w:rsidRDefault="007E7809" w:rsidP="00B164B5">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61.8 ± 8.3</w:t>
            </w:r>
          </w:p>
        </w:tc>
      </w:tr>
      <w:tr w:rsidR="003E405E" w:rsidRPr="003E405E" w14:paraId="70EFD52E"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0E0ADB0E" w14:textId="6FB89472"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Female</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518252B8" w14:textId="76129EBF"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489 (58 %)</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0FAC4440" w14:textId="4360FF85" w:rsidR="003E405E" w:rsidRPr="00DC08FA" w:rsidRDefault="003E405E" w:rsidP="003E405E">
            <w:pPr>
              <w:spacing w:line="180" w:lineRule="exact"/>
              <w:rPr>
                <w:rFonts w:cs="Times New Roman"/>
                <w:b/>
                <w:bCs/>
                <w:color w:val="000000"/>
                <w:sz w:val="20"/>
                <w:szCs w:val="20"/>
              </w:rPr>
            </w:pPr>
            <w:r w:rsidRPr="00DC08FA">
              <w:rPr>
                <w:rFonts w:cs="Times New Roman"/>
                <w:color w:val="000000"/>
                <w:sz w:val="20"/>
                <w:szCs w:val="20"/>
              </w:rPr>
              <w:t>133 (79 %)</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5EC2F1D6" w14:textId="7B376E26"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115 (68 %)</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77C48D7C" w14:textId="1889AA08"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89 (53 %)</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4A74B9B8" w14:textId="744CC30E"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90 (53 %)</w:t>
            </w:r>
          </w:p>
        </w:tc>
        <w:tc>
          <w:tcPr>
            <w:tcW w:w="1060" w:type="dxa"/>
            <w:tcBorders>
              <w:top w:val="nil"/>
              <w:left w:val="single" w:sz="4" w:space="0" w:color="auto"/>
              <w:bottom w:val="nil"/>
              <w:right w:val="single" w:sz="4" w:space="0" w:color="auto"/>
            </w:tcBorders>
            <w:shd w:val="clear" w:color="auto" w:fill="D9D9D9" w:themeFill="background1" w:themeFillShade="D9"/>
            <w:vAlign w:val="center"/>
          </w:tcPr>
          <w:p w14:paraId="7B05A26E" w14:textId="3FE3DB3C" w:rsidR="003E405E" w:rsidRPr="00DC08FA" w:rsidRDefault="003E405E" w:rsidP="003E405E">
            <w:pPr>
              <w:spacing w:line="180" w:lineRule="exact"/>
              <w:jc w:val="center"/>
              <w:rPr>
                <w:rFonts w:cs="Times New Roman"/>
                <w:sz w:val="20"/>
                <w:szCs w:val="20"/>
              </w:rPr>
            </w:pPr>
            <w:r w:rsidRPr="00DC08FA">
              <w:rPr>
                <w:rFonts w:cs="Times New Roman"/>
                <w:color w:val="000000"/>
                <w:sz w:val="20"/>
                <w:szCs w:val="20"/>
              </w:rPr>
              <w:t>62 (36 %)</w:t>
            </w:r>
          </w:p>
        </w:tc>
        <w:tc>
          <w:tcPr>
            <w:tcW w:w="1055" w:type="dxa"/>
            <w:tcBorders>
              <w:left w:val="single" w:sz="4" w:space="0" w:color="auto"/>
            </w:tcBorders>
            <w:shd w:val="clear" w:color="auto" w:fill="D9D9D9" w:themeFill="background1" w:themeFillShade="D9"/>
            <w:vAlign w:val="center"/>
          </w:tcPr>
          <w:p w14:paraId="223546F4" w14:textId="235E5D0C" w:rsidR="003E405E" w:rsidRPr="00DC08FA" w:rsidRDefault="003E405E" w:rsidP="003E405E">
            <w:pPr>
              <w:widowControl/>
              <w:spacing w:line="180" w:lineRule="exact"/>
              <w:jc w:val="center"/>
              <w:rPr>
                <w:rFonts w:eastAsia="Times New Roman" w:cs="Times New Roman"/>
                <w:kern w:val="0"/>
                <w:sz w:val="20"/>
                <w:szCs w:val="20"/>
              </w:rPr>
            </w:pPr>
            <w:r w:rsidRPr="00DC08FA">
              <w:rPr>
                <w:rFonts w:eastAsia="Times New Roman" w:cs="Times New Roman"/>
                <w:color w:val="000000"/>
                <w:kern w:val="0"/>
                <w:sz w:val="20"/>
                <w:szCs w:val="20"/>
              </w:rPr>
              <w:t>275 (42 %)</w:t>
            </w:r>
          </w:p>
        </w:tc>
      </w:tr>
      <w:tr w:rsidR="003E405E" w:rsidRPr="003E405E" w14:paraId="6B0237E1"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45227C05"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Education</w:t>
            </w:r>
          </w:p>
        </w:tc>
        <w:tc>
          <w:tcPr>
            <w:tcW w:w="1055" w:type="dxa"/>
            <w:tcBorders>
              <w:top w:val="nil"/>
              <w:left w:val="single" w:sz="4" w:space="0" w:color="auto"/>
              <w:bottom w:val="nil"/>
              <w:right w:val="single" w:sz="4" w:space="0" w:color="auto"/>
            </w:tcBorders>
            <w:shd w:val="clear" w:color="auto" w:fill="FFFFFF"/>
            <w:vAlign w:val="center"/>
          </w:tcPr>
          <w:p w14:paraId="56FCAAD3"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FFFFFF"/>
            <w:vAlign w:val="center"/>
          </w:tcPr>
          <w:p w14:paraId="363246C8" w14:textId="77777777" w:rsidR="003E405E" w:rsidRPr="00DC08FA" w:rsidRDefault="003E405E" w:rsidP="003E405E">
            <w:pPr>
              <w:spacing w:line="180" w:lineRule="exact"/>
              <w:rPr>
                <w:rFonts w:cs="Times New Roman"/>
                <w:b/>
                <w:bCs/>
                <w:color w:val="000000"/>
                <w:sz w:val="20"/>
                <w:szCs w:val="20"/>
              </w:rPr>
            </w:pPr>
          </w:p>
        </w:tc>
        <w:tc>
          <w:tcPr>
            <w:tcW w:w="1055" w:type="dxa"/>
            <w:tcBorders>
              <w:top w:val="nil"/>
              <w:left w:val="single" w:sz="4" w:space="0" w:color="auto"/>
              <w:bottom w:val="nil"/>
              <w:right w:val="single" w:sz="4" w:space="0" w:color="auto"/>
            </w:tcBorders>
            <w:shd w:val="clear" w:color="auto" w:fill="FFFFFF"/>
            <w:vAlign w:val="center"/>
          </w:tcPr>
          <w:p w14:paraId="41D2303C"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FFFFFF"/>
            <w:vAlign w:val="center"/>
          </w:tcPr>
          <w:p w14:paraId="379155E0"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FFFFFF"/>
            <w:vAlign w:val="center"/>
          </w:tcPr>
          <w:p w14:paraId="5D983150" w14:textId="77777777" w:rsidR="003E405E" w:rsidRPr="00DC08FA" w:rsidRDefault="003E405E" w:rsidP="003E405E">
            <w:pPr>
              <w:spacing w:line="180" w:lineRule="exact"/>
              <w:jc w:val="center"/>
              <w:rPr>
                <w:rFonts w:cs="Times New Roman"/>
                <w:sz w:val="20"/>
                <w:szCs w:val="20"/>
              </w:rPr>
            </w:pPr>
          </w:p>
        </w:tc>
        <w:tc>
          <w:tcPr>
            <w:tcW w:w="1060" w:type="dxa"/>
            <w:tcBorders>
              <w:top w:val="nil"/>
              <w:left w:val="single" w:sz="4" w:space="0" w:color="auto"/>
              <w:bottom w:val="nil"/>
              <w:right w:val="single" w:sz="4" w:space="0" w:color="auto"/>
            </w:tcBorders>
            <w:shd w:val="clear" w:color="auto" w:fill="FFFFFF"/>
            <w:vAlign w:val="center"/>
          </w:tcPr>
          <w:p w14:paraId="32A8BA15" w14:textId="77777777" w:rsidR="003E405E" w:rsidRPr="00DC08FA" w:rsidRDefault="003E405E" w:rsidP="003E405E">
            <w:pPr>
              <w:spacing w:line="180" w:lineRule="exact"/>
              <w:jc w:val="center"/>
              <w:rPr>
                <w:rFonts w:cs="Times New Roman"/>
                <w:sz w:val="20"/>
                <w:szCs w:val="20"/>
              </w:rPr>
            </w:pPr>
          </w:p>
        </w:tc>
        <w:tc>
          <w:tcPr>
            <w:tcW w:w="1055" w:type="dxa"/>
            <w:tcBorders>
              <w:left w:val="single" w:sz="4" w:space="0" w:color="auto"/>
            </w:tcBorders>
            <w:shd w:val="clear" w:color="auto" w:fill="FFFFFF"/>
            <w:vAlign w:val="center"/>
          </w:tcPr>
          <w:p w14:paraId="0DF78050" w14:textId="77777777" w:rsidR="003E405E" w:rsidRPr="00DC08FA" w:rsidRDefault="003E405E" w:rsidP="003E405E">
            <w:pPr>
              <w:widowControl/>
              <w:spacing w:line="180" w:lineRule="exact"/>
              <w:jc w:val="center"/>
              <w:rPr>
                <w:rFonts w:eastAsia="Times New Roman" w:cs="Times New Roman"/>
                <w:kern w:val="0"/>
                <w:sz w:val="20"/>
                <w:szCs w:val="20"/>
              </w:rPr>
            </w:pPr>
          </w:p>
        </w:tc>
      </w:tr>
      <w:tr w:rsidR="003E405E" w:rsidRPr="003E405E" w14:paraId="2C943EA6"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4F26A321"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No</w:t>
            </w:r>
          </w:p>
        </w:tc>
        <w:tc>
          <w:tcPr>
            <w:tcW w:w="1055" w:type="dxa"/>
            <w:tcBorders>
              <w:top w:val="nil"/>
              <w:left w:val="single" w:sz="4" w:space="0" w:color="auto"/>
              <w:bottom w:val="nil"/>
              <w:right w:val="single" w:sz="4" w:space="0" w:color="auto"/>
            </w:tcBorders>
            <w:shd w:val="clear" w:color="auto" w:fill="FFFFFF"/>
            <w:vAlign w:val="center"/>
            <w:hideMark/>
          </w:tcPr>
          <w:p w14:paraId="184D148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321 (38 %)</w:t>
            </w:r>
          </w:p>
        </w:tc>
        <w:tc>
          <w:tcPr>
            <w:tcW w:w="1055" w:type="dxa"/>
            <w:tcBorders>
              <w:top w:val="nil"/>
              <w:left w:val="single" w:sz="4" w:space="0" w:color="auto"/>
              <w:bottom w:val="nil"/>
              <w:right w:val="single" w:sz="4" w:space="0" w:color="auto"/>
            </w:tcBorders>
            <w:shd w:val="clear" w:color="auto" w:fill="FFFFFF"/>
            <w:vAlign w:val="center"/>
            <w:hideMark/>
          </w:tcPr>
          <w:p w14:paraId="6018B22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69 (41 %)</w:t>
            </w:r>
          </w:p>
        </w:tc>
        <w:tc>
          <w:tcPr>
            <w:tcW w:w="1055" w:type="dxa"/>
            <w:tcBorders>
              <w:top w:val="nil"/>
              <w:left w:val="single" w:sz="4" w:space="0" w:color="auto"/>
              <w:bottom w:val="nil"/>
              <w:right w:val="single" w:sz="4" w:space="0" w:color="auto"/>
            </w:tcBorders>
            <w:shd w:val="clear" w:color="auto" w:fill="FFFFFF"/>
            <w:vAlign w:val="center"/>
            <w:hideMark/>
          </w:tcPr>
          <w:p w14:paraId="2E77E78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62 (37 %)</w:t>
            </w:r>
          </w:p>
        </w:tc>
        <w:tc>
          <w:tcPr>
            <w:tcW w:w="1055" w:type="dxa"/>
            <w:tcBorders>
              <w:top w:val="nil"/>
              <w:left w:val="single" w:sz="4" w:space="0" w:color="auto"/>
              <w:bottom w:val="nil"/>
              <w:right w:val="single" w:sz="4" w:space="0" w:color="auto"/>
            </w:tcBorders>
            <w:shd w:val="clear" w:color="auto" w:fill="FFFFFF"/>
            <w:vAlign w:val="center"/>
            <w:hideMark/>
          </w:tcPr>
          <w:p w14:paraId="48F9D99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59 (35 %)</w:t>
            </w:r>
          </w:p>
        </w:tc>
        <w:tc>
          <w:tcPr>
            <w:tcW w:w="1055" w:type="dxa"/>
            <w:tcBorders>
              <w:top w:val="nil"/>
              <w:left w:val="single" w:sz="4" w:space="0" w:color="auto"/>
              <w:bottom w:val="nil"/>
              <w:right w:val="single" w:sz="4" w:space="0" w:color="auto"/>
            </w:tcBorders>
            <w:shd w:val="clear" w:color="auto" w:fill="FFFFFF"/>
            <w:vAlign w:val="center"/>
            <w:hideMark/>
          </w:tcPr>
          <w:p w14:paraId="341D74D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72 (43 %)</w:t>
            </w:r>
          </w:p>
        </w:tc>
        <w:tc>
          <w:tcPr>
            <w:tcW w:w="1060" w:type="dxa"/>
            <w:tcBorders>
              <w:top w:val="nil"/>
              <w:left w:val="single" w:sz="4" w:space="0" w:color="auto"/>
              <w:bottom w:val="nil"/>
              <w:right w:val="single" w:sz="4" w:space="0" w:color="auto"/>
            </w:tcBorders>
            <w:shd w:val="clear" w:color="auto" w:fill="FFFFFF"/>
            <w:vAlign w:val="center"/>
            <w:hideMark/>
          </w:tcPr>
          <w:p w14:paraId="6918F13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59 (35 %)</w:t>
            </w:r>
          </w:p>
        </w:tc>
        <w:tc>
          <w:tcPr>
            <w:tcW w:w="1055" w:type="dxa"/>
            <w:tcBorders>
              <w:left w:val="single" w:sz="4" w:space="0" w:color="auto"/>
            </w:tcBorders>
            <w:shd w:val="clear" w:color="auto" w:fill="FFFFFF"/>
            <w:vAlign w:val="center"/>
            <w:hideMark/>
          </w:tcPr>
          <w:p w14:paraId="7CE9B366"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309 (47 %)</w:t>
            </w:r>
          </w:p>
        </w:tc>
      </w:tr>
      <w:tr w:rsidR="003E405E" w:rsidRPr="003E405E" w14:paraId="710E5162"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4E34440A" w14:textId="77777777" w:rsidR="003E405E" w:rsidRPr="00DC08FA" w:rsidRDefault="003E405E" w:rsidP="003E405E">
            <w:pPr>
              <w:widowControl/>
              <w:spacing w:line="180" w:lineRule="exact"/>
              <w:rPr>
                <w:rFonts w:eastAsia="Times New Roman" w:cs="Times New Roman"/>
                <w:color w:val="000000"/>
                <w:kern w:val="0"/>
                <w:sz w:val="20"/>
                <w:szCs w:val="20"/>
              </w:rPr>
            </w:pPr>
            <w:proofErr w:type="spellStart"/>
            <w:r w:rsidRPr="00DC08FA">
              <w:rPr>
                <w:rFonts w:eastAsia="Times New Roman" w:cs="Times New Roman"/>
                <w:color w:val="000000"/>
                <w:kern w:val="0"/>
                <w:sz w:val="20"/>
                <w:szCs w:val="20"/>
              </w:rPr>
              <w:t>Olevel</w:t>
            </w:r>
            <w:proofErr w:type="spellEnd"/>
          </w:p>
        </w:tc>
        <w:tc>
          <w:tcPr>
            <w:tcW w:w="1055" w:type="dxa"/>
            <w:tcBorders>
              <w:top w:val="nil"/>
              <w:left w:val="single" w:sz="4" w:space="0" w:color="auto"/>
              <w:bottom w:val="nil"/>
              <w:right w:val="single" w:sz="4" w:space="0" w:color="auto"/>
            </w:tcBorders>
            <w:shd w:val="clear" w:color="auto" w:fill="FFFFFF"/>
            <w:vAlign w:val="center"/>
            <w:hideMark/>
          </w:tcPr>
          <w:p w14:paraId="4623166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79 (9 %)</w:t>
            </w:r>
          </w:p>
        </w:tc>
        <w:tc>
          <w:tcPr>
            <w:tcW w:w="1055" w:type="dxa"/>
            <w:tcBorders>
              <w:top w:val="nil"/>
              <w:left w:val="single" w:sz="4" w:space="0" w:color="auto"/>
              <w:bottom w:val="nil"/>
              <w:right w:val="single" w:sz="4" w:space="0" w:color="auto"/>
            </w:tcBorders>
            <w:shd w:val="clear" w:color="auto" w:fill="FFFFFF"/>
            <w:vAlign w:val="center"/>
            <w:hideMark/>
          </w:tcPr>
          <w:p w14:paraId="4B1EBD3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 (12 %)</w:t>
            </w:r>
          </w:p>
        </w:tc>
        <w:tc>
          <w:tcPr>
            <w:tcW w:w="1055" w:type="dxa"/>
            <w:tcBorders>
              <w:top w:val="nil"/>
              <w:left w:val="single" w:sz="4" w:space="0" w:color="auto"/>
              <w:bottom w:val="nil"/>
              <w:right w:val="single" w:sz="4" w:space="0" w:color="auto"/>
            </w:tcBorders>
            <w:shd w:val="clear" w:color="auto" w:fill="FFFFFF"/>
            <w:vAlign w:val="center"/>
            <w:hideMark/>
          </w:tcPr>
          <w:p w14:paraId="754EAED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 (8 %)</w:t>
            </w:r>
          </w:p>
        </w:tc>
        <w:tc>
          <w:tcPr>
            <w:tcW w:w="1055" w:type="dxa"/>
            <w:tcBorders>
              <w:top w:val="nil"/>
              <w:left w:val="single" w:sz="4" w:space="0" w:color="auto"/>
              <w:bottom w:val="nil"/>
              <w:right w:val="single" w:sz="4" w:space="0" w:color="auto"/>
            </w:tcBorders>
            <w:shd w:val="clear" w:color="auto" w:fill="FFFFFF"/>
            <w:vAlign w:val="center"/>
            <w:hideMark/>
          </w:tcPr>
          <w:p w14:paraId="66974F1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 (10 %)</w:t>
            </w:r>
          </w:p>
        </w:tc>
        <w:tc>
          <w:tcPr>
            <w:tcW w:w="1055" w:type="dxa"/>
            <w:tcBorders>
              <w:top w:val="nil"/>
              <w:left w:val="single" w:sz="4" w:space="0" w:color="auto"/>
              <w:bottom w:val="nil"/>
              <w:right w:val="single" w:sz="4" w:space="0" w:color="auto"/>
            </w:tcBorders>
            <w:shd w:val="clear" w:color="auto" w:fill="FFFFFF"/>
            <w:vAlign w:val="center"/>
            <w:hideMark/>
          </w:tcPr>
          <w:p w14:paraId="55C21A7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 (7 %)</w:t>
            </w:r>
          </w:p>
        </w:tc>
        <w:tc>
          <w:tcPr>
            <w:tcW w:w="1060" w:type="dxa"/>
            <w:tcBorders>
              <w:top w:val="nil"/>
              <w:left w:val="single" w:sz="4" w:space="0" w:color="auto"/>
              <w:bottom w:val="nil"/>
              <w:right w:val="single" w:sz="4" w:space="0" w:color="auto"/>
            </w:tcBorders>
            <w:shd w:val="clear" w:color="auto" w:fill="FFFFFF"/>
            <w:vAlign w:val="center"/>
            <w:hideMark/>
          </w:tcPr>
          <w:p w14:paraId="127E43C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 (10 %)</w:t>
            </w:r>
          </w:p>
        </w:tc>
        <w:tc>
          <w:tcPr>
            <w:tcW w:w="1055" w:type="dxa"/>
            <w:tcBorders>
              <w:left w:val="single" w:sz="4" w:space="0" w:color="auto"/>
            </w:tcBorders>
            <w:shd w:val="clear" w:color="auto" w:fill="FFFFFF"/>
            <w:vAlign w:val="center"/>
            <w:hideMark/>
          </w:tcPr>
          <w:p w14:paraId="10FA6556"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54 (8 %)</w:t>
            </w:r>
          </w:p>
        </w:tc>
      </w:tr>
      <w:tr w:rsidR="003E405E" w:rsidRPr="003E405E" w14:paraId="7EACB9CF"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4D54FED5" w14:textId="77777777" w:rsidR="003E405E" w:rsidRPr="00DC08FA" w:rsidRDefault="003E405E" w:rsidP="003E405E">
            <w:pPr>
              <w:widowControl/>
              <w:spacing w:line="180" w:lineRule="exact"/>
              <w:rPr>
                <w:rFonts w:eastAsia="Times New Roman" w:cs="Times New Roman"/>
                <w:color w:val="000000"/>
                <w:kern w:val="0"/>
                <w:sz w:val="20"/>
                <w:szCs w:val="20"/>
              </w:rPr>
            </w:pPr>
            <w:proofErr w:type="spellStart"/>
            <w:r w:rsidRPr="00DC08FA">
              <w:rPr>
                <w:rFonts w:eastAsia="Times New Roman" w:cs="Times New Roman"/>
                <w:color w:val="000000"/>
                <w:kern w:val="0"/>
                <w:sz w:val="20"/>
                <w:szCs w:val="20"/>
              </w:rPr>
              <w:t>Alevel</w:t>
            </w:r>
            <w:proofErr w:type="spellEnd"/>
          </w:p>
        </w:tc>
        <w:tc>
          <w:tcPr>
            <w:tcW w:w="1055" w:type="dxa"/>
            <w:tcBorders>
              <w:top w:val="nil"/>
              <w:left w:val="single" w:sz="4" w:space="0" w:color="auto"/>
              <w:bottom w:val="nil"/>
              <w:right w:val="single" w:sz="4" w:space="0" w:color="auto"/>
            </w:tcBorders>
            <w:shd w:val="clear" w:color="auto" w:fill="FFFFFF"/>
            <w:vAlign w:val="center"/>
            <w:hideMark/>
          </w:tcPr>
          <w:p w14:paraId="50C1105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329 (39 %)</w:t>
            </w:r>
          </w:p>
        </w:tc>
        <w:tc>
          <w:tcPr>
            <w:tcW w:w="1055" w:type="dxa"/>
            <w:tcBorders>
              <w:top w:val="nil"/>
              <w:left w:val="single" w:sz="4" w:space="0" w:color="auto"/>
              <w:bottom w:val="nil"/>
              <w:right w:val="single" w:sz="4" w:space="0" w:color="auto"/>
            </w:tcBorders>
            <w:shd w:val="clear" w:color="auto" w:fill="FFFFFF"/>
            <w:vAlign w:val="center"/>
            <w:hideMark/>
          </w:tcPr>
          <w:p w14:paraId="199BAC3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60 (36 %)</w:t>
            </w:r>
          </w:p>
        </w:tc>
        <w:tc>
          <w:tcPr>
            <w:tcW w:w="1055" w:type="dxa"/>
            <w:tcBorders>
              <w:top w:val="nil"/>
              <w:left w:val="single" w:sz="4" w:space="0" w:color="auto"/>
              <w:bottom w:val="nil"/>
              <w:right w:val="single" w:sz="4" w:space="0" w:color="auto"/>
            </w:tcBorders>
            <w:shd w:val="clear" w:color="auto" w:fill="FFFFFF"/>
            <w:vAlign w:val="center"/>
            <w:hideMark/>
          </w:tcPr>
          <w:p w14:paraId="042AD46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64 (38 %)</w:t>
            </w:r>
          </w:p>
        </w:tc>
        <w:tc>
          <w:tcPr>
            <w:tcW w:w="1055" w:type="dxa"/>
            <w:tcBorders>
              <w:top w:val="nil"/>
              <w:left w:val="single" w:sz="4" w:space="0" w:color="auto"/>
              <w:bottom w:val="nil"/>
              <w:right w:val="single" w:sz="4" w:space="0" w:color="auto"/>
            </w:tcBorders>
            <w:shd w:val="clear" w:color="auto" w:fill="FFFFFF"/>
            <w:vAlign w:val="center"/>
            <w:hideMark/>
          </w:tcPr>
          <w:p w14:paraId="7A23817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72 (43 %)</w:t>
            </w:r>
          </w:p>
        </w:tc>
        <w:tc>
          <w:tcPr>
            <w:tcW w:w="1055" w:type="dxa"/>
            <w:tcBorders>
              <w:top w:val="nil"/>
              <w:left w:val="single" w:sz="4" w:space="0" w:color="auto"/>
              <w:bottom w:val="nil"/>
              <w:right w:val="single" w:sz="4" w:space="0" w:color="auto"/>
            </w:tcBorders>
            <w:shd w:val="clear" w:color="auto" w:fill="FFFFFF"/>
            <w:vAlign w:val="center"/>
            <w:hideMark/>
          </w:tcPr>
          <w:p w14:paraId="3F2B348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66 (39 %)</w:t>
            </w:r>
          </w:p>
        </w:tc>
        <w:tc>
          <w:tcPr>
            <w:tcW w:w="1060" w:type="dxa"/>
            <w:tcBorders>
              <w:top w:val="nil"/>
              <w:left w:val="single" w:sz="4" w:space="0" w:color="auto"/>
              <w:bottom w:val="nil"/>
              <w:right w:val="single" w:sz="4" w:space="0" w:color="auto"/>
            </w:tcBorders>
            <w:shd w:val="clear" w:color="auto" w:fill="FFFFFF"/>
            <w:vAlign w:val="center"/>
            <w:hideMark/>
          </w:tcPr>
          <w:p w14:paraId="778A3D8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67 (39 %)</w:t>
            </w:r>
          </w:p>
        </w:tc>
        <w:tc>
          <w:tcPr>
            <w:tcW w:w="1055" w:type="dxa"/>
            <w:tcBorders>
              <w:left w:val="single" w:sz="4" w:space="0" w:color="auto"/>
            </w:tcBorders>
            <w:shd w:val="clear" w:color="auto" w:fill="FFFFFF"/>
            <w:vAlign w:val="center"/>
            <w:hideMark/>
          </w:tcPr>
          <w:p w14:paraId="0D688B17"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229 (35 %)</w:t>
            </w:r>
          </w:p>
        </w:tc>
      </w:tr>
      <w:tr w:rsidR="003E405E" w:rsidRPr="003E405E" w14:paraId="6D998DEC"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300" w:type="dxa"/>
              <w:bottom w:w="60" w:type="dxa"/>
              <w:right w:w="180" w:type="dxa"/>
            </w:tcMar>
            <w:vAlign w:val="center"/>
            <w:hideMark/>
          </w:tcPr>
          <w:p w14:paraId="43612CD7"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Degree</w:t>
            </w:r>
          </w:p>
        </w:tc>
        <w:tc>
          <w:tcPr>
            <w:tcW w:w="1055" w:type="dxa"/>
            <w:tcBorders>
              <w:top w:val="nil"/>
              <w:left w:val="single" w:sz="4" w:space="0" w:color="auto"/>
              <w:bottom w:val="nil"/>
              <w:right w:val="single" w:sz="4" w:space="0" w:color="auto"/>
            </w:tcBorders>
            <w:shd w:val="clear" w:color="auto" w:fill="FFFFFF"/>
            <w:vAlign w:val="center"/>
            <w:hideMark/>
          </w:tcPr>
          <w:p w14:paraId="02020AA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117 (14 %)</w:t>
            </w:r>
          </w:p>
        </w:tc>
        <w:tc>
          <w:tcPr>
            <w:tcW w:w="1055" w:type="dxa"/>
            <w:tcBorders>
              <w:top w:val="nil"/>
              <w:left w:val="single" w:sz="4" w:space="0" w:color="auto"/>
              <w:bottom w:val="nil"/>
              <w:right w:val="single" w:sz="4" w:space="0" w:color="auto"/>
            </w:tcBorders>
            <w:shd w:val="clear" w:color="auto" w:fill="FFFFFF"/>
            <w:vAlign w:val="center"/>
            <w:hideMark/>
          </w:tcPr>
          <w:p w14:paraId="235F544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 (12 %)</w:t>
            </w:r>
          </w:p>
        </w:tc>
        <w:tc>
          <w:tcPr>
            <w:tcW w:w="1055" w:type="dxa"/>
            <w:tcBorders>
              <w:top w:val="nil"/>
              <w:left w:val="single" w:sz="4" w:space="0" w:color="auto"/>
              <w:bottom w:val="nil"/>
              <w:right w:val="single" w:sz="4" w:space="0" w:color="auto"/>
            </w:tcBorders>
            <w:shd w:val="clear" w:color="auto" w:fill="FFFFFF"/>
            <w:vAlign w:val="center"/>
            <w:hideMark/>
          </w:tcPr>
          <w:p w14:paraId="1B30F6B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29 (17 %)</w:t>
            </w:r>
          </w:p>
        </w:tc>
        <w:tc>
          <w:tcPr>
            <w:tcW w:w="1055" w:type="dxa"/>
            <w:tcBorders>
              <w:top w:val="nil"/>
              <w:left w:val="single" w:sz="4" w:space="0" w:color="auto"/>
              <w:bottom w:val="nil"/>
              <w:right w:val="single" w:sz="4" w:space="0" w:color="auto"/>
            </w:tcBorders>
            <w:shd w:val="clear" w:color="auto" w:fill="FFFFFF"/>
            <w:vAlign w:val="center"/>
            <w:hideMark/>
          </w:tcPr>
          <w:p w14:paraId="4074DF6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 (12 %)</w:t>
            </w:r>
          </w:p>
        </w:tc>
        <w:tc>
          <w:tcPr>
            <w:tcW w:w="1055" w:type="dxa"/>
            <w:tcBorders>
              <w:top w:val="nil"/>
              <w:left w:val="single" w:sz="4" w:space="0" w:color="auto"/>
              <w:bottom w:val="nil"/>
              <w:right w:val="single" w:sz="4" w:space="0" w:color="auto"/>
            </w:tcBorders>
            <w:shd w:val="clear" w:color="auto" w:fill="FFFFFF"/>
            <w:vAlign w:val="center"/>
            <w:hideMark/>
          </w:tcPr>
          <w:p w14:paraId="5EAB835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 (12 %)</w:t>
            </w:r>
          </w:p>
        </w:tc>
        <w:tc>
          <w:tcPr>
            <w:tcW w:w="1060" w:type="dxa"/>
            <w:tcBorders>
              <w:top w:val="nil"/>
              <w:left w:val="single" w:sz="4" w:space="0" w:color="auto"/>
              <w:bottom w:val="nil"/>
              <w:right w:val="single" w:sz="4" w:space="0" w:color="auto"/>
            </w:tcBorders>
            <w:shd w:val="clear" w:color="auto" w:fill="FFFFFF"/>
            <w:vAlign w:val="center"/>
            <w:hideMark/>
          </w:tcPr>
          <w:p w14:paraId="74DA129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27 (16 %)</w:t>
            </w:r>
          </w:p>
        </w:tc>
        <w:tc>
          <w:tcPr>
            <w:tcW w:w="1055" w:type="dxa"/>
            <w:tcBorders>
              <w:left w:val="single" w:sz="4" w:space="0" w:color="auto"/>
            </w:tcBorders>
            <w:shd w:val="clear" w:color="auto" w:fill="FFFFFF"/>
            <w:vAlign w:val="center"/>
            <w:hideMark/>
          </w:tcPr>
          <w:p w14:paraId="6D082C54"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67 (10 %)</w:t>
            </w:r>
          </w:p>
        </w:tc>
      </w:tr>
      <w:tr w:rsidR="003E405E" w:rsidRPr="003E405E" w14:paraId="0BE016B5"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36E676DE"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Smoking</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426AFE49"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1DAA15FB" w14:textId="77777777" w:rsidR="003E405E" w:rsidRPr="00DC08FA" w:rsidRDefault="003E405E" w:rsidP="003E405E">
            <w:pPr>
              <w:spacing w:line="180" w:lineRule="exact"/>
              <w:rPr>
                <w:rFonts w:cs="Times New Roman"/>
                <w:b/>
                <w:bCs/>
                <w:color w:val="000000"/>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211A0166"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7DB456E8"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0A76EC9C" w14:textId="77777777" w:rsidR="003E405E" w:rsidRPr="00DC08FA" w:rsidRDefault="003E405E" w:rsidP="003E405E">
            <w:pPr>
              <w:spacing w:line="180" w:lineRule="exact"/>
              <w:jc w:val="center"/>
              <w:rPr>
                <w:rFonts w:cs="Times New Roman"/>
                <w:sz w:val="20"/>
                <w:szCs w:val="20"/>
              </w:rPr>
            </w:pPr>
          </w:p>
        </w:tc>
        <w:tc>
          <w:tcPr>
            <w:tcW w:w="1060" w:type="dxa"/>
            <w:tcBorders>
              <w:top w:val="nil"/>
              <w:left w:val="single" w:sz="4" w:space="0" w:color="auto"/>
              <w:bottom w:val="nil"/>
              <w:right w:val="single" w:sz="4" w:space="0" w:color="auto"/>
            </w:tcBorders>
            <w:shd w:val="clear" w:color="auto" w:fill="D9D9D9" w:themeFill="background1" w:themeFillShade="D9"/>
            <w:vAlign w:val="center"/>
          </w:tcPr>
          <w:p w14:paraId="0F5FC68F" w14:textId="77777777" w:rsidR="003E405E" w:rsidRPr="00DC08FA" w:rsidRDefault="003E405E" w:rsidP="003E405E">
            <w:pPr>
              <w:spacing w:line="180" w:lineRule="exact"/>
              <w:jc w:val="center"/>
              <w:rPr>
                <w:rFonts w:cs="Times New Roman"/>
                <w:sz w:val="20"/>
                <w:szCs w:val="20"/>
              </w:rPr>
            </w:pPr>
          </w:p>
        </w:tc>
        <w:tc>
          <w:tcPr>
            <w:tcW w:w="1055" w:type="dxa"/>
            <w:tcBorders>
              <w:left w:val="single" w:sz="4" w:space="0" w:color="auto"/>
            </w:tcBorders>
            <w:shd w:val="clear" w:color="auto" w:fill="D9D9D9" w:themeFill="background1" w:themeFillShade="D9"/>
            <w:vAlign w:val="center"/>
          </w:tcPr>
          <w:p w14:paraId="68512407" w14:textId="77777777" w:rsidR="003E405E" w:rsidRPr="00DC08FA" w:rsidRDefault="003E405E" w:rsidP="003E405E">
            <w:pPr>
              <w:widowControl/>
              <w:spacing w:line="180" w:lineRule="exact"/>
              <w:jc w:val="center"/>
              <w:rPr>
                <w:rFonts w:eastAsia="Times New Roman" w:cs="Times New Roman"/>
                <w:kern w:val="0"/>
                <w:sz w:val="20"/>
                <w:szCs w:val="20"/>
              </w:rPr>
            </w:pPr>
          </w:p>
        </w:tc>
      </w:tr>
      <w:tr w:rsidR="003E405E" w:rsidRPr="003E405E" w14:paraId="4767B23B"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2ED3E264"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Current</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1A0D87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112 (13 %)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29E1C2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 (9 %)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6AB282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 (10 %)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F31845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 (11 %)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9AFD63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27 (16 %)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29B94A6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34 (20 %)</w:t>
            </w:r>
          </w:p>
        </w:tc>
        <w:tc>
          <w:tcPr>
            <w:tcW w:w="1055" w:type="dxa"/>
            <w:tcBorders>
              <w:left w:val="single" w:sz="4" w:space="0" w:color="auto"/>
            </w:tcBorders>
            <w:shd w:val="clear" w:color="auto" w:fill="D9D9D9" w:themeFill="background1" w:themeFillShade="D9"/>
            <w:vAlign w:val="center"/>
            <w:hideMark/>
          </w:tcPr>
          <w:p w14:paraId="44673BA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79 (12 %)</w:t>
            </w:r>
          </w:p>
        </w:tc>
      </w:tr>
      <w:tr w:rsidR="003E405E" w:rsidRPr="003E405E" w14:paraId="6FA09DC6"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702D6F5A"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Former</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A15BB7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328 (39 %)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EC4BFA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53 (31 %)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CFA6A0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59 (35 %)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DC3478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63 (37 %)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79B883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69 (41 %)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14C58A1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84 (49 %)</w:t>
            </w:r>
          </w:p>
        </w:tc>
        <w:tc>
          <w:tcPr>
            <w:tcW w:w="1055" w:type="dxa"/>
            <w:tcBorders>
              <w:left w:val="single" w:sz="4" w:space="0" w:color="auto"/>
            </w:tcBorders>
            <w:shd w:val="clear" w:color="auto" w:fill="D9D9D9" w:themeFill="background1" w:themeFillShade="D9"/>
            <w:vAlign w:val="center"/>
            <w:hideMark/>
          </w:tcPr>
          <w:p w14:paraId="794F3B3D"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320 (49 %)</w:t>
            </w:r>
          </w:p>
        </w:tc>
      </w:tr>
      <w:tr w:rsidR="003E405E" w:rsidRPr="003E405E" w14:paraId="133C6E95"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7FD1B6A1"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Never</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B58288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406 (48 %)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017045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101 (60 %)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E0DE31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93 (55 %)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5CD6B1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87 (51 %)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491BEE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73 (43 %)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065649B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52 (31 %)</w:t>
            </w:r>
          </w:p>
        </w:tc>
        <w:tc>
          <w:tcPr>
            <w:tcW w:w="1055" w:type="dxa"/>
            <w:tcBorders>
              <w:left w:val="single" w:sz="4" w:space="0" w:color="auto"/>
            </w:tcBorders>
            <w:shd w:val="clear" w:color="auto" w:fill="D9D9D9" w:themeFill="background1" w:themeFillShade="D9"/>
            <w:vAlign w:val="center"/>
            <w:hideMark/>
          </w:tcPr>
          <w:p w14:paraId="3756AD20"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260 (39 %)</w:t>
            </w:r>
          </w:p>
        </w:tc>
      </w:tr>
      <w:tr w:rsidR="003E405E" w:rsidRPr="003E405E" w14:paraId="131667FF"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106B0853"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Alcohol intake (g/d)</w:t>
            </w:r>
          </w:p>
        </w:tc>
        <w:tc>
          <w:tcPr>
            <w:tcW w:w="1055" w:type="dxa"/>
            <w:tcBorders>
              <w:top w:val="nil"/>
              <w:left w:val="single" w:sz="4" w:space="0" w:color="auto"/>
              <w:bottom w:val="nil"/>
              <w:right w:val="single" w:sz="4" w:space="0" w:color="auto"/>
            </w:tcBorders>
            <w:shd w:val="clear" w:color="auto" w:fill="FFFFFF"/>
            <w:vAlign w:val="center"/>
            <w:hideMark/>
          </w:tcPr>
          <w:p w14:paraId="752B027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11.7 ± 16.7</w:t>
            </w:r>
          </w:p>
        </w:tc>
        <w:tc>
          <w:tcPr>
            <w:tcW w:w="1055" w:type="dxa"/>
            <w:tcBorders>
              <w:top w:val="nil"/>
              <w:left w:val="single" w:sz="4" w:space="0" w:color="auto"/>
              <w:bottom w:val="nil"/>
              <w:right w:val="single" w:sz="4" w:space="0" w:color="auto"/>
            </w:tcBorders>
            <w:shd w:val="clear" w:color="auto" w:fill="FFFFFF"/>
            <w:vAlign w:val="center"/>
            <w:hideMark/>
          </w:tcPr>
          <w:p w14:paraId="0E0B40F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6.33 ± 8.71</w:t>
            </w:r>
          </w:p>
        </w:tc>
        <w:tc>
          <w:tcPr>
            <w:tcW w:w="1055" w:type="dxa"/>
            <w:tcBorders>
              <w:top w:val="nil"/>
              <w:left w:val="single" w:sz="4" w:space="0" w:color="auto"/>
              <w:bottom w:val="nil"/>
              <w:right w:val="single" w:sz="4" w:space="0" w:color="auto"/>
            </w:tcBorders>
            <w:shd w:val="clear" w:color="auto" w:fill="FFFFFF"/>
            <w:vAlign w:val="center"/>
            <w:hideMark/>
          </w:tcPr>
          <w:p w14:paraId="60C7149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11.0 ± 16.3</w:t>
            </w:r>
          </w:p>
        </w:tc>
        <w:tc>
          <w:tcPr>
            <w:tcW w:w="1055" w:type="dxa"/>
            <w:tcBorders>
              <w:top w:val="nil"/>
              <w:left w:val="single" w:sz="4" w:space="0" w:color="auto"/>
              <w:bottom w:val="nil"/>
              <w:right w:val="single" w:sz="4" w:space="0" w:color="auto"/>
            </w:tcBorders>
            <w:shd w:val="clear" w:color="auto" w:fill="FFFFFF"/>
            <w:vAlign w:val="center"/>
            <w:hideMark/>
          </w:tcPr>
          <w:p w14:paraId="506F050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12.8 ± 17.0</w:t>
            </w:r>
          </w:p>
        </w:tc>
        <w:tc>
          <w:tcPr>
            <w:tcW w:w="1055" w:type="dxa"/>
            <w:tcBorders>
              <w:top w:val="nil"/>
              <w:left w:val="single" w:sz="4" w:space="0" w:color="auto"/>
              <w:bottom w:val="nil"/>
              <w:right w:val="single" w:sz="4" w:space="0" w:color="auto"/>
            </w:tcBorders>
            <w:shd w:val="clear" w:color="auto" w:fill="FFFFFF"/>
            <w:vAlign w:val="center"/>
            <w:hideMark/>
          </w:tcPr>
          <w:p w14:paraId="4E1FF11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10.6 ± 15.7</w:t>
            </w:r>
          </w:p>
        </w:tc>
        <w:tc>
          <w:tcPr>
            <w:tcW w:w="1060" w:type="dxa"/>
            <w:tcBorders>
              <w:top w:val="nil"/>
              <w:left w:val="single" w:sz="4" w:space="0" w:color="auto"/>
              <w:bottom w:val="nil"/>
              <w:right w:val="single" w:sz="4" w:space="0" w:color="auto"/>
            </w:tcBorders>
            <w:shd w:val="clear" w:color="auto" w:fill="FFFFFF"/>
            <w:vAlign w:val="center"/>
            <w:hideMark/>
          </w:tcPr>
          <w:p w14:paraId="3A72127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17.8 ± 21.2</w:t>
            </w:r>
          </w:p>
        </w:tc>
        <w:tc>
          <w:tcPr>
            <w:tcW w:w="1055" w:type="dxa"/>
            <w:tcBorders>
              <w:left w:val="single" w:sz="4" w:space="0" w:color="auto"/>
            </w:tcBorders>
            <w:shd w:val="clear" w:color="auto" w:fill="FFFFFF"/>
            <w:vAlign w:val="center"/>
            <w:hideMark/>
          </w:tcPr>
          <w:p w14:paraId="453B6820"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11.4 ± 19.0</w:t>
            </w:r>
          </w:p>
        </w:tc>
      </w:tr>
      <w:tr w:rsidR="003E405E" w:rsidRPr="003E405E" w14:paraId="1A6CCDE0"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5DA06957"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PA</w:t>
            </w: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6DF62849"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17747820" w14:textId="77777777" w:rsidR="003E405E" w:rsidRPr="00DC08FA" w:rsidRDefault="003E405E" w:rsidP="003E405E">
            <w:pPr>
              <w:spacing w:line="180" w:lineRule="exact"/>
              <w:rPr>
                <w:rFonts w:cs="Times New Roman"/>
                <w:b/>
                <w:bCs/>
                <w:color w:val="000000"/>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6A3123FC"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7A3E7BDF" w14:textId="77777777" w:rsidR="003E405E" w:rsidRPr="00DC08FA" w:rsidRDefault="003E405E" w:rsidP="003E405E">
            <w:pPr>
              <w:spacing w:line="180" w:lineRule="exact"/>
              <w:jc w:val="center"/>
              <w:rPr>
                <w:rFonts w:cs="Times New Roman"/>
                <w:sz w:val="20"/>
                <w:szCs w:val="20"/>
              </w:rPr>
            </w:pPr>
          </w:p>
        </w:tc>
        <w:tc>
          <w:tcPr>
            <w:tcW w:w="1055" w:type="dxa"/>
            <w:tcBorders>
              <w:top w:val="nil"/>
              <w:left w:val="single" w:sz="4" w:space="0" w:color="auto"/>
              <w:bottom w:val="nil"/>
              <w:right w:val="single" w:sz="4" w:space="0" w:color="auto"/>
            </w:tcBorders>
            <w:shd w:val="clear" w:color="auto" w:fill="D9D9D9" w:themeFill="background1" w:themeFillShade="D9"/>
            <w:vAlign w:val="center"/>
          </w:tcPr>
          <w:p w14:paraId="4A23077B" w14:textId="77777777" w:rsidR="003E405E" w:rsidRPr="00DC08FA" w:rsidRDefault="003E405E" w:rsidP="003E405E">
            <w:pPr>
              <w:spacing w:line="180" w:lineRule="exact"/>
              <w:jc w:val="center"/>
              <w:rPr>
                <w:rFonts w:cs="Times New Roman"/>
                <w:sz w:val="20"/>
                <w:szCs w:val="20"/>
              </w:rPr>
            </w:pPr>
          </w:p>
        </w:tc>
        <w:tc>
          <w:tcPr>
            <w:tcW w:w="1060" w:type="dxa"/>
            <w:tcBorders>
              <w:top w:val="nil"/>
              <w:left w:val="single" w:sz="4" w:space="0" w:color="auto"/>
              <w:bottom w:val="nil"/>
              <w:right w:val="single" w:sz="4" w:space="0" w:color="auto"/>
            </w:tcBorders>
            <w:shd w:val="clear" w:color="auto" w:fill="D9D9D9" w:themeFill="background1" w:themeFillShade="D9"/>
            <w:vAlign w:val="center"/>
          </w:tcPr>
          <w:p w14:paraId="3CE2E20F" w14:textId="77777777" w:rsidR="003E405E" w:rsidRPr="00DC08FA" w:rsidRDefault="003E405E" w:rsidP="003E405E">
            <w:pPr>
              <w:spacing w:line="180" w:lineRule="exact"/>
              <w:jc w:val="center"/>
              <w:rPr>
                <w:rFonts w:cs="Times New Roman"/>
                <w:sz w:val="20"/>
                <w:szCs w:val="20"/>
              </w:rPr>
            </w:pPr>
          </w:p>
        </w:tc>
        <w:tc>
          <w:tcPr>
            <w:tcW w:w="1055" w:type="dxa"/>
            <w:tcBorders>
              <w:left w:val="single" w:sz="4" w:space="0" w:color="auto"/>
            </w:tcBorders>
            <w:shd w:val="clear" w:color="auto" w:fill="D9D9D9" w:themeFill="background1" w:themeFillShade="D9"/>
            <w:vAlign w:val="center"/>
          </w:tcPr>
          <w:p w14:paraId="67073443" w14:textId="77777777" w:rsidR="003E405E" w:rsidRPr="00DC08FA" w:rsidRDefault="003E405E" w:rsidP="003E405E">
            <w:pPr>
              <w:widowControl/>
              <w:spacing w:line="180" w:lineRule="exact"/>
              <w:jc w:val="center"/>
              <w:rPr>
                <w:rFonts w:eastAsia="Times New Roman" w:cs="Times New Roman"/>
                <w:kern w:val="0"/>
                <w:sz w:val="20"/>
                <w:szCs w:val="20"/>
              </w:rPr>
            </w:pPr>
          </w:p>
        </w:tc>
      </w:tr>
      <w:tr w:rsidR="003E405E" w:rsidRPr="003E405E" w14:paraId="2EFFC26B"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5B22D48D"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Inactive</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2411EA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234 (28 %)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742E3E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54 (32 %)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C2E2E4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37 (22 %)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2B2EC8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51 (30 %)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529E05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42 (25 %)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42908B6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50 (29 %)</w:t>
            </w:r>
          </w:p>
        </w:tc>
        <w:tc>
          <w:tcPr>
            <w:tcW w:w="1055" w:type="dxa"/>
            <w:tcBorders>
              <w:left w:val="single" w:sz="4" w:space="0" w:color="auto"/>
            </w:tcBorders>
            <w:shd w:val="clear" w:color="auto" w:fill="D9D9D9" w:themeFill="background1" w:themeFillShade="D9"/>
            <w:vAlign w:val="center"/>
            <w:hideMark/>
          </w:tcPr>
          <w:p w14:paraId="3E3FC1EF"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290 (44 %)</w:t>
            </w:r>
          </w:p>
        </w:tc>
      </w:tr>
      <w:tr w:rsidR="003E405E" w:rsidRPr="003E405E" w14:paraId="5F43D967"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24D25F7C"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Moderately inactive</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5A5DF0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244 (29 %)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76903B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46 (27 %)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2C0D2A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65 (38 %)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A5E59F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39 (23 %)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0AD1D0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46 (27 %)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2C3FBBB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48 (28 %)</w:t>
            </w:r>
          </w:p>
        </w:tc>
        <w:tc>
          <w:tcPr>
            <w:tcW w:w="1055" w:type="dxa"/>
            <w:tcBorders>
              <w:left w:val="single" w:sz="4" w:space="0" w:color="auto"/>
            </w:tcBorders>
            <w:shd w:val="clear" w:color="auto" w:fill="D9D9D9" w:themeFill="background1" w:themeFillShade="D9"/>
            <w:vAlign w:val="center"/>
            <w:hideMark/>
          </w:tcPr>
          <w:p w14:paraId="2411F07E"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157 (24 %)</w:t>
            </w:r>
          </w:p>
        </w:tc>
      </w:tr>
      <w:tr w:rsidR="003E405E" w:rsidRPr="003E405E" w14:paraId="0F6FC3B9"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48F83722"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Moderately active</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567F0B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206 (24 %)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F8A5C6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39 (23 %)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A07664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37 (22 %)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8EBBEF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45 (27 %)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7099EE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44 (26 %)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5723202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41 (24 %)</w:t>
            </w:r>
          </w:p>
        </w:tc>
        <w:tc>
          <w:tcPr>
            <w:tcW w:w="1055" w:type="dxa"/>
            <w:tcBorders>
              <w:left w:val="single" w:sz="4" w:space="0" w:color="auto"/>
            </w:tcBorders>
            <w:shd w:val="clear" w:color="auto" w:fill="D9D9D9" w:themeFill="background1" w:themeFillShade="D9"/>
            <w:vAlign w:val="center"/>
            <w:hideMark/>
          </w:tcPr>
          <w:p w14:paraId="799620A8"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122 (19 %)</w:t>
            </w:r>
          </w:p>
        </w:tc>
      </w:tr>
      <w:tr w:rsidR="003E405E" w:rsidRPr="003E405E" w14:paraId="6A1ABA98"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300" w:type="dxa"/>
              <w:bottom w:w="60" w:type="dxa"/>
              <w:right w:w="180" w:type="dxa"/>
            </w:tcMar>
            <w:vAlign w:val="center"/>
            <w:hideMark/>
          </w:tcPr>
          <w:p w14:paraId="4DB438E5" w14:textId="77777777" w:rsidR="003E405E" w:rsidRPr="00DC08FA" w:rsidRDefault="003E405E" w:rsidP="003E405E">
            <w:pPr>
              <w:widowControl/>
              <w:spacing w:line="180" w:lineRule="exact"/>
              <w:rPr>
                <w:rFonts w:eastAsia="Times New Roman" w:cs="Times New Roman"/>
                <w:color w:val="000000"/>
                <w:kern w:val="0"/>
                <w:sz w:val="20"/>
                <w:szCs w:val="20"/>
              </w:rPr>
            </w:pPr>
            <w:r w:rsidRPr="00DC08FA">
              <w:rPr>
                <w:rFonts w:eastAsia="Times New Roman" w:cs="Times New Roman"/>
                <w:color w:val="000000"/>
                <w:kern w:val="0"/>
                <w:sz w:val="20"/>
                <w:szCs w:val="20"/>
              </w:rPr>
              <w:t>Active</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5F774D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162 (19 %)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14B540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30 (18 %)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1E328D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30 (18 %)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2A1D47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34 (20 %)</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55F7F7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37 (22 %)</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1BAABE1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31 (18 %)</w:t>
            </w:r>
          </w:p>
        </w:tc>
        <w:tc>
          <w:tcPr>
            <w:tcW w:w="1055" w:type="dxa"/>
            <w:tcBorders>
              <w:left w:val="single" w:sz="4" w:space="0" w:color="auto"/>
            </w:tcBorders>
            <w:shd w:val="clear" w:color="auto" w:fill="D9D9D9" w:themeFill="background1" w:themeFillShade="D9"/>
            <w:vAlign w:val="center"/>
            <w:hideMark/>
          </w:tcPr>
          <w:p w14:paraId="004B76D7"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90 (14 %)</w:t>
            </w:r>
          </w:p>
        </w:tc>
      </w:tr>
      <w:tr w:rsidR="003E405E" w:rsidRPr="003E405E" w14:paraId="33142C96"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1E7544AB"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BMI (kg/m</w:t>
            </w:r>
            <w:r w:rsidRPr="00DC08FA">
              <w:rPr>
                <w:rFonts w:eastAsia="Times New Roman" w:cs="Times New Roman"/>
                <w:b/>
                <w:bCs/>
                <w:color w:val="000000"/>
                <w:kern w:val="0"/>
                <w:sz w:val="20"/>
                <w:szCs w:val="20"/>
                <w:vertAlign w:val="superscript"/>
              </w:rPr>
              <w:t>2</w:t>
            </w:r>
            <w:r w:rsidRPr="00DC08FA">
              <w:rPr>
                <w:rFonts w:eastAsia="Times New Roman" w:cs="Times New Roman"/>
                <w:b/>
                <w:bCs/>
                <w:color w:val="000000"/>
                <w:kern w:val="0"/>
                <w:sz w:val="20"/>
                <w:szCs w:val="20"/>
              </w:rPr>
              <w:t>)</w:t>
            </w:r>
          </w:p>
        </w:tc>
        <w:tc>
          <w:tcPr>
            <w:tcW w:w="1055" w:type="dxa"/>
            <w:tcBorders>
              <w:top w:val="nil"/>
              <w:left w:val="single" w:sz="4" w:space="0" w:color="auto"/>
              <w:bottom w:val="nil"/>
              <w:right w:val="single" w:sz="4" w:space="0" w:color="auto"/>
            </w:tcBorders>
            <w:shd w:val="clear" w:color="auto" w:fill="FFFFFF"/>
            <w:vAlign w:val="center"/>
            <w:hideMark/>
          </w:tcPr>
          <w:p w14:paraId="13D8281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26.0 ± 3.71</w:t>
            </w:r>
          </w:p>
        </w:tc>
        <w:tc>
          <w:tcPr>
            <w:tcW w:w="1055" w:type="dxa"/>
            <w:tcBorders>
              <w:top w:val="nil"/>
              <w:left w:val="single" w:sz="4" w:space="0" w:color="auto"/>
              <w:bottom w:val="nil"/>
              <w:right w:val="single" w:sz="4" w:space="0" w:color="auto"/>
            </w:tcBorders>
            <w:shd w:val="clear" w:color="auto" w:fill="FFFFFF"/>
            <w:vAlign w:val="center"/>
            <w:hideMark/>
          </w:tcPr>
          <w:p w14:paraId="6687D22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25.3 ± 3.37</w:t>
            </w:r>
          </w:p>
        </w:tc>
        <w:tc>
          <w:tcPr>
            <w:tcW w:w="1055" w:type="dxa"/>
            <w:tcBorders>
              <w:top w:val="nil"/>
              <w:left w:val="single" w:sz="4" w:space="0" w:color="auto"/>
              <w:bottom w:val="nil"/>
              <w:right w:val="single" w:sz="4" w:space="0" w:color="auto"/>
            </w:tcBorders>
            <w:shd w:val="clear" w:color="auto" w:fill="FFFFFF"/>
            <w:vAlign w:val="center"/>
            <w:hideMark/>
          </w:tcPr>
          <w:p w14:paraId="0394FD8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26.1 ± 3.85</w:t>
            </w:r>
          </w:p>
        </w:tc>
        <w:tc>
          <w:tcPr>
            <w:tcW w:w="1055" w:type="dxa"/>
            <w:tcBorders>
              <w:top w:val="nil"/>
              <w:left w:val="single" w:sz="4" w:space="0" w:color="auto"/>
              <w:bottom w:val="nil"/>
              <w:right w:val="single" w:sz="4" w:space="0" w:color="auto"/>
            </w:tcBorders>
            <w:shd w:val="clear" w:color="auto" w:fill="FFFFFF"/>
            <w:vAlign w:val="center"/>
            <w:hideMark/>
          </w:tcPr>
          <w:p w14:paraId="05CFE19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26.6 ± 3.79</w:t>
            </w:r>
          </w:p>
        </w:tc>
        <w:tc>
          <w:tcPr>
            <w:tcW w:w="1055" w:type="dxa"/>
            <w:tcBorders>
              <w:top w:val="nil"/>
              <w:left w:val="single" w:sz="4" w:space="0" w:color="auto"/>
              <w:bottom w:val="nil"/>
              <w:right w:val="single" w:sz="4" w:space="0" w:color="auto"/>
            </w:tcBorders>
            <w:shd w:val="clear" w:color="auto" w:fill="FFFFFF"/>
            <w:vAlign w:val="center"/>
            <w:hideMark/>
          </w:tcPr>
          <w:p w14:paraId="130E2FC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26.0 ± 3.72</w:t>
            </w:r>
          </w:p>
        </w:tc>
        <w:tc>
          <w:tcPr>
            <w:tcW w:w="1060" w:type="dxa"/>
            <w:tcBorders>
              <w:top w:val="nil"/>
              <w:left w:val="single" w:sz="4" w:space="0" w:color="auto"/>
              <w:bottom w:val="nil"/>
              <w:right w:val="single" w:sz="4" w:space="0" w:color="auto"/>
            </w:tcBorders>
            <w:shd w:val="clear" w:color="auto" w:fill="FFFFFF"/>
            <w:vAlign w:val="center"/>
            <w:hideMark/>
          </w:tcPr>
          <w:p w14:paraId="224AC70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26.2 ± 3.71</w:t>
            </w:r>
          </w:p>
        </w:tc>
        <w:tc>
          <w:tcPr>
            <w:tcW w:w="1055" w:type="dxa"/>
            <w:tcBorders>
              <w:left w:val="single" w:sz="4" w:space="0" w:color="auto"/>
            </w:tcBorders>
            <w:shd w:val="clear" w:color="auto" w:fill="FFFFFF"/>
            <w:vAlign w:val="center"/>
            <w:hideMark/>
          </w:tcPr>
          <w:p w14:paraId="29C2D939"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29.6 ± 4.51</w:t>
            </w:r>
          </w:p>
        </w:tc>
      </w:tr>
      <w:tr w:rsidR="003E405E" w:rsidRPr="003E405E" w14:paraId="33A45FCA"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27FF37E8"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Total Energy (kcal/d)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051088B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1940 ± 516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659884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1790 ± 434</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3CD132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1850 ± 444</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D64D4C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1980 ± 543</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0448C3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2030 ± 560</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40C33E3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2060 ± 537</w:t>
            </w:r>
          </w:p>
        </w:tc>
        <w:tc>
          <w:tcPr>
            <w:tcW w:w="1055" w:type="dxa"/>
            <w:tcBorders>
              <w:left w:val="single" w:sz="4" w:space="0" w:color="auto"/>
            </w:tcBorders>
            <w:shd w:val="clear" w:color="auto" w:fill="D9D9D9" w:themeFill="background1" w:themeFillShade="D9"/>
            <w:vAlign w:val="center"/>
            <w:hideMark/>
          </w:tcPr>
          <w:p w14:paraId="1D35CA7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1940 ± 538</w:t>
            </w:r>
          </w:p>
        </w:tc>
      </w:tr>
      <w:tr w:rsidR="003E405E" w:rsidRPr="003E405E" w14:paraId="77FB02FF"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43FBA332"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Processed meat intake (g/d)</w:t>
            </w:r>
          </w:p>
        </w:tc>
        <w:tc>
          <w:tcPr>
            <w:tcW w:w="1055" w:type="dxa"/>
            <w:tcBorders>
              <w:top w:val="nil"/>
              <w:left w:val="single" w:sz="4" w:space="0" w:color="auto"/>
              <w:bottom w:val="nil"/>
              <w:right w:val="single" w:sz="4" w:space="0" w:color="auto"/>
            </w:tcBorders>
            <w:shd w:val="clear" w:color="auto" w:fill="FFFFFF"/>
            <w:vAlign w:val="center"/>
            <w:hideMark/>
          </w:tcPr>
          <w:p w14:paraId="27B094B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21.7 ± 19.7</w:t>
            </w:r>
          </w:p>
        </w:tc>
        <w:tc>
          <w:tcPr>
            <w:tcW w:w="1055" w:type="dxa"/>
            <w:tcBorders>
              <w:top w:val="nil"/>
              <w:left w:val="single" w:sz="4" w:space="0" w:color="auto"/>
              <w:bottom w:val="nil"/>
              <w:right w:val="single" w:sz="4" w:space="0" w:color="auto"/>
            </w:tcBorders>
            <w:shd w:val="clear" w:color="auto" w:fill="FFFFFF"/>
            <w:vAlign w:val="center"/>
            <w:hideMark/>
          </w:tcPr>
          <w:p w14:paraId="3C45613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16.3 ± 19.2</w:t>
            </w:r>
          </w:p>
        </w:tc>
        <w:tc>
          <w:tcPr>
            <w:tcW w:w="1055" w:type="dxa"/>
            <w:tcBorders>
              <w:top w:val="nil"/>
              <w:left w:val="single" w:sz="4" w:space="0" w:color="auto"/>
              <w:bottom w:val="nil"/>
              <w:right w:val="single" w:sz="4" w:space="0" w:color="auto"/>
            </w:tcBorders>
            <w:shd w:val="clear" w:color="auto" w:fill="FFFFFF"/>
            <w:vAlign w:val="center"/>
            <w:hideMark/>
          </w:tcPr>
          <w:p w14:paraId="4CAF015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19.1 ± 17.2</w:t>
            </w:r>
          </w:p>
        </w:tc>
        <w:tc>
          <w:tcPr>
            <w:tcW w:w="1055" w:type="dxa"/>
            <w:tcBorders>
              <w:top w:val="nil"/>
              <w:left w:val="single" w:sz="4" w:space="0" w:color="auto"/>
              <w:bottom w:val="nil"/>
              <w:right w:val="single" w:sz="4" w:space="0" w:color="auto"/>
            </w:tcBorders>
            <w:shd w:val="clear" w:color="auto" w:fill="FFFFFF"/>
            <w:vAlign w:val="center"/>
            <w:hideMark/>
          </w:tcPr>
          <w:p w14:paraId="70D39E0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19.5 ± 17.2</w:t>
            </w:r>
          </w:p>
        </w:tc>
        <w:tc>
          <w:tcPr>
            <w:tcW w:w="1055" w:type="dxa"/>
            <w:tcBorders>
              <w:top w:val="nil"/>
              <w:left w:val="single" w:sz="4" w:space="0" w:color="auto"/>
              <w:bottom w:val="nil"/>
              <w:right w:val="single" w:sz="4" w:space="0" w:color="auto"/>
            </w:tcBorders>
            <w:shd w:val="clear" w:color="auto" w:fill="FFFFFF"/>
            <w:vAlign w:val="center"/>
            <w:hideMark/>
          </w:tcPr>
          <w:p w14:paraId="01626590"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25.7 ± 21.5</w:t>
            </w:r>
          </w:p>
        </w:tc>
        <w:tc>
          <w:tcPr>
            <w:tcW w:w="1060" w:type="dxa"/>
            <w:tcBorders>
              <w:top w:val="nil"/>
              <w:left w:val="single" w:sz="4" w:space="0" w:color="auto"/>
              <w:bottom w:val="nil"/>
              <w:right w:val="single" w:sz="4" w:space="0" w:color="auto"/>
            </w:tcBorders>
            <w:shd w:val="clear" w:color="auto" w:fill="FFFFFF"/>
            <w:vAlign w:val="center"/>
            <w:hideMark/>
          </w:tcPr>
          <w:p w14:paraId="36DEF1E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28.0 ± 20.9</w:t>
            </w:r>
          </w:p>
        </w:tc>
        <w:tc>
          <w:tcPr>
            <w:tcW w:w="1055" w:type="dxa"/>
            <w:tcBorders>
              <w:left w:val="single" w:sz="4" w:space="0" w:color="auto"/>
            </w:tcBorders>
            <w:shd w:val="clear" w:color="auto" w:fill="FFFFFF"/>
            <w:vAlign w:val="center"/>
            <w:hideMark/>
          </w:tcPr>
          <w:p w14:paraId="21F2BAF5"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25.1 ± 21.1</w:t>
            </w:r>
          </w:p>
        </w:tc>
      </w:tr>
      <w:tr w:rsidR="003E405E" w:rsidRPr="003E405E" w14:paraId="57F48F2C"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73AEE11A"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Poultry intake (g/d)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6FE950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25.8 ± 25.3</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FA7639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19.6 ± 21.7</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3A466F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27.0 ± 25.6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50F7DD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26.2 ± 25.1</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E5B154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28.0 ± 24.5</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674BB714"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28.2 ± 28.3</w:t>
            </w:r>
          </w:p>
        </w:tc>
        <w:tc>
          <w:tcPr>
            <w:tcW w:w="1055" w:type="dxa"/>
            <w:tcBorders>
              <w:left w:val="single" w:sz="4" w:space="0" w:color="auto"/>
            </w:tcBorders>
            <w:shd w:val="clear" w:color="auto" w:fill="D9D9D9" w:themeFill="background1" w:themeFillShade="D9"/>
            <w:vAlign w:val="center"/>
            <w:hideMark/>
          </w:tcPr>
          <w:p w14:paraId="5EBB7140"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24.0 ± 26.5</w:t>
            </w:r>
          </w:p>
        </w:tc>
      </w:tr>
      <w:tr w:rsidR="003E405E" w:rsidRPr="003E405E" w14:paraId="47C1F65F"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5C256C8A"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Fruit intake (g/d)</w:t>
            </w:r>
          </w:p>
        </w:tc>
        <w:tc>
          <w:tcPr>
            <w:tcW w:w="1055" w:type="dxa"/>
            <w:tcBorders>
              <w:top w:val="nil"/>
              <w:left w:val="single" w:sz="4" w:space="0" w:color="auto"/>
              <w:bottom w:val="nil"/>
              <w:right w:val="single" w:sz="4" w:space="0" w:color="auto"/>
            </w:tcBorders>
            <w:shd w:val="clear" w:color="auto" w:fill="FFFFFF"/>
            <w:vAlign w:val="center"/>
            <w:hideMark/>
          </w:tcPr>
          <w:p w14:paraId="22C1D70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167 ± 124</w:t>
            </w:r>
          </w:p>
        </w:tc>
        <w:tc>
          <w:tcPr>
            <w:tcW w:w="1055" w:type="dxa"/>
            <w:tcBorders>
              <w:top w:val="nil"/>
              <w:left w:val="single" w:sz="4" w:space="0" w:color="auto"/>
              <w:bottom w:val="nil"/>
              <w:right w:val="single" w:sz="4" w:space="0" w:color="auto"/>
            </w:tcBorders>
            <w:shd w:val="clear" w:color="auto" w:fill="FFFFFF"/>
            <w:vAlign w:val="center"/>
            <w:hideMark/>
          </w:tcPr>
          <w:p w14:paraId="0162184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205 ± 138</w:t>
            </w:r>
          </w:p>
        </w:tc>
        <w:tc>
          <w:tcPr>
            <w:tcW w:w="1055" w:type="dxa"/>
            <w:tcBorders>
              <w:top w:val="nil"/>
              <w:left w:val="single" w:sz="4" w:space="0" w:color="auto"/>
              <w:bottom w:val="nil"/>
              <w:right w:val="single" w:sz="4" w:space="0" w:color="auto"/>
            </w:tcBorders>
            <w:shd w:val="clear" w:color="auto" w:fill="FFFFFF"/>
            <w:vAlign w:val="center"/>
            <w:hideMark/>
          </w:tcPr>
          <w:p w14:paraId="2B4A509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177 ± 117</w:t>
            </w:r>
          </w:p>
        </w:tc>
        <w:tc>
          <w:tcPr>
            <w:tcW w:w="1055" w:type="dxa"/>
            <w:tcBorders>
              <w:top w:val="nil"/>
              <w:left w:val="single" w:sz="4" w:space="0" w:color="auto"/>
              <w:bottom w:val="nil"/>
              <w:right w:val="single" w:sz="4" w:space="0" w:color="auto"/>
            </w:tcBorders>
            <w:shd w:val="clear" w:color="auto" w:fill="FFFFFF"/>
            <w:vAlign w:val="center"/>
            <w:hideMark/>
          </w:tcPr>
          <w:p w14:paraId="5D032AF7"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171 ± 119</w:t>
            </w:r>
          </w:p>
        </w:tc>
        <w:tc>
          <w:tcPr>
            <w:tcW w:w="1055" w:type="dxa"/>
            <w:tcBorders>
              <w:top w:val="nil"/>
              <w:left w:val="single" w:sz="4" w:space="0" w:color="auto"/>
              <w:bottom w:val="nil"/>
              <w:right w:val="single" w:sz="4" w:space="0" w:color="auto"/>
            </w:tcBorders>
            <w:shd w:val="clear" w:color="auto" w:fill="FFFFFF"/>
            <w:vAlign w:val="center"/>
            <w:hideMark/>
          </w:tcPr>
          <w:p w14:paraId="5D94373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158 ± 128</w:t>
            </w:r>
          </w:p>
        </w:tc>
        <w:tc>
          <w:tcPr>
            <w:tcW w:w="1060" w:type="dxa"/>
            <w:tcBorders>
              <w:top w:val="nil"/>
              <w:left w:val="single" w:sz="4" w:space="0" w:color="auto"/>
              <w:bottom w:val="nil"/>
              <w:right w:val="single" w:sz="4" w:space="0" w:color="auto"/>
            </w:tcBorders>
            <w:shd w:val="clear" w:color="auto" w:fill="FFFFFF"/>
            <w:vAlign w:val="center"/>
            <w:hideMark/>
          </w:tcPr>
          <w:p w14:paraId="1A16DCF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124 ± 99.6</w:t>
            </w:r>
          </w:p>
        </w:tc>
        <w:tc>
          <w:tcPr>
            <w:tcW w:w="1055" w:type="dxa"/>
            <w:tcBorders>
              <w:left w:val="single" w:sz="4" w:space="0" w:color="auto"/>
            </w:tcBorders>
            <w:shd w:val="clear" w:color="auto" w:fill="FFFFFF"/>
            <w:vAlign w:val="center"/>
            <w:hideMark/>
          </w:tcPr>
          <w:p w14:paraId="7A2710F1"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151 ± 137</w:t>
            </w:r>
          </w:p>
        </w:tc>
      </w:tr>
      <w:tr w:rsidR="003E405E" w:rsidRPr="003E405E" w14:paraId="23F17AB2"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7715680F"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Vegetable intake (g/d)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0B46079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150 ± 68.6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89D839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152 ± 63.5</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6DCF2FD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149 ± 69.8</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06B5D7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152 ± 72.1</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1EC882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148 ± 67.3</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1A2FFA5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147 ± 70.5</w:t>
            </w:r>
          </w:p>
        </w:tc>
        <w:tc>
          <w:tcPr>
            <w:tcW w:w="1055" w:type="dxa"/>
            <w:tcBorders>
              <w:left w:val="single" w:sz="4" w:space="0" w:color="auto"/>
            </w:tcBorders>
            <w:shd w:val="clear" w:color="auto" w:fill="D9D9D9" w:themeFill="background1" w:themeFillShade="D9"/>
            <w:vAlign w:val="center"/>
            <w:hideMark/>
          </w:tcPr>
          <w:p w14:paraId="3DA2A71B"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146 ± 80.9</w:t>
            </w:r>
          </w:p>
        </w:tc>
      </w:tr>
      <w:tr w:rsidR="003E405E" w:rsidRPr="003E405E" w14:paraId="21489215"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01FCC7E0"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Fatty fish intake (g/d)</w:t>
            </w:r>
          </w:p>
        </w:tc>
        <w:tc>
          <w:tcPr>
            <w:tcW w:w="1055" w:type="dxa"/>
            <w:tcBorders>
              <w:top w:val="nil"/>
              <w:left w:val="single" w:sz="4" w:space="0" w:color="auto"/>
              <w:bottom w:val="nil"/>
              <w:right w:val="single" w:sz="4" w:space="0" w:color="auto"/>
            </w:tcBorders>
            <w:shd w:val="clear" w:color="auto" w:fill="FFFFFF"/>
            <w:vAlign w:val="center"/>
            <w:hideMark/>
          </w:tcPr>
          <w:p w14:paraId="598C7B3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13.3 ± 22.3</w:t>
            </w:r>
          </w:p>
        </w:tc>
        <w:tc>
          <w:tcPr>
            <w:tcW w:w="1055" w:type="dxa"/>
            <w:tcBorders>
              <w:top w:val="nil"/>
              <w:left w:val="single" w:sz="4" w:space="0" w:color="auto"/>
              <w:bottom w:val="nil"/>
              <w:right w:val="single" w:sz="4" w:space="0" w:color="auto"/>
            </w:tcBorders>
            <w:shd w:val="clear" w:color="auto" w:fill="FFFFFF"/>
            <w:vAlign w:val="center"/>
            <w:hideMark/>
          </w:tcPr>
          <w:p w14:paraId="7D60F36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15.9 ± 22.5</w:t>
            </w:r>
          </w:p>
        </w:tc>
        <w:tc>
          <w:tcPr>
            <w:tcW w:w="1055" w:type="dxa"/>
            <w:tcBorders>
              <w:top w:val="nil"/>
              <w:left w:val="single" w:sz="4" w:space="0" w:color="auto"/>
              <w:bottom w:val="nil"/>
              <w:right w:val="single" w:sz="4" w:space="0" w:color="auto"/>
            </w:tcBorders>
            <w:shd w:val="clear" w:color="auto" w:fill="FFFFFF"/>
            <w:vAlign w:val="center"/>
            <w:hideMark/>
          </w:tcPr>
          <w:p w14:paraId="0B67C81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15.1 ± 28.9</w:t>
            </w:r>
          </w:p>
        </w:tc>
        <w:tc>
          <w:tcPr>
            <w:tcW w:w="1055" w:type="dxa"/>
            <w:tcBorders>
              <w:top w:val="nil"/>
              <w:left w:val="single" w:sz="4" w:space="0" w:color="auto"/>
              <w:bottom w:val="nil"/>
              <w:right w:val="single" w:sz="4" w:space="0" w:color="auto"/>
            </w:tcBorders>
            <w:shd w:val="clear" w:color="auto" w:fill="FFFFFF"/>
            <w:vAlign w:val="center"/>
            <w:hideMark/>
          </w:tcPr>
          <w:p w14:paraId="2774AB7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12.5 ± 17.6</w:t>
            </w:r>
          </w:p>
        </w:tc>
        <w:tc>
          <w:tcPr>
            <w:tcW w:w="1055" w:type="dxa"/>
            <w:tcBorders>
              <w:top w:val="nil"/>
              <w:left w:val="single" w:sz="4" w:space="0" w:color="auto"/>
              <w:bottom w:val="nil"/>
              <w:right w:val="single" w:sz="4" w:space="0" w:color="auto"/>
            </w:tcBorders>
            <w:shd w:val="clear" w:color="auto" w:fill="FFFFFF"/>
            <w:vAlign w:val="center"/>
            <w:hideMark/>
          </w:tcPr>
          <w:p w14:paraId="41E2F78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12.2 ± 22.7</w:t>
            </w:r>
          </w:p>
        </w:tc>
        <w:tc>
          <w:tcPr>
            <w:tcW w:w="1060" w:type="dxa"/>
            <w:tcBorders>
              <w:top w:val="nil"/>
              <w:left w:val="single" w:sz="4" w:space="0" w:color="auto"/>
              <w:bottom w:val="nil"/>
              <w:right w:val="single" w:sz="4" w:space="0" w:color="auto"/>
            </w:tcBorders>
            <w:shd w:val="clear" w:color="auto" w:fill="FFFFFF"/>
            <w:vAlign w:val="center"/>
            <w:hideMark/>
          </w:tcPr>
          <w:p w14:paraId="3B3DF2B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10.7 ± 17.7</w:t>
            </w:r>
          </w:p>
        </w:tc>
        <w:tc>
          <w:tcPr>
            <w:tcW w:w="1055" w:type="dxa"/>
            <w:tcBorders>
              <w:left w:val="single" w:sz="4" w:space="0" w:color="auto"/>
            </w:tcBorders>
            <w:shd w:val="clear" w:color="auto" w:fill="FFFFFF"/>
            <w:vAlign w:val="center"/>
            <w:hideMark/>
          </w:tcPr>
          <w:p w14:paraId="5294608B"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13.9 ± 27.6</w:t>
            </w:r>
          </w:p>
        </w:tc>
      </w:tr>
      <w:tr w:rsidR="003E405E" w:rsidRPr="003E405E" w14:paraId="4BA9D780"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78190472"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White fish intake (g/d)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2CC7AE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15.9 ± 17.6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994DD7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15.1 ± 17.0</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F020D4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13.5 ± 15.0</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1CC53DB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16.7 ± 18.5</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5DD107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18.4 ± 21.0</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1CCD523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15.7 ± 15.8</w:t>
            </w:r>
          </w:p>
        </w:tc>
        <w:tc>
          <w:tcPr>
            <w:tcW w:w="1055" w:type="dxa"/>
            <w:tcBorders>
              <w:left w:val="single" w:sz="4" w:space="0" w:color="auto"/>
            </w:tcBorders>
            <w:shd w:val="clear" w:color="auto" w:fill="D9D9D9" w:themeFill="background1" w:themeFillShade="D9"/>
            <w:vAlign w:val="center"/>
            <w:hideMark/>
          </w:tcPr>
          <w:p w14:paraId="0BD6D4AE"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16.3 ± 22.3</w:t>
            </w:r>
          </w:p>
        </w:tc>
      </w:tr>
      <w:tr w:rsidR="003E405E" w:rsidRPr="003E405E" w14:paraId="1CC77C30"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4DBD1D7E"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Legumes intake (g/d)</w:t>
            </w:r>
          </w:p>
        </w:tc>
        <w:tc>
          <w:tcPr>
            <w:tcW w:w="1055" w:type="dxa"/>
            <w:tcBorders>
              <w:top w:val="nil"/>
              <w:left w:val="single" w:sz="4" w:space="0" w:color="auto"/>
              <w:bottom w:val="nil"/>
              <w:right w:val="single" w:sz="4" w:space="0" w:color="auto"/>
            </w:tcBorders>
            <w:shd w:val="clear" w:color="auto" w:fill="FFFFFF"/>
            <w:vAlign w:val="center"/>
            <w:hideMark/>
          </w:tcPr>
          <w:p w14:paraId="6B215C5D"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26.7 ± 26.9</w:t>
            </w:r>
          </w:p>
        </w:tc>
        <w:tc>
          <w:tcPr>
            <w:tcW w:w="1055" w:type="dxa"/>
            <w:tcBorders>
              <w:top w:val="nil"/>
              <w:left w:val="single" w:sz="4" w:space="0" w:color="auto"/>
              <w:bottom w:val="nil"/>
              <w:right w:val="single" w:sz="4" w:space="0" w:color="auto"/>
            </w:tcBorders>
            <w:shd w:val="clear" w:color="auto" w:fill="FFFFFF"/>
            <w:vAlign w:val="center"/>
            <w:hideMark/>
          </w:tcPr>
          <w:p w14:paraId="79E143B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26.7 ± 27.7</w:t>
            </w:r>
          </w:p>
        </w:tc>
        <w:tc>
          <w:tcPr>
            <w:tcW w:w="1055" w:type="dxa"/>
            <w:tcBorders>
              <w:top w:val="nil"/>
              <w:left w:val="single" w:sz="4" w:space="0" w:color="auto"/>
              <w:bottom w:val="nil"/>
              <w:right w:val="single" w:sz="4" w:space="0" w:color="auto"/>
            </w:tcBorders>
            <w:shd w:val="clear" w:color="auto" w:fill="FFFFFF"/>
            <w:vAlign w:val="center"/>
            <w:hideMark/>
          </w:tcPr>
          <w:p w14:paraId="51EF748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22.8 ± 23.4</w:t>
            </w:r>
          </w:p>
        </w:tc>
        <w:tc>
          <w:tcPr>
            <w:tcW w:w="1055" w:type="dxa"/>
            <w:tcBorders>
              <w:top w:val="nil"/>
              <w:left w:val="single" w:sz="4" w:space="0" w:color="auto"/>
              <w:bottom w:val="nil"/>
              <w:right w:val="single" w:sz="4" w:space="0" w:color="auto"/>
            </w:tcBorders>
            <w:shd w:val="clear" w:color="auto" w:fill="FFFFFF"/>
            <w:vAlign w:val="center"/>
            <w:hideMark/>
          </w:tcPr>
          <w:p w14:paraId="6A576AE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26.4 ± 26.3</w:t>
            </w:r>
          </w:p>
        </w:tc>
        <w:tc>
          <w:tcPr>
            <w:tcW w:w="1055" w:type="dxa"/>
            <w:tcBorders>
              <w:top w:val="nil"/>
              <w:left w:val="single" w:sz="4" w:space="0" w:color="auto"/>
              <w:bottom w:val="nil"/>
              <w:right w:val="single" w:sz="4" w:space="0" w:color="auto"/>
            </w:tcBorders>
            <w:shd w:val="clear" w:color="auto" w:fill="FFFFFF"/>
            <w:vAlign w:val="center"/>
            <w:hideMark/>
          </w:tcPr>
          <w:p w14:paraId="36AC779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29.9 ± 31.4</w:t>
            </w:r>
          </w:p>
        </w:tc>
        <w:tc>
          <w:tcPr>
            <w:tcW w:w="1060" w:type="dxa"/>
            <w:tcBorders>
              <w:top w:val="nil"/>
              <w:left w:val="single" w:sz="4" w:space="0" w:color="auto"/>
              <w:bottom w:val="nil"/>
              <w:right w:val="single" w:sz="4" w:space="0" w:color="auto"/>
            </w:tcBorders>
            <w:shd w:val="clear" w:color="auto" w:fill="FFFFFF"/>
            <w:vAlign w:val="center"/>
            <w:hideMark/>
          </w:tcPr>
          <w:p w14:paraId="117559C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27.6 ± 25.0</w:t>
            </w:r>
          </w:p>
        </w:tc>
        <w:tc>
          <w:tcPr>
            <w:tcW w:w="1055" w:type="dxa"/>
            <w:tcBorders>
              <w:left w:val="single" w:sz="4" w:space="0" w:color="auto"/>
            </w:tcBorders>
            <w:shd w:val="clear" w:color="auto" w:fill="FFFFFF"/>
            <w:vAlign w:val="center"/>
            <w:hideMark/>
          </w:tcPr>
          <w:p w14:paraId="5E02641C"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28.7 ± 29.8</w:t>
            </w:r>
          </w:p>
        </w:tc>
      </w:tr>
      <w:tr w:rsidR="003E405E" w:rsidRPr="003E405E" w14:paraId="14AF50F9"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2BF3F423"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Nuts intake (g/d)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8E9AD1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2.20 ± 5.66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7A33FE6"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2.36 ± 6.15</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CD738E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2.15 ± 4.84</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47AE509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2.22 ± 5.61</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0557129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1.63 ± 4.51</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7871F5BC"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2.62 ± 6.87</w:t>
            </w:r>
          </w:p>
        </w:tc>
        <w:tc>
          <w:tcPr>
            <w:tcW w:w="1055" w:type="dxa"/>
            <w:tcBorders>
              <w:left w:val="single" w:sz="4" w:space="0" w:color="auto"/>
            </w:tcBorders>
            <w:shd w:val="clear" w:color="auto" w:fill="D9D9D9" w:themeFill="background1" w:themeFillShade="D9"/>
            <w:vAlign w:val="center"/>
            <w:hideMark/>
          </w:tcPr>
          <w:p w14:paraId="46ED324B"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2.04 ± 7.25</w:t>
            </w:r>
          </w:p>
        </w:tc>
      </w:tr>
      <w:tr w:rsidR="003E405E" w:rsidRPr="003E405E" w14:paraId="7913EB18" w14:textId="77777777" w:rsidTr="00B164B5">
        <w:trPr>
          <w:trHeight w:val="162"/>
        </w:trPr>
        <w:tc>
          <w:tcPr>
            <w:tcW w:w="3019" w:type="dxa"/>
            <w:tcBorders>
              <w:top w:val="nil"/>
              <w:left w:val="nil"/>
              <w:bottom w:val="nil"/>
              <w:right w:val="single" w:sz="4" w:space="0" w:color="auto"/>
            </w:tcBorders>
            <w:shd w:val="clear" w:color="auto" w:fill="FFFFFF"/>
            <w:noWrap/>
            <w:tcMar>
              <w:top w:w="60" w:type="dxa"/>
              <w:left w:w="60" w:type="dxa"/>
              <w:bottom w:w="60" w:type="dxa"/>
              <w:right w:w="180" w:type="dxa"/>
            </w:tcMar>
            <w:vAlign w:val="center"/>
            <w:hideMark/>
          </w:tcPr>
          <w:p w14:paraId="24C21F40"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Dairy intake (g/d)</w:t>
            </w:r>
          </w:p>
        </w:tc>
        <w:tc>
          <w:tcPr>
            <w:tcW w:w="1055" w:type="dxa"/>
            <w:tcBorders>
              <w:top w:val="nil"/>
              <w:left w:val="single" w:sz="4" w:space="0" w:color="auto"/>
              <w:bottom w:val="nil"/>
              <w:right w:val="single" w:sz="4" w:space="0" w:color="auto"/>
            </w:tcBorders>
            <w:shd w:val="clear" w:color="auto" w:fill="FFFFFF"/>
            <w:vAlign w:val="center"/>
            <w:hideMark/>
          </w:tcPr>
          <w:p w14:paraId="463595F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218 ± 142</w:t>
            </w:r>
          </w:p>
        </w:tc>
        <w:tc>
          <w:tcPr>
            <w:tcW w:w="1055" w:type="dxa"/>
            <w:tcBorders>
              <w:top w:val="nil"/>
              <w:left w:val="single" w:sz="4" w:space="0" w:color="auto"/>
              <w:bottom w:val="nil"/>
              <w:right w:val="single" w:sz="4" w:space="0" w:color="auto"/>
            </w:tcBorders>
            <w:shd w:val="clear" w:color="auto" w:fill="FFFFFF"/>
            <w:vAlign w:val="center"/>
            <w:hideMark/>
          </w:tcPr>
          <w:p w14:paraId="10C71C0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220 ± 140</w:t>
            </w:r>
          </w:p>
        </w:tc>
        <w:tc>
          <w:tcPr>
            <w:tcW w:w="1055" w:type="dxa"/>
            <w:tcBorders>
              <w:top w:val="nil"/>
              <w:left w:val="single" w:sz="4" w:space="0" w:color="auto"/>
              <w:bottom w:val="nil"/>
              <w:right w:val="single" w:sz="4" w:space="0" w:color="auto"/>
            </w:tcBorders>
            <w:shd w:val="clear" w:color="auto" w:fill="FFFFFF"/>
            <w:vAlign w:val="center"/>
            <w:hideMark/>
          </w:tcPr>
          <w:p w14:paraId="418AA5E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210 ± 146</w:t>
            </w:r>
          </w:p>
        </w:tc>
        <w:tc>
          <w:tcPr>
            <w:tcW w:w="1055" w:type="dxa"/>
            <w:tcBorders>
              <w:top w:val="nil"/>
              <w:left w:val="single" w:sz="4" w:space="0" w:color="auto"/>
              <w:bottom w:val="nil"/>
              <w:right w:val="single" w:sz="4" w:space="0" w:color="auto"/>
            </w:tcBorders>
            <w:shd w:val="clear" w:color="auto" w:fill="FFFFFF"/>
            <w:vAlign w:val="center"/>
            <w:hideMark/>
          </w:tcPr>
          <w:p w14:paraId="7F0AC68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215 ± 133</w:t>
            </w:r>
          </w:p>
        </w:tc>
        <w:tc>
          <w:tcPr>
            <w:tcW w:w="1055" w:type="dxa"/>
            <w:tcBorders>
              <w:top w:val="nil"/>
              <w:left w:val="single" w:sz="4" w:space="0" w:color="auto"/>
              <w:bottom w:val="nil"/>
              <w:right w:val="single" w:sz="4" w:space="0" w:color="auto"/>
            </w:tcBorders>
            <w:shd w:val="clear" w:color="auto" w:fill="FFFFFF"/>
            <w:vAlign w:val="center"/>
            <w:hideMark/>
          </w:tcPr>
          <w:p w14:paraId="5B6F642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246 ± 135</w:t>
            </w:r>
          </w:p>
        </w:tc>
        <w:tc>
          <w:tcPr>
            <w:tcW w:w="1060" w:type="dxa"/>
            <w:tcBorders>
              <w:top w:val="nil"/>
              <w:left w:val="single" w:sz="4" w:space="0" w:color="auto"/>
              <w:bottom w:val="nil"/>
              <w:right w:val="single" w:sz="4" w:space="0" w:color="auto"/>
            </w:tcBorders>
            <w:shd w:val="clear" w:color="auto" w:fill="FFFFFF"/>
            <w:vAlign w:val="center"/>
            <w:hideMark/>
          </w:tcPr>
          <w:p w14:paraId="5B6181FB"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197 ± 152</w:t>
            </w:r>
          </w:p>
        </w:tc>
        <w:tc>
          <w:tcPr>
            <w:tcW w:w="1055" w:type="dxa"/>
            <w:tcBorders>
              <w:left w:val="single" w:sz="4" w:space="0" w:color="auto"/>
            </w:tcBorders>
            <w:shd w:val="clear" w:color="auto" w:fill="FFFFFF"/>
            <w:vAlign w:val="center"/>
            <w:hideMark/>
          </w:tcPr>
          <w:p w14:paraId="46C47045"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216 ± 159</w:t>
            </w:r>
          </w:p>
        </w:tc>
      </w:tr>
      <w:tr w:rsidR="003E405E" w:rsidRPr="003E405E" w14:paraId="4E056659" w14:textId="77777777" w:rsidTr="00B164B5">
        <w:trPr>
          <w:trHeight w:val="162"/>
        </w:trPr>
        <w:tc>
          <w:tcPr>
            <w:tcW w:w="3019" w:type="dxa"/>
            <w:tcBorders>
              <w:top w:val="nil"/>
              <w:left w:val="nil"/>
              <w:bottom w:val="nil"/>
              <w:right w:val="single" w:sz="4" w:space="0" w:color="auto"/>
            </w:tcBorders>
            <w:shd w:val="clear" w:color="auto" w:fill="D9D9D9" w:themeFill="background1" w:themeFillShade="D9"/>
            <w:noWrap/>
            <w:tcMar>
              <w:top w:w="60" w:type="dxa"/>
              <w:left w:w="60" w:type="dxa"/>
              <w:bottom w:w="60" w:type="dxa"/>
              <w:right w:w="180" w:type="dxa"/>
            </w:tcMar>
            <w:vAlign w:val="center"/>
            <w:hideMark/>
          </w:tcPr>
          <w:p w14:paraId="0C2EE45E" w14:textId="77777777" w:rsidR="003E405E" w:rsidRPr="00DC08FA" w:rsidRDefault="003E405E" w:rsidP="003E405E">
            <w:pPr>
              <w:widowControl/>
              <w:spacing w:line="180" w:lineRule="exact"/>
              <w:rPr>
                <w:rFonts w:eastAsia="Times New Roman" w:cs="Times New Roman"/>
                <w:b/>
                <w:bCs/>
                <w:color w:val="000000"/>
                <w:kern w:val="0"/>
                <w:sz w:val="20"/>
                <w:szCs w:val="20"/>
              </w:rPr>
            </w:pPr>
            <w:r w:rsidRPr="00DC08FA">
              <w:rPr>
                <w:rFonts w:eastAsia="Times New Roman" w:cs="Times New Roman"/>
                <w:b/>
                <w:bCs/>
                <w:color w:val="000000"/>
                <w:kern w:val="0"/>
                <w:sz w:val="20"/>
                <w:szCs w:val="20"/>
              </w:rPr>
              <w:t>Egg intake (g/d)</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7DFBAC4F"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14.0 ± 17.0</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3B0E3B73"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11.9 ± 17.6</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C0B823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12.2 ± 13.3</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508F773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14.3 ± 17.4</w:t>
            </w:r>
          </w:p>
        </w:tc>
        <w:tc>
          <w:tcPr>
            <w:tcW w:w="1055" w:type="dxa"/>
            <w:tcBorders>
              <w:top w:val="nil"/>
              <w:left w:val="single" w:sz="4" w:space="0" w:color="auto"/>
              <w:bottom w:val="nil"/>
              <w:right w:val="single" w:sz="4" w:space="0" w:color="auto"/>
            </w:tcBorders>
            <w:shd w:val="clear" w:color="auto" w:fill="D9D9D9" w:themeFill="background1" w:themeFillShade="D9"/>
            <w:vAlign w:val="center"/>
            <w:hideMark/>
          </w:tcPr>
          <w:p w14:paraId="2ADD166E"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13.9 ± 15.3</w:t>
            </w:r>
          </w:p>
        </w:tc>
        <w:tc>
          <w:tcPr>
            <w:tcW w:w="1060" w:type="dxa"/>
            <w:tcBorders>
              <w:top w:val="nil"/>
              <w:left w:val="single" w:sz="4" w:space="0" w:color="auto"/>
              <w:bottom w:val="nil"/>
              <w:right w:val="single" w:sz="4" w:space="0" w:color="auto"/>
            </w:tcBorders>
            <w:shd w:val="clear" w:color="auto" w:fill="D9D9D9" w:themeFill="background1" w:themeFillShade="D9"/>
            <w:vAlign w:val="center"/>
            <w:hideMark/>
          </w:tcPr>
          <w:p w14:paraId="7EB23C32"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17.8 ± 20.3</w:t>
            </w:r>
          </w:p>
        </w:tc>
        <w:tc>
          <w:tcPr>
            <w:tcW w:w="1055" w:type="dxa"/>
            <w:tcBorders>
              <w:left w:val="single" w:sz="4" w:space="0" w:color="auto"/>
            </w:tcBorders>
            <w:shd w:val="clear" w:color="auto" w:fill="D9D9D9" w:themeFill="background1" w:themeFillShade="D9"/>
            <w:vAlign w:val="center"/>
            <w:hideMark/>
          </w:tcPr>
          <w:p w14:paraId="16BC39E3"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15.3 ± 17.3</w:t>
            </w:r>
          </w:p>
        </w:tc>
      </w:tr>
      <w:tr w:rsidR="003E405E" w:rsidRPr="003E405E" w14:paraId="2646BE68" w14:textId="77777777" w:rsidTr="00B164B5">
        <w:trPr>
          <w:trHeight w:val="162"/>
        </w:trPr>
        <w:tc>
          <w:tcPr>
            <w:tcW w:w="3019" w:type="dxa"/>
            <w:tcBorders>
              <w:top w:val="nil"/>
              <w:left w:val="nil"/>
              <w:bottom w:val="single" w:sz="8" w:space="0" w:color="auto"/>
              <w:right w:val="single" w:sz="4" w:space="0" w:color="auto"/>
            </w:tcBorders>
            <w:shd w:val="clear" w:color="auto" w:fill="FFFFFF"/>
            <w:noWrap/>
            <w:tcMar>
              <w:top w:w="60" w:type="dxa"/>
              <w:left w:w="60" w:type="dxa"/>
              <w:bottom w:w="60" w:type="dxa"/>
              <w:right w:w="180" w:type="dxa"/>
            </w:tcMar>
            <w:vAlign w:val="center"/>
            <w:hideMark/>
          </w:tcPr>
          <w:p w14:paraId="4034369B" w14:textId="7796D4F1" w:rsidR="003E405E" w:rsidRPr="00DC08FA" w:rsidRDefault="000736D0" w:rsidP="003E405E">
            <w:pPr>
              <w:widowControl/>
              <w:spacing w:line="180" w:lineRule="exact"/>
              <w:rPr>
                <w:rFonts w:eastAsia="Times New Roman" w:cs="Times New Roman"/>
                <w:b/>
                <w:bCs/>
                <w:color w:val="000000"/>
                <w:kern w:val="0"/>
                <w:sz w:val="20"/>
                <w:szCs w:val="20"/>
              </w:rPr>
            </w:pPr>
            <w:r>
              <w:rPr>
                <w:rFonts w:eastAsia="Times New Roman" w:cs="Times New Roman"/>
                <w:b/>
                <w:bCs/>
                <w:color w:val="000000"/>
                <w:kern w:val="0"/>
                <w:sz w:val="20"/>
                <w:szCs w:val="20"/>
              </w:rPr>
              <w:t>Sugar sweetened beverages</w:t>
            </w:r>
            <w:r w:rsidR="003E405E" w:rsidRPr="00DC08FA">
              <w:rPr>
                <w:rFonts w:eastAsia="Times New Roman" w:cs="Times New Roman"/>
                <w:b/>
                <w:bCs/>
                <w:color w:val="000000"/>
                <w:kern w:val="0"/>
                <w:sz w:val="20"/>
                <w:szCs w:val="20"/>
              </w:rPr>
              <w:t xml:space="preserve"> intake (g/d)</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2E1F9CB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30.9 ± 65.7</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0DCC1278"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19.9 ± 51.6</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68ED2DFA"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31.2 ± 62.1</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6E09CC59"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37.9 ± 74.6</w:t>
            </w:r>
          </w:p>
        </w:tc>
        <w:tc>
          <w:tcPr>
            <w:tcW w:w="1055" w:type="dxa"/>
            <w:tcBorders>
              <w:top w:val="nil"/>
              <w:left w:val="single" w:sz="4" w:space="0" w:color="auto"/>
              <w:bottom w:val="single" w:sz="8" w:space="0" w:color="auto"/>
              <w:right w:val="single" w:sz="4" w:space="0" w:color="auto"/>
            </w:tcBorders>
            <w:shd w:val="clear" w:color="auto" w:fill="FFFFFF"/>
            <w:vAlign w:val="center"/>
            <w:hideMark/>
          </w:tcPr>
          <w:p w14:paraId="08F16E31"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29.3 ± 56.1</w:t>
            </w:r>
          </w:p>
        </w:tc>
        <w:tc>
          <w:tcPr>
            <w:tcW w:w="1060" w:type="dxa"/>
            <w:tcBorders>
              <w:top w:val="nil"/>
              <w:left w:val="single" w:sz="4" w:space="0" w:color="auto"/>
              <w:bottom w:val="single" w:sz="8" w:space="0" w:color="auto"/>
              <w:right w:val="single" w:sz="4" w:space="0" w:color="auto"/>
            </w:tcBorders>
            <w:shd w:val="clear" w:color="auto" w:fill="FFFFFF"/>
            <w:vAlign w:val="center"/>
            <w:hideMark/>
          </w:tcPr>
          <w:p w14:paraId="311D0B05" w14:textId="77777777" w:rsidR="003E405E" w:rsidRPr="00DC08FA" w:rsidRDefault="003E405E" w:rsidP="003E405E">
            <w:pPr>
              <w:spacing w:line="180" w:lineRule="exact"/>
              <w:jc w:val="center"/>
              <w:rPr>
                <w:rFonts w:cs="Times New Roman"/>
                <w:color w:val="000000"/>
                <w:sz w:val="20"/>
                <w:szCs w:val="20"/>
              </w:rPr>
            </w:pPr>
            <w:r w:rsidRPr="00DC08FA">
              <w:rPr>
                <w:rFonts w:cs="Times New Roman"/>
                <w:color w:val="000000"/>
                <w:sz w:val="20"/>
                <w:szCs w:val="20"/>
              </w:rPr>
              <w:t>36.4 ± 78.8</w:t>
            </w:r>
          </w:p>
        </w:tc>
        <w:tc>
          <w:tcPr>
            <w:tcW w:w="1055" w:type="dxa"/>
            <w:tcBorders>
              <w:top w:val="nil"/>
              <w:left w:val="single" w:sz="4" w:space="0" w:color="auto"/>
              <w:bottom w:val="single" w:sz="8" w:space="0" w:color="auto"/>
              <w:right w:val="nil"/>
            </w:tcBorders>
            <w:shd w:val="clear" w:color="auto" w:fill="FFFFFF"/>
            <w:vAlign w:val="center"/>
            <w:hideMark/>
          </w:tcPr>
          <w:p w14:paraId="423C81A7" w14:textId="77777777" w:rsidR="003E405E" w:rsidRPr="00DC08FA" w:rsidRDefault="003E405E" w:rsidP="003E405E">
            <w:pPr>
              <w:widowControl/>
              <w:spacing w:line="180" w:lineRule="exact"/>
              <w:jc w:val="center"/>
              <w:rPr>
                <w:rFonts w:eastAsia="Times New Roman" w:cs="Times New Roman"/>
                <w:color w:val="000000"/>
                <w:kern w:val="0"/>
                <w:sz w:val="20"/>
                <w:szCs w:val="20"/>
              </w:rPr>
            </w:pPr>
            <w:r w:rsidRPr="00DC08FA">
              <w:rPr>
                <w:rFonts w:eastAsia="Times New Roman" w:cs="Times New Roman"/>
                <w:color w:val="000000"/>
                <w:kern w:val="0"/>
                <w:sz w:val="20"/>
                <w:szCs w:val="20"/>
              </w:rPr>
              <w:t>45.1 ± 127</w:t>
            </w:r>
          </w:p>
        </w:tc>
      </w:tr>
    </w:tbl>
    <w:p w14:paraId="7C699B5A" w14:textId="77777777" w:rsidR="003E405E" w:rsidRPr="00DC08FA" w:rsidRDefault="003E405E" w:rsidP="00DC08FA">
      <w:pPr>
        <w:pStyle w:val="paragraph"/>
        <w:spacing w:before="0" w:beforeAutospacing="0" w:after="0" w:afterAutospacing="0"/>
        <w:textAlignment w:val="baseline"/>
        <w:rPr>
          <w:sz w:val="22"/>
          <w:szCs w:val="18"/>
        </w:rPr>
      </w:pPr>
      <w:r w:rsidRPr="00DC08FA">
        <w:rPr>
          <w:sz w:val="22"/>
          <w:szCs w:val="18"/>
          <w:vertAlign w:val="superscript"/>
        </w:rPr>
        <w:t>1</w:t>
      </w:r>
      <w:r w:rsidRPr="00DC08FA">
        <w:rPr>
          <w:sz w:val="22"/>
          <w:szCs w:val="18"/>
        </w:rPr>
        <w:t>Values are mean ± SD for continuous variables and n (%) for categorical variables.</w:t>
      </w:r>
    </w:p>
    <w:p w14:paraId="7D3F2F79" w14:textId="1723D353" w:rsidR="00133BC4" w:rsidRPr="00DC08FA" w:rsidRDefault="003E405E" w:rsidP="00DC08FA">
      <w:pPr>
        <w:pStyle w:val="paragraph"/>
        <w:spacing w:before="0" w:beforeAutospacing="0" w:after="0" w:afterAutospacing="0"/>
        <w:textAlignment w:val="baseline"/>
        <w:rPr>
          <w:sz w:val="22"/>
          <w:szCs w:val="18"/>
        </w:rPr>
      </w:pPr>
      <w:r w:rsidRPr="00DC08FA">
        <w:rPr>
          <w:sz w:val="22"/>
          <w:szCs w:val="18"/>
          <w:vertAlign w:val="superscript"/>
        </w:rPr>
        <w:t>2</w:t>
      </w:r>
      <w:r w:rsidR="007E7809" w:rsidRPr="00DC08FA">
        <w:rPr>
          <w:sz w:val="22"/>
          <w:szCs w:val="18"/>
        </w:rPr>
        <w:t>Q: the red meat metabolite score in quintiles</w:t>
      </w:r>
      <w:r w:rsidR="00133BC4">
        <w:rPr>
          <w:sz w:val="22"/>
          <w:szCs w:val="18"/>
        </w:rPr>
        <w:t>.</w:t>
      </w:r>
    </w:p>
    <w:p w14:paraId="1C6ADE72" w14:textId="224A4639" w:rsidR="00133BC4" w:rsidRPr="00DC08FA" w:rsidRDefault="00133BC4" w:rsidP="00DC08FA">
      <w:pPr>
        <w:pStyle w:val="paragraph"/>
        <w:spacing w:before="0" w:beforeAutospacing="0" w:after="0" w:afterAutospacing="0"/>
        <w:textAlignment w:val="baseline"/>
        <w:rPr>
          <w:sz w:val="22"/>
          <w:szCs w:val="18"/>
        </w:rPr>
      </w:pPr>
      <w:proofErr w:type="gramStart"/>
      <w:r w:rsidRPr="004E3041">
        <w:rPr>
          <w:sz w:val="22"/>
          <w:szCs w:val="18"/>
        </w:rPr>
        <w:t>g/d</w:t>
      </w:r>
      <w:proofErr w:type="gramEnd"/>
      <w:r w:rsidRPr="004E3041">
        <w:rPr>
          <w:sz w:val="22"/>
          <w:szCs w:val="18"/>
        </w:rPr>
        <w:t xml:space="preserve">, grams per </w:t>
      </w:r>
      <w:r w:rsidRPr="000035DE">
        <w:rPr>
          <w:sz w:val="22"/>
          <w:szCs w:val="18"/>
        </w:rPr>
        <w:t>day.</w:t>
      </w:r>
    </w:p>
    <w:p w14:paraId="4FC999BE" w14:textId="77777777" w:rsidR="003367AA" w:rsidRPr="00DC08FA" w:rsidRDefault="003367AA" w:rsidP="00DC08FA">
      <w:pPr>
        <w:sectPr w:rsidR="003367AA" w:rsidRPr="00DC08FA" w:rsidSect="00DC08FA">
          <w:pgSz w:w="11906" w:h="16838"/>
          <w:pgMar w:top="1440" w:right="1440" w:bottom="1440" w:left="1440" w:header="708" w:footer="708" w:gutter="0"/>
          <w:cols w:space="708"/>
          <w:docGrid w:linePitch="360"/>
        </w:sectPr>
      </w:pPr>
    </w:p>
    <w:p w14:paraId="054C004A" w14:textId="6273EE28" w:rsidR="007E7809" w:rsidRDefault="007E7809">
      <w:pPr>
        <w:widowControl/>
        <w:spacing w:after="160" w:line="259" w:lineRule="auto"/>
        <w:rPr>
          <w:rStyle w:val="IntenseEmphasis"/>
          <w:rFonts w:eastAsiaTheme="majorEastAsia" w:cstheme="majorBidi"/>
          <w:b/>
          <w:i w:val="0"/>
          <w:iCs w:val="0"/>
          <w:color w:val="auto"/>
          <w:kern w:val="0"/>
          <w:szCs w:val="32"/>
        </w:rPr>
      </w:pPr>
      <w:r>
        <w:rPr>
          <w:rStyle w:val="IntenseEmphasis"/>
          <w:i w:val="0"/>
          <w:iCs w:val="0"/>
          <w:color w:val="auto"/>
        </w:rPr>
        <w:br w:type="page"/>
      </w:r>
    </w:p>
    <w:p w14:paraId="3FF3B525" w14:textId="298242DE" w:rsidR="006B6321" w:rsidRDefault="006B6321" w:rsidP="00DC08FA">
      <w:pPr>
        <w:pStyle w:val="Heading1"/>
        <w:rPr>
          <w:rStyle w:val="IntenseEmphasis"/>
          <w:i w:val="0"/>
          <w:iCs w:val="0"/>
          <w:color w:val="auto"/>
        </w:rPr>
      </w:pPr>
      <w:r>
        <w:rPr>
          <w:rStyle w:val="IntenseEmphasis"/>
          <w:i w:val="0"/>
          <w:iCs w:val="0"/>
          <w:color w:val="auto"/>
        </w:rPr>
        <w:lastRenderedPageBreak/>
        <w:t>Figure Legend</w:t>
      </w:r>
      <w:r w:rsidR="00E10102">
        <w:rPr>
          <w:rStyle w:val="IntenseEmphasis"/>
          <w:i w:val="0"/>
          <w:iCs w:val="0"/>
          <w:color w:val="auto"/>
        </w:rPr>
        <w:t>s</w:t>
      </w:r>
    </w:p>
    <w:p w14:paraId="77918E0D" w14:textId="77777777" w:rsidR="006B6321" w:rsidRDefault="006B6321" w:rsidP="00DC08FA">
      <w:pPr>
        <w:rPr>
          <w:rStyle w:val="IntenseEmphasis"/>
          <w:i w:val="0"/>
          <w:iCs w:val="0"/>
          <w:color w:val="auto"/>
        </w:rPr>
      </w:pPr>
      <w:r w:rsidRPr="00DC08FA">
        <w:rPr>
          <w:rStyle w:val="IntenseEmphasis"/>
          <w:b/>
          <w:i w:val="0"/>
          <w:iCs w:val="0"/>
          <w:color w:val="auto"/>
        </w:rPr>
        <w:t>Figure 1. Flow chart for the overall analytic approach for development and validation of the meat metabolomics score.</w:t>
      </w:r>
      <w:r>
        <w:rPr>
          <w:rStyle w:val="IntenseEmphasis"/>
          <w:i w:val="0"/>
          <w:iCs w:val="0"/>
          <w:color w:val="auto"/>
        </w:rPr>
        <w:t xml:space="preserve"> </w:t>
      </w:r>
    </w:p>
    <w:p w14:paraId="3893AFBA" w14:textId="3C6E30FC" w:rsidR="006B6321" w:rsidRDefault="006B6321" w:rsidP="00DC08FA">
      <w:r>
        <w:t>*the visualization simplifies the design of RCT</w:t>
      </w:r>
      <w:r w:rsidR="00453717">
        <w:t xml:space="preserve"> as</w:t>
      </w:r>
      <w:r>
        <w:t xml:space="preserve"> only two out of five arms are shown.</w:t>
      </w:r>
    </w:p>
    <w:p w14:paraId="1E58EE91" w14:textId="1A6D2FE6" w:rsidR="006B6321" w:rsidRPr="00DC08FA" w:rsidRDefault="006B6321" w:rsidP="00DC08FA">
      <w:pPr>
        <w:rPr>
          <w:rStyle w:val="IntenseEmphasis"/>
          <w:b/>
          <w:i w:val="0"/>
          <w:iCs w:val="0"/>
          <w:color w:val="auto"/>
        </w:rPr>
      </w:pPr>
      <w:r w:rsidRPr="00DC08FA">
        <w:rPr>
          <w:rStyle w:val="IntenseEmphasis"/>
          <w:b/>
          <w:i w:val="0"/>
          <w:iCs w:val="0"/>
          <w:color w:val="auto"/>
        </w:rPr>
        <w:t>Figure 2. Coefficients of metabolites with self-reported red and processed meat and poultry intake: the EPIC-Norfolk study (n=11,432)</w:t>
      </w:r>
    </w:p>
    <w:p w14:paraId="4AE4B010" w14:textId="38DE1BBF" w:rsidR="006B6321" w:rsidRDefault="006B6321" w:rsidP="00DC08FA">
      <w:r w:rsidRPr="00B0348B">
        <w:t xml:space="preserve">The colors represent the coefficients (weights) of each metabolite in each </w:t>
      </w:r>
      <w:r>
        <w:t xml:space="preserve">metabolite </w:t>
      </w:r>
      <w:r w:rsidRPr="00B0348B">
        <w:t>score; red means positive association and blue means negative association</w:t>
      </w:r>
      <w:r>
        <w:t>.</w:t>
      </w:r>
      <w:r w:rsidR="00EB2385">
        <w:t xml:space="preserve"> </w:t>
      </w:r>
      <w:r w:rsidR="00453717">
        <w:t>A</w:t>
      </w:r>
      <w:r w:rsidR="003D7E21" w:rsidRPr="003D7E21">
        <w:t xml:space="preserve"> single asterisk </w:t>
      </w:r>
      <w:r w:rsidR="00453717">
        <w:t>next to the</w:t>
      </w:r>
      <w:r w:rsidR="00EB2385" w:rsidRPr="00EB2385">
        <w:t xml:space="preserve"> metabolite </w:t>
      </w:r>
      <w:r w:rsidR="003D7E21">
        <w:t xml:space="preserve">name </w:t>
      </w:r>
      <w:r w:rsidR="00453717">
        <w:t>indicates that</w:t>
      </w:r>
      <w:r w:rsidR="003D7E21">
        <w:t xml:space="preserve"> the metabolite was annotated</w:t>
      </w:r>
      <w:r w:rsidR="00EB2385" w:rsidRPr="00EB2385">
        <w:t xml:space="preserve"> based on in-</w:t>
      </w:r>
      <w:proofErr w:type="spellStart"/>
      <w:r w:rsidR="00EB2385" w:rsidRPr="00EB2385">
        <w:t>silico</w:t>
      </w:r>
      <w:proofErr w:type="spellEnd"/>
      <w:r w:rsidR="00EB2385" w:rsidRPr="00EB2385">
        <w:t xml:space="preserve"> predictions</w:t>
      </w:r>
      <w:r w:rsidR="00EB2385">
        <w:t xml:space="preserve"> which</w:t>
      </w:r>
      <w:r w:rsidR="00EB2385" w:rsidRPr="00EB2385">
        <w:t xml:space="preserve"> indicates the compound has not been confirmed based on a standard but its identity</w:t>
      </w:r>
      <w:r w:rsidR="00EB2385">
        <w:t xml:space="preserve"> is confident</w:t>
      </w:r>
      <w:r w:rsidR="00EB2385" w:rsidRPr="00EB2385">
        <w:t>.</w:t>
      </w:r>
    </w:p>
    <w:p w14:paraId="59B19AC9" w14:textId="3BDB3D49" w:rsidR="006B6321" w:rsidRPr="00DC08FA" w:rsidRDefault="006B6321" w:rsidP="00DC08FA">
      <w:pPr>
        <w:rPr>
          <w:b/>
        </w:rPr>
      </w:pPr>
      <w:r w:rsidRPr="00DC08FA">
        <w:rPr>
          <w:b/>
        </w:rPr>
        <w:t>Figure 3. Volcano plot of candidate metabolites for red meat intake (n=139) with self-reported red meat intake and comparison of the red meat metabolite score across different categories of meat consumer groups: the EPIC Norfolk study (n=11,432)</w:t>
      </w:r>
    </w:p>
    <w:p w14:paraId="7F99844B" w14:textId="75FA98C8" w:rsidR="006B6321" w:rsidRPr="006B6321" w:rsidRDefault="00C77E3C" w:rsidP="00F24E2C">
      <w:r>
        <w:t xml:space="preserve">3A. </w:t>
      </w:r>
      <w:proofErr w:type="gramStart"/>
      <w:r w:rsidR="00861923">
        <w:t>The</w:t>
      </w:r>
      <w:proofErr w:type="gramEnd"/>
      <w:r w:rsidR="00861923">
        <w:t xml:space="preserve"> top 5 m</w:t>
      </w:r>
      <w:r w:rsidR="006B6321">
        <w:t xml:space="preserve">etabolites </w:t>
      </w:r>
      <w:r w:rsidR="00861923">
        <w:t xml:space="preserve">with the </w:t>
      </w:r>
      <w:r w:rsidR="006B6321">
        <w:t>strongest association with self-reported red meat intake after adjust</w:t>
      </w:r>
      <w:r w:rsidR="00861923">
        <w:t>ment</w:t>
      </w:r>
      <w:r w:rsidR="006B6321">
        <w:t xml:space="preserve"> for age and sex </w:t>
      </w:r>
      <w:r w:rsidR="00861923">
        <w:t>a</w:t>
      </w:r>
      <w:r w:rsidR="006B6321">
        <w:t>re annotated in the volcano plot</w:t>
      </w:r>
      <w:r w:rsidR="00A60ECF">
        <w:t xml:space="preserve">. </w:t>
      </w:r>
      <w:r w:rsidR="00861923">
        <w:t>A</w:t>
      </w:r>
      <w:r w:rsidR="00A60ECF" w:rsidRPr="003D7E21">
        <w:t xml:space="preserve"> single asterisk </w:t>
      </w:r>
      <w:r w:rsidR="00A60ECF" w:rsidRPr="00EB2385">
        <w:t>n</w:t>
      </w:r>
      <w:r w:rsidR="00861923">
        <w:t>ext to the</w:t>
      </w:r>
      <w:r w:rsidR="00A60ECF" w:rsidRPr="00EB2385">
        <w:t xml:space="preserve"> metabolite </w:t>
      </w:r>
      <w:r w:rsidR="00A60ECF">
        <w:t xml:space="preserve">name </w:t>
      </w:r>
      <w:r w:rsidR="00861923">
        <w:t>indicates that</w:t>
      </w:r>
      <w:r w:rsidR="00A60ECF">
        <w:t xml:space="preserve"> the metabolite was annotated</w:t>
      </w:r>
      <w:r w:rsidR="00A60ECF" w:rsidRPr="00EB2385">
        <w:t xml:space="preserve"> based on in-</w:t>
      </w:r>
      <w:proofErr w:type="spellStart"/>
      <w:r w:rsidR="00A60ECF" w:rsidRPr="00EB2385">
        <w:t>silico</w:t>
      </w:r>
      <w:proofErr w:type="spellEnd"/>
      <w:r w:rsidR="00A60ECF" w:rsidRPr="00EB2385">
        <w:t xml:space="preserve"> predictions</w:t>
      </w:r>
      <w:r w:rsidR="00A60ECF">
        <w:t xml:space="preserve"> which</w:t>
      </w:r>
      <w:r w:rsidR="00A60ECF" w:rsidRPr="00EB2385">
        <w:t xml:space="preserve"> indicates the compound has not been confirmed based on a standard but its identity</w:t>
      </w:r>
      <w:r w:rsidR="00A60ECF">
        <w:t xml:space="preserve"> is confident</w:t>
      </w:r>
      <w:r w:rsidR="00A60ECF" w:rsidRPr="00EB2385">
        <w:t>.</w:t>
      </w:r>
      <w:r>
        <w:t xml:space="preserve"> </w:t>
      </w:r>
      <w:r w:rsidR="00230841">
        <w:t xml:space="preserve">3B. </w:t>
      </w:r>
      <w:r w:rsidR="000A2D63">
        <w:t>A</w:t>
      </w:r>
      <w:r w:rsidR="00230841">
        <w:t xml:space="preserve"> </w:t>
      </w:r>
      <w:r w:rsidR="000A2D63">
        <w:t>red meat non-consumer</w:t>
      </w:r>
      <w:r w:rsidR="00230841">
        <w:t xml:space="preserve"> </w:t>
      </w:r>
      <w:r w:rsidR="000A2D63">
        <w:t>was</w:t>
      </w:r>
      <w:r w:rsidR="00230841">
        <w:t xml:space="preserve"> </w:t>
      </w:r>
      <w:r w:rsidR="000A2D63">
        <w:t>defined as a participant with</w:t>
      </w:r>
      <w:r w:rsidR="00AD5173">
        <w:t xml:space="preserve"> red</w:t>
      </w:r>
      <w:r w:rsidR="000A2D63">
        <w:t xml:space="preserve"> meat consumption equal to zero (n=1,569) and a red meat consumer was a participant with</w:t>
      </w:r>
      <w:r w:rsidR="00AD5173">
        <w:t xml:space="preserve"> red</w:t>
      </w:r>
      <w:r w:rsidR="000A2D63">
        <w:t xml:space="preserve"> meat consumption over zero (n=9,863). Participants </w:t>
      </w:r>
      <w:r w:rsidR="00CC3918">
        <w:t>who reported consuming a</w:t>
      </w:r>
      <w:r w:rsidR="000A2D63">
        <w:t xml:space="preserve"> vegetarian diet, other diet or no special diet were identified </w:t>
      </w:r>
      <w:r w:rsidR="00CC3918">
        <w:t xml:space="preserve">from </w:t>
      </w:r>
      <w:r w:rsidR="000A2D63">
        <w:t>self-report</w:t>
      </w:r>
      <w:r w:rsidR="00721D34">
        <w:t>ed</w:t>
      </w:r>
      <w:r w:rsidR="000A2D63">
        <w:t xml:space="preserve"> </w:t>
      </w:r>
      <w:r w:rsidR="00721D34">
        <w:t>questionnaires</w:t>
      </w:r>
    </w:p>
    <w:p w14:paraId="3805AB30" w14:textId="29C4385A" w:rsidR="006B6321" w:rsidRPr="004E3041" w:rsidRDefault="006B6321" w:rsidP="00F24E2C">
      <w:pPr>
        <w:rPr>
          <w:b/>
        </w:rPr>
      </w:pPr>
      <w:r w:rsidRPr="00F24E2C">
        <w:rPr>
          <w:b/>
        </w:rPr>
        <w:t>Figu</w:t>
      </w:r>
      <w:r w:rsidRPr="00D4194C">
        <w:rPr>
          <w:b/>
        </w:rPr>
        <w:t>re 4</w:t>
      </w:r>
      <w:r w:rsidR="00D92ED4">
        <w:rPr>
          <w:b/>
        </w:rPr>
        <w:t>.</w:t>
      </w:r>
      <w:r w:rsidRPr="00D4194C">
        <w:rPr>
          <w:b/>
        </w:rPr>
        <w:t xml:space="preserve"> The associations of the red </w:t>
      </w:r>
      <w:r w:rsidRPr="004E3041">
        <w:rPr>
          <w:b/>
        </w:rPr>
        <w:t xml:space="preserve">meat metabolite score and self-reported red meat intake with incident type 2 diabetes in a nested case-cohort study and exploratory </w:t>
      </w:r>
      <w:r w:rsidRPr="004E3041">
        <w:rPr>
          <w:b/>
        </w:rPr>
        <w:lastRenderedPageBreak/>
        <w:t xml:space="preserve">analyses of multiple other health outcomes in the EPIC-Norfolk study </w:t>
      </w:r>
    </w:p>
    <w:p w14:paraId="7BC66B63" w14:textId="70741217" w:rsidR="006B6321" w:rsidRPr="00DC08FA" w:rsidRDefault="006B6321" w:rsidP="006A51C9">
      <w:r>
        <w:t>The regression model 1 adjusted for age and sex; the regression model 2 adjusted for the following potential confounders: age, sex, education, smoking status, alcohol drinking, alcohol drinking squared, body-mass index, body-mass index squared, and dietary factors (consumption of fruits, vegetables, fatty fish and white fish, sugar</w:t>
      </w:r>
      <w:r w:rsidR="000736D0">
        <w:t xml:space="preserve"> sweetened</w:t>
      </w:r>
      <w:r>
        <w:t xml:space="preserve"> beverages, dairy, legumes, nuts, eggs and total energy intake). The definition</w:t>
      </w:r>
      <w:r w:rsidR="00861923">
        <w:t xml:space="preserve"> of</w:t>
      </w:r>
      <w:r>
        <w:t xml:space="preserve"> incident cases and exclusion of prevalent cases are reported in </w:t>
      </w:r>
      <w:r w:rsidR="00AD5173">
        <w:rPr>
          <w:i/>
        </w:rPr>
        <w:t>Supplementary Table 1</w:t>
      </w:r>
      <w:r>
        <w:t>. Abbreviations: 7dDD, 7-day diet diary; CI, confidence interval</w:t>
      </w:r>
      <w:r w:rsidR="00AD5173">
        <w:t xml:space="preserve">; </w:t>
      </w:r>
      <w:proofErr w:type="spellStart"/>
      <w:r w:rsidR="00AD5173">
        <w:t>Mscore</w:t>
      </w:r>
      <w:proofErr w:type="spellEnd"/>
      <w:r w:rsidR="00AD5173">
        <w:t>, red meat metabolite score</w:t>
      </w:r>
      <w:r>
        <w:t>; SD, standard deviation. *, the association with incident type 2 diabetes was conducted in a nested case-cohort study</w:t>
      </w:r>
      <w:r w:rsidRPr="00780FCC">
        <w:t xml:space="preserve"> in the EPIC-Norfolk study</w:t>
      </w:r>
      <w:r w:rsidR="002C0C4A">
        <w:t>;</w:t>
      </w:r>
      <w:r>
        <w:t xml:space="preserve"> associations with other exploratory health outcomes were conducted in the EPIC-Norfolk study after exclusion of participants involved in the case-cohort.</w:t>
      </w:r>
    </w:p>
    <w:p w14:paraId="1518405E" w14:textId="3A97CE11" w:rsidR="006B6321" w:rsidRDefault="006B6321" w:rsidP="00DC08FA">
      <w:pPr>
        <w:pStyle w:val="Heading1"/>
        <w:rPr>
          <w:rStyle w:val="IntenseEmphasis"/>
          <w:bCs/>
          <w:iCs w:val="0"/>
          <w:color w:val="auto"/>
          <w:szCs w:val="26"/>
        </w:rPr>
      </w:pPr>
    </w:p>
    <w:p w14:paraId="3FCAF27D" w14:textId="30F11965" w:rsidR="00D12C3B" w:rsidRDefault="00D12C3B" w:rsidP="00DC08FA">
      <w:pPr>
        <w:pStyle w:val="Heading2"/>
      </w:pPr>
    </w:p>
    <w:sectPr w:rsidR="00D12C3B" w:rsidSect="00DC08FA">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1C4E" w16cex:dateUtc="2021-11-03T13:33:00Z"/>
  <w16cex:commentExtensible w16cex:durableId="252D1EFA" w16cex:dateUtc="2021-11-03T13:45:00Z"/>
  <w16cex:commentExtensible w16cex:durableId="252D21A2" w16cex:dateUtc="2021-11-03T13:56:00Z"/>
  <w16cex:commentExtensible w16cex:durableId="252D4C14" w16cex:dateUtc="2021-11-03T16:57:00Z"/>
  <w16cex:commentExtensible w16cex:durableId="252D3C7E" w16cex:dateUtc="2021-11-03T15:51:00Z"/>
  <w16cex:commentExtensible w16cex:durableId="252D3EC6" w16cex:dateUtc="2021-11-03T16:00:00Z"/>
  <w16cex:commentExtensible w16cex:durableId="252D3E38" w16cex:dateUtc="2021-11-03T15:58:00Z"/>
  <w16cex:commentExtensible w16cex:durableId="252D4281" w16cex:dateUtc="2021-11-03T16:16:00Z"/>
  <w16cex:commentExtensible w16cex:durableId="252D434A" w16cex:dateUtc="2021-11-03T16:20:00Z"/>
  <w16cex:commentExtensible w16cex:durableId="252D4DE8" w16cex:dateUtc="2021-11-03T17:05:00Z"/>
  <w16cex:commentExtensible w16cex:durableId="252D49AE" w16cex:dateUtc="2021-11-03T16:47:00Z"/>
  <w16cex:commentExtensible w16cex:durableId="252D445A" w16cex:dateUtc="2021-11-03T16:24:00Z"/>
  <w16cex:commentExtensible w16cex:durableId="252D4448" w16cex:dateUtc="2021-11-03T16:24:00Z"/>
  <w16cex:commentExtensible w16cex:durableId="252D4568" w16cex:dateUtc="2021-11-03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E90DA" w16cid:durableId="252D1C4E"/>
  <w16cid:commentId w16cid:paraId="4D249C47" w16cid:durableId="252D1EFA"/>
  <w16cid:commentId w16cid:paraId="636322AC" w16cid:durableId="250DF62C"/>
  <w16cid:commentId w16cid:paraId="78D5FC24" w16cid:durableId="250DF62D"/>
  <w16cid:commentId w16cid:paraId="48C0F9FF" w16cid:durableId="250DF62E"/>
  <w16cid:commentId w16cid:paraId="6648E121" w16cid:durableId="250DF631"/>
  <w16cid:commentId w16cid:paraId="673A35FE" w16cid:durableId="250DF632"/>
  <w16cid:commentId w16cid:paraId="3D348BCE" w16cid:durableId="252CDE59"/>
  <w16cid:commentId w16cid:paraId="1A460611" w16cid:durableId="252CDE5A"/>
  <w16cid:commentId w16cid:paraId="6E86BE43" w16cid:durableId="250DF637"/>
  <w16cid:commentId w16cid:paraId="0F8CED6B" w16cid:durableId="250DF638"/>
  <w16cid:commentId w16cid:paraId="3AA971A9" w16cid:durableId="252D21A2"/>
  <w16cid:commentId w16cid:paraId="16466144" w16cid:durableId="252D4C14"/>
  <w16cid:commentId w16cid:paraId="2CB467AB" w16cid:durableId="250DF63A"/>
  <w16cid:commentId w16cid:paraId="750CC8E1" w16cid:durableId="252D3C7E"/>
  <w16cid:commentId w16cid:paraId="0BF2C9E9" w16cid:durableId="252CDE5E"/>
  <w16cid:commentId w16cid:paraId="0855A489" w16cid:durableId="252D3EC6"/>
  <w16cid:commentId w16cid:paraId="226309DB" w16cid:durableId="252D3E38"/>
  <w16cid:commentId w16cid:paraId="497E573A" w16cid:durableId="252D4281"/>
  <w16cid:commentId w16cid:paraId="799CD448" w16cid:durableId="252D434A"/>
  <w16cid:commentId w16cid:paraId="50F8FD10" w16cid:durableId="252D4DE8"/>
  <w16cid:commentId w16cid:paraId="7ABCA7C1" w16cid:durableId="252D49AE"/>
  <w16cid:commentId w16cid:paraId="1ACB01DC" w16cid:durableId="252D445A"/>
  <w16cid:commentId w16cid:paraId="22C1BD51" w16cid:durableId="252D4448"/>
  <w16cid:commentId w16cid:paraId="380DFF04" w16cid:durableId="252D4568"/>
  <w16cid:commentId w16cid:paraId="53A19D85" w16cid:durableId="250DF652"/>
  <w16cid:commentId w16cid:paraId="328064FD" w16cid:durableId="250DF653"/>
  <w16cid:commentId w16cid:paraId="34E4A9F3" w16cid:durableId="250DF654"/>
  <w16cid:commentId w16cid:paraId="2C2A8F6B" w16cid:durableId="252CD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3651" w14:textId="77777777" w:rsidR="005015B4" w:rsidRDefault="005015B4" w:rsidP="00614047">
      <w:r>
        <w:separator/>
      </w:r>
    </w:p>
  </w:endnote>
  <w:endnote w:type="continuationSeparator" w:id="0">
    <w:p w14:paraId="572177D8" w14:textId="77777777" w:rsidR="005015B4" w:rsidRDefault="005015B4" w:rsidP="00614047">
      <w:r>
        <w:continuationSeparator/>
      </w:r>
    </w:p>
  </w:endnote>
  <w:endnote w:type="continuationNotice" w:id="1">
    <w:p w14:paraId="1767B5D7" w14:textId="77777777" w:rsidR="005015B4" w:rsidRDefault="00501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B7B5" w14:textId="77777777" w:rsidR="005015B4" w:rsidRDefault="005015B4" w:rsidP="00614047">
      <w:r>
        <w:separator/>
      </w:r>
    </w:p>
  </w:footnote>
  <w:footnote w:type="continuationSeparator" w:id="0">
    <w:p w14:paraId="128B3C6F" w14:textId="77777777" w:rsidR="005015B4" w:rsidRDefault="005015B4" w:rsidP="00614047">
      <w:r>
        <w:continuationSeparator/>
      </w:r>
    </w:p>
  </w:footnote>
  <w:footnote w:type="continuationNotice" w:id="1">
    <w:p w14:paraId="6E34E576" w14:textId="77777777" w:rsidR="005015B4" w:rsidRDefault="005015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71370"/>
      <w:docPartObj>
        <w:docPartGallery w:val="Page Numbers (Top of Page)"/>
        <w:docPartUnique/>
      </w:docPartObj>
    </w:sdtPr>
    <w:sdtEndPr>
      <w:rPr>
        <w:noProof/>
      </w:rPr>
    </w:sdtEndPr>
    <w:sdtContent>
      <w:p w14:paraId="67DD66AB" w14:textId="0D80410A" w:rsidR="00AD4298" w:rsidRDefault="00AD4298">
        <w:pPr>
          <w:pStyle w:val="Header"/>
          <w:jc w:val="right"/>
        </w:pPr>
        <w:r>
          <w:fldChar w:fldCharType="begin"/>
        </w:r>
        <w:r>
          <w:instrText xml:space="preserve"> PAGE   \* MERGEFORMAT </w:instrText>
        </w:r>
        <w:r>
          <w:fldChar w:fldCharType="separate"/>
        </w:r>
        <w:r w:rsidR="00F162FB">
          <w:rPr>
            <w:noProof/>
          </w:rPr>
          <w:t>28</w:t>
        </w:r>
        <w:r>
          <w:rPr>
            <w:noProof/>
          </w:rPr>
          <w:fldChar w:fldCharType="end"/>
        </w:r>
      </w:p>
    </w:sdtContent>
  </w:sdt>
  <w:p w14:paraId="4B834EA6" w14:textId="77777777" w:rsidR="00AD4298" w:rsidRDefault="00AD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29A"/>
    <w:multiLevelType w:val="hybridMultilevel"/>
    <w:tmpl w:val="22765EC2"/>
    <w:lvl w:ilvl="0" w:tplc="1EBA3E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725CA"/>
    <w:multiLevelType w:val="hybridMultilevel"/>
    <w:tmpl w:val="E8BAE22A"/>
    <w:lvl w:ilvl="0" w:tplc="10E8D8E0">
      <w:start w:val="1"/>
      <w:numFmt w:val="bullet"/>
      <w:lvlText w:val=""/>
      <w:lvlJc w:val="left"/>
      <w:pPr>
        <w:tabs>
          <w:tab w:val="num" w:pos="720"/>
        </w:tabs>
        <w:ind w:left="720" w:hanging="360"/>
      </w:pPr>
      <w:rPr>
        <w:rFonts w:ascii="Symbol" w:hAnsi="Symbol" w:hint="default"/>
      </w:rPr>
    </w:lvl>
    <w:lvl w:ilvl="1" w:tplc="AF98F95E" w:tentative="1">
      <w:start w:val="1"/>
      <w:numFmt w:val="bullet"/>
      <w:lvlText w:val=""/>
      <w:lvlJc w:val="left"/>
      <w:pPr>
        <w:tabs>
          <w:tab w:val="num" w:pos="1440"/>
        </w:tabs>
        <w:ind w:left="1440" w:hanging="360"/>
      </w:pPr>
      <w:rPr>
        <w:rFonts w:ascii="Symbol" w:hAnsi="Symbol" w:hint="default"/>
      </w:rPr>
    </w:lvl>
    <w:lvl w:ilvl="2" w:tplc="16E81B22" w:tentative="1">
      <w:start w:val="1"/>
      <w:numFmt w:val="bullet"/>
      <w:lvlText w:val=""/>
      <w:lvlJc w:val="left"/>
      <w:pPr>
        <w:tabs>
          <w:tab w:val="num" w:pos="2160"/>
        </w:tabs>
        <w:ind w:left="2160" w:hanging="360"/>
      </w:pPr>
      <w:rPr>
        <w:rFonts w:ascii="Symbol" w:hAnsi="Symbol" w:hint="default"/>
      </w:rPr>
    </w:lvl>
    <w:lvl w:ilvl="3" w:tplc="288043D6" w:tentative="1">
      <w:start w:val="1"/>
      <w:numFmt w:val="bullet"/>
      <w:lvlText w:val=""/>
      <w:lvlJc w:val="left"/>
      <w:pPr>
        <w:tabs>
          <w:tab w:val="num" w:pos="2880"/>
        </w:tabs>
        <w:ind w:left="2880" w:hanging="360"/>
      </w:pPr>
      <w:rPr>
        <w:rFonts w:ascii="Symbol" w:hAnsi="Symbol" w:hint="default"/>
      </w:rPr>
    </w:lvl>
    <w:lvl w:ilvl="4" w:tplc="D5EC7430" w:tentative="1">
      <w:start w:val="1"/>
      <w:numFmt w:val="bullet"/>
      <w:lvlText w:val=""/>
      <w:lvlJc w:val="left"/>
      <w:pPr>
        <w:tabs>
          <w:tab w:val="num" w:pos="3600"/>
        </w:tabs>
        <w:ind w:left="3600" w:hanging="360"/>
      </w:pPr>
      <w:rPr>
        <w:rFonts w:ascii="Symbol" w:hAnsi="Symbol" w:hint="default"/>
      </w:rPr>
    </w:lvl>
    <w:lvl w:ilvl="5" w:tplc="CD34D4FE" w:tentative="1">
      <w:start w:val="1"/>
      <w:numFmt w:val="bullet"/>
      <w:lvlText w:val=""/>
      <w:lvlJc w:val="left"/>
      <w:pPr>
        <w:tabs>
          <w:tab w:val="num" w:pos="4320"/>
        </w:tabs>
        <w:ind w:left="4320" w:hanging="360"/>
      </w:pPr>
      <w:rPr>
        <w:rFonts w:ascii="Symbol" w:hAnsi="Symbol" w:hint="default"/>
      </w:rPr>
    </w:lvl>
    <w:lvl w:ilvl="6" w:tplc="C3342E64" w:tentative="1">
      <w:start w:val="1"/>
      <w:numFmt w:val="bullet"/>
      <w:lvlText w:val=""/>
      <w:lvlJc w:val="left"/>
      <w:pPr>
        <w:tabs>
          <w:tab w:val="num" w:pos="5040"/>
        </w:tabs>
        <w:ind w:left="5040" w:hanging="360"/>
      </w:pPr>
      <w:rPr>
        <w:rFonts w:ascii="Symbol" w:hAnsi="Symbol" w:hint="default"/>
      </w:rPr>
    </w:lvl>
    <w:lvl w:ilvl="7" w:tplc="429E37C6" w:tentative="1">
      <w:start w:val="1"/>
      <w:numFmt w:val="bullet"/>
      <w:lvlText w:val=""/>
      <w:lvlJc w:val="left"/>
      <w:pPr>
        <w:tabs>
          <w:tab w:val="num" w:pos="5760"/>
        </w:tabs>
        <w:ind w:left="5760" w:hanging="360"/>
      </w:pPr>
      <w:rPr>
        <w:rFonts w:ascii="Symbol" w:hAnsi="Symbol" w:hint="default"/>
      </w:rPr>
    </w:lvl>
    <w:lvl w:ilvl="8" w:tplc="387C60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040BC2"/>
    <w:multiLevelType w:val="hybridMultilevel"/>
    <w:tmpl w:val="0020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00E49"/>
    <w:multiLevelType w:val="hybridMultilevel"/>
    <w:tmpl w:val="747E7F0A"/>
    <w:lvl w:ilvl="0" w:tplc="1F22A8DC">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F6C59"/>
    <w:multiLevelType w:val="hybridMultilevel"/>
    <w:tmpl w:val="C5E2FA38"/>
    <w:lvl w:ilvl="0" w:tplc="EF2C0BCC">
      <w:start w:val="1"/>
      <w:numFmt w:val="bullet"/>
      <w:lvlText w:val=""/>
      <w:lvlJc w:val="left"/>
      <w:pPr>
        <w:tabs>
          <w:tab w:val="num" w:pos="720"/>
        </w:tabs>
        <w:ind w:left="720" w:hanging="360"/>
      </w:pPr>
      <w:rPr>
        <w:rFonts w:ascii="Symbol" w:hAnsi="Symbol" w:hint="default"/>
      </w:rPr>
    </w:lvl>
    <w:lvl w:ilvl="1" w:tplc="01626408" w:tentative="1">
      <w:start w:val="1"/>
      <w:numFmt w:val="bullet"/>
      <w:lvlText w:val=""/>
      <w:lvlJc w:val="left"/>
      <w:pPr>
        <w:tabs>
          <w:tab w:val="num" w:pos="1440"/>
        </w:tabs>
        <w:ind w:left="1440" w:hanging="360"/>
      </w:pPr>
      <w:rPr>
        <w:rFonts w:ascii="Symbol" w:hAnsi="Symbol" w:hint="default"/>
      </w:rPr>
    </w:lvl>
    <w:lvl w:ilvl="2" w:tplc="118C7060" w:tentative="1">
      <w:start w:val="1"/>
      <w:numFmt w:val="bullet"/>
      <w:lvlText w:val=""/>
      <w:lvlJc w:val="left"/>
      <w:pPr>
        <w:tabs>
          <w:tab w:val="num" w:pos="2160"/>
        </w:tabs>
        <w:ind w:left="2160" w:hanging="360"/>
      </w:pPr>
      <w:rPr>
        <w:rFonts w:ascii="Symbol" w:hAnsi="Symbol" w:hint="default"/>
      </w:rPr>
    </w:lvl>
    <w:lvl w:ilvl="3" w:tplc="958CBDE2" w:tentative="1">
      <w:start w:val="1"/>
      <w:numFmt w:val="bullet"/>
      <w:lvlText w:val=""/>
      <w:lvlJc w:val="left"/>
      <w:pPr>
        <w:tabs>
          <w:tab w:val="num" w:pos="2880"/>
        </w:tabs>
        <w:ind w:left="2880" w:hanging="360"/>
      </w:pPr>
      <w:rPr>
        <w:rFonts w:ascii="Symbol" w:hAnsi="Symbol" w:hint="default"/>
      </w:rPr>
    </w:lvl>
    <w:lvl w:ilvl="4" w:tplc="1E7276A2" w:tentative="1">
      <w:start w:val="1"/>
      <w:numFmt w:val="bullet"/>
      <w:lvlText w:val=""/>
      <w:lvlJc w:val="left"/>
      <w:pPr>
        <w:tabs>
          <w:tab w:val="num" w:pos="3600"/>
        </w:tabs>
        <w:ind w:left="3600" w:hanging="360"/>
      </w:pPr>
      <w:rPr>
        <w:rFonts w:ascii="Symbol" w:hAnsi="Symbol" w:hint="default"/>
      </w:rPr>
    </w:lvl>
    <w:lvl w:ilvl="5" w:tplc="AEE62DFC" w:tentative="1">
      <w:start w:val="1"/>
      <w:numFmt w:val="bullet"/>
      <w:lvlText w:val=""/>
      <w:lvlJc w:val="left"/>
      <w:pPr>
        <w:tabs>
          <w:tab w:val="num" w:pos="4320"/>
        </w:tabs>
        <w:ind w:left="4320" w:hanging="360"/>
      </w:pPr>
      <w:rPr>
        <w:rFonts w:ascii="Symbol" w:hAnsi="Symbol" w:hint="default"/>
      </w:rPr>
    </w:lvl>
    <w:lvl w:ilvl="6" w:tplc="6F1E3FD8" w:tentative="1">
      <w:start w:val="1"/>
      <w:numFmt w:val="bullet"/>
      <w:lvlText w:val=""/>
      <w:lvlJc w:val="left"/>
      <w:pPr>
        <w:tabs>
          <w:tab w:val="num" w:pos="5040"/>
        </w:tabs>
        <w:ind w:left="5040" w:hanging="360"/>
      </w:pPr>
      <w:rPr>
        <w:rFonts w:ascii="Symbol" w:hAnsi="Symbol" w:hint="default"/>
      </w:rPr>
    </w:lvl>
    <w:lvl w:ilvl="7" w:tplc="B736337A" w:tentative="1">
      <w:start w:val="1"/>
      <w:numFmt w:val="bullet"/>
      <w:lvlText w:val=""/>
      <w:lvlJc w:val="left"/>
      <w:pPr>
        <w:tabs>
          <w:tab w:val="num" w:pos="5760"/>
        </w:tabs>
        <w:ind w:left="5760" w:hanging="360"/>
      </w:pPr>
      <w:rPr>
        <w:rFonts w:ascii="Symbol" w:hAnsi="Symbol" w:hint="default"/>
      </w:rPr>
    </w:lvl>
    <w:lvl w:ilvl="8" w:tplc="526671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B211DA"/>
    <w:multiLevelType w:val="hybridMultilevel"/>
    <w:tmpl w:val="9398ADA4"/>
    <w:lvl w:ilvl="0" w:tplc="BE6A6824">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B4111"/>
    <w:multiLevelType w:val="hybridMultilevel"/>
    <w:tmpl w:val="ECC8790A"/>
    <w:lvl w:ilvl="0" w:tplc="E882514E">
      <w:start w:val="1"/>
      <w:numFmt w:val="bullet"/>
      <w:lvlText w:val=""/>
      <w:lvlJc w:val="left"/>
      <w:pPr>
        <w:tabs>
          <w:tab w:val="num" w:pos="720"/>
        </w:tabs>
        <w:ind w:left="720" w:hanging="360"/>
      </w:pPr>
      <w:rPr>
        <w:rFonts w:ascii="Symbol" w:hAnsi="Symbol" w:hint="default"/>
      </w:rPr>
    </w:lvl>
    <w:lvl w:ilvl="1" w:tplc="7518B35A" w:tentative="1">
      <w:start w:val="1"/>
      <w:numFmt w:val="bullet"/>
      <w:lvlText w:val=""/>
      <w:lvlJc w:val="left"/>
      <w:pPr>
        <w:tabs>
          <w:tab w:val="num" w:pos="1440"/>
        </w:tabs>
        <w:ind w:left="1440" w:hanging="360"/>
      </w:pPr>
      <w:rPr>
        <w:rFonts w:ascii="Symbol" w:hAnsi="Symbol" w:hint="default"/>
      </w:rPr>
    </w:lvl>
    <w:lvl w:ilvl="2" w:tplc="F616629A" w:tentative="1">
      <w:start w:val="1"/>
      <w:numFmt w:val="bullet"/>
      <w:lvlText w:val=""/>
      <w:lvlJc w:val="left"/>
      <w:pPr>
        <w:tabs>
          <w:tab w:val="num" w:pos="2160"/>
        </w:tabs>
        <w:ind w:left="2160" w:hanging="360"/>
      </w:pPr>
      <w:rPr>
        <w:rFonts w:ascii="Symbol" w:hAnsi="Symbol" w:hint="default"/>
      </w:rPr>
    </w:lvl>
    <w:lvl w:ilvl="3" w:tplc="2AB6EFCE" w:tentative="1">
      <w:start w:val="1"/>
      <w:numFmt w:val="bullet"/>
      <w:lvlText w:val=""/>
      <w:lvlJc w:val="left"/>
      <w:pPr>
        <w:tabs>
          <w:tab w:val="num" w:pos="2880"/>
        </w:tabs>
        <w:ind w:left="2880" w:hanging="360"/>
      </w:pPr>
      <w:rPr>
        <w:rFonts w:ascii="Symbol" w:hAnsi="Symbol" w:hint="default"/>
      </w:rPr>
    </w:lvl>
    <w:lvl w:ilvl="4" w:tplc="51046184" w:tentative="1">
      <w:start w:val="1"/>
      <w:numFmt w:val="bullet"/>
      <w:lvlText w:val=""/>
      <w:lvlJc w:val="left"/>
      <w:pPr>
        <w:tabs>
          <w:tab w:val="num" w:pos="3600"/>
        </w:tabs>
        <w:ind w:left="3600" w:hanging="360"/>
      </w:pPr>
      <w:rPr>
        <w:rFonts w:ascii="Symbol" w:hAnsi="Symbol" w:hint="default"/>
      </w:rPr>
    </w:lvl>
    <w:lvl w:ilvl="5" w:tplc="59546E2C" w:tentative="1">
      <w:start w:val="1"/>
      <w:numFmt w:val="bullet"/>
      <w:lvlText w:val=""/>
      <w:lvlJc w:val="left"/>
      <w:pPr>
        <w:tabs>
          <w:tab w:val="num" w:pos="4320"/>
        </w:tabs>
        <w:ind w:left="4320" w:hanging="360"/>
      </w:pPr>
      <w:rPr>
        <w:rFonts w:ascii="Symbol" w:hAnsi="Symbol" w:hint="default"/>
      </w:rPr>
    </w:lvl>
    <w:lvl w:ilvl="6" w:tplc="13667D36" w:tentative="1">
      <w:start w:val="1"/>
      <w:numFmt w:val="bullet"/>
      <w:lvlText w:val=""/>
      <w:lvlJc w:val="left"/>
      <w:pPr>
        <w:tabs>
          <w:tab w:val="num" w:pos="5040"/>
        </w:tabs>
        <w:ind w:left="5040" w:hanging="360"/>
      </w:pPr>
      <w:rPr>
        <w:rFonts w:ascii="Symbol" w:hAnsi="Symbol" w:hint="default"/>
      </w:rPr>
    </w:lvl>
    <w:lvl w:ilvl="7" w:tplc="FCE22FD4" w:tentative="1">
      <w:start w:val="1"/>
      <w:numFmt w:val="bullet"/>
      <w:lvlText w:val=""/>
      <w:lvlJc w:val="left"/>
      <w:pPr>
        <w:tabs>
          <w:tab w:val="num" w:pos="5760"/>
        </w:tabs>
        <w:ind w:left="5760" w:hanging="360"/>
      </w:pPr>
      <w:rPr>
        <w:rFonts w:ascii="Symbol" w:hAnsi="Symbol" w:hint="default"/>
      </w:rPr>
    </w:lvl>
    <w:lvl w:ilvl="8" w:tplc="61F69F6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4629BD"/>
    <w:multiLevelType w:val="hybridMultilevel"/>
    <w:tmpl w:val="E3EA3390"/>
    <w:lvl w:ilvl="0" w:tplc="9CE8009A">
      <w:start w:val="1"/>
      <w:numFmt w:val="bullet"/>
      <w:lvlText w:val="•"/>
      <w:lvlJc w:val="left"/>
      <w:pPr>
        <w:tabs>
          <w:tab w:val="num" w:pos="720"/>
        </w:tabs>
        <w:ind w:left="720" w:hanging="360"/>
      </w:pPr>
      <w:rPr>
        <w:rFonts w:ascii="Arial" w:hAnsi="Arial" w:hint="default"/>
      </w:rPr>
    </w:lvl>
    <w:lvl w:ilvl="1" w:tplc="605641A6" w:tentative="1">
      <w:start w:val="1"/>
      <w:numFmt w:val="bullet"/>
      <w:lvlText w:val="•"/>
      <w:lvlJc w:val="left"/>
      <w:pPr>
        <w:tabs>
          <w:tab w:val="num" w:pos="1440"/>
        </w:tabs>
        <w:ind w:left="1440" w:hanging="360"/>
      </w:pPr>
      <w:rPr>
        <w:rFonts w:ascii="Arial" w:hAnsi="Arial" w:hint="default"/>
      </w:rPr>
    </w:lvl>
    <w:lvl w:ilvl="2" w:tplc="D7962350" w:tentative="1">
      <w:start w:val="1"/>
      <w:numFmt w:val="bullet"/>
      <w:lvlText w:val="•"/>
      <w:lvlJc w:val="left"/>
      <w:pPr>
        <w:tabs>
          <w:tab w:val="num" w:pos="2160"/>
        </w:tabs>
        <w:ind w:left="2160" w:hanging="360"/>
      </w:pPr>
      <w:rPr>
        <w:rFonts w:ascii="Arial" w:hAnsi="Arial" w:hint="default"/>
      </w:rPr>
    </w:lvl>
    <w:lvl w:ilvl="3" w:tplc="3B1E45E6" w:tentative="1">
      <w:start w:val="1"/>
      <w:numFmt w:val="bullet"/>
      <w:lvlText w:val="•"/>
      <w:lvlJc w:val="left"/>
      <w:pPr>
        <w:tabs>
          <w:tab w:val="num" w:pos="2880"/>
        </w:tabs>
        <w:ind w:left="2880" w:hanging="360"/>
      </w:pPr>
      <w:rPr>
        <w:rFonts w:ascii="Arial" w:hAnsi="Arial" w:hint="default"/>
      </w:rPr>
    </w:lvl>
    <w:lvl w:ilvl="4" w:tplc="1208079E" w:tentative="1">
      <w:start w:val="1"/>
      <w:numFmt w:val="bullet"/>
      <w:lvlText w:val="•"/>
      <w:lvlJc w:val="left"/>
      <w:pPr>
        <w:tabs>
          <w:tab w:val="num" w:pos="3600"/>
        </w:tabs>
        <w:ind w:left="3600" w:hanging="360"/>
      </w:pPr>
      <w:rPr>
        <w:rFonts w:ascii="Arial" w:hAnsi="Arial" w:hint="default"/>
      </w:rPr>
    </w:lvl>
    <w:lvl w:ilvl="5" w:tplc="746CBD6A" w:tentative="1">
      <w:start w:val="1"/>
      <w:numFmt w:val="bullet"/>
      <w:lvlText w:val="•"/>
      <w:lvlJc w:val="left"/>
      <w:pPr>
        <w:tabs>
          <w:tab w:val="num" w:pos="4320"/>
        </w:tabs>
        <w:ind w:left="4320" w:hanging="360"/>
      </w:pPr>
      <w:rPr>
        <w:rFonts w:ascii="Arial" w:hAnsi="Arial" w:hint="default"/>
      </w:rPr>
    </w:lvl>
    <w:lvl w:ilvl="6" w:tplc="3F2E1EAC" w:tentative="1">
      <w:start w:val="1"/>
      <w:numFmt w:val="bullet"/>
      <w:lvlText w:val="•"/>
      <w:lvlJc w:val="left"/>
      <w:pPr>
        <w:tabs>
          <w:tab w:val="num" w:pos="5040"/>
        </w:tabs>
        <w:ind w:left="5040" w:hanging="360"/>
      </w:pPr>
      <w:rPr>
        <w:rFonts w:ascii="Arial" w:hAnsi="Arial" w:hint="default"/>
      </w:rPr>
    </w:lvl>
    <w:lvl w:ilvl="7" w:tplc="F1FE4E7E" w:tentative="1">
      <w:start w:val="1"/>
      <w:numFmt w:val="bullet"/>
      <w:lvlText w:val="•"/>
      <w:lvlJc w:val="left"/>
      <w:pPr>
        <w:tabs>
          <w:tab w:val="num" w:pos="5760"/>
        </w:tabs>
        <w:ind w:left="5760" w:hanging="360"/>
      </w:pPr>
      <w:rPr>
        <w:rFonts w:ascii="Arial" w:hAnsi="Arial" w:hint="default"/>
      </w:rPr>
    </w:lvl>
    <w:lvl w:ilvl="8" w:tplc="C86EB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85672C"/>
    <w:multiLevelType w:val="hybridMultilevel"/>
    <w:tmpl w:val="64D4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C3B3D"/>
    <w:multiLevelType w:val="hybridMultilevel"/>
    <w:tmpl w:val="98940484"/>
    <w:lvl w:ilvl="0" w:tplc="7952DDC2">
      <w:start w:val="1"/>
      <w:numFmt w:val="bullet"/>
      <w:lvlText w:val="•"/>
      <w:lvlJc w:val="left"/>
      <w:pPr>
        <w:tabs>
          <w:tab w:val="num" w:pos="720"/>
        </w:tabs>
        <w:ind w:left="720" w:hanging="360"/>
      </w:pPr>
      <w:rPr>
        <w:rFonts w:ascii="Arial" w:hAnsi="Arial" w:hint="default"/>
      </w:rPr>
    </w:lvl>
    <w:lvl w:ilvl="1" w:tplc="1DD27B7E" w:tentative="1">
      <w:start w:val="1"/>
      <w:numFmt w:val="bullet"/>
      <w:lvlText w:val="•"/>
      <w:lvlJc w:val="left"/>
      <w:pPr>
        <w:tabs>
          <w:tab w:val="num" w:pos="1440"/>
        </w:tabs>
        <w:ind w:left="1440" w:hanging="360"/>
      </w:pPr>
      <w:rPr>
        <w:rFonts w:ascii="Arial" w:hAnsi="Arial" w:hint="default"/>
      </w:rPr>
    </w:lvl>
    <w:lvl w:ilvl="2" w:tplc="093228D0" w:tentative="1">
      <w:start w:val="1"/>
      <w:numFmt w:val="bullet"/>
      <w:lvlText w:val="•"/>
      <w:lvlJc w:val="left"/>
      <w:pPr>
        <w:tabs>
          <w:tab w:val="num" w:pos="2160"/>
        </w:tabs>
        <w:ind w:left="2160" w:hanging="360"/>
      </w:pPr>
      <w:rPr>
        <w:rFonts w:ascii="Arial" w:hAnsi="Arial" w:hint="default"/>
      </w:rPr>
    </w:lvl>
    <w:lvl w:ilvl="3" w:tplc="F88A7890" w:tentative="1">
      <w:start w:val="1"/>
      <w:numFmt w:val="bullet"/>
      <w:lvlText w:val="•"/>
      <w:lvlJc w:val="left"/>
      <w:pPr>
        <w:tabs>
          <w:tab w:val="num" w:pos="2880"/>
        </w:tabs>
        <w:ind w:left="2880" w:hanging="360"/>
      </w:pPr>
      <w:rPr>
        <w:rFonts w:ascii="Arial" w:hAnsi="Arial" w:hint="default"/>
      </w:rPr>
    </w:lvl>
    <w:lvl w:ilvl="4" w:tplc="A72498D8" w:tentative="1">
      <w:start w:val="1"/>
      <w:numFmt w:val="bullet"/>
      <w:lvlText w:val="•"/>
      <w:lvlJc w:val="left"/>
      <w:pPr>
        <w:tabs>
          <w:tab w:val="num" w:pos="3600"/>
        </w:tabs>
        <w:ind w:left="3600" w:hanging="360"/>
      </w:pPr>
      <w:rPr>
        <w:rFonts w:ascii="Arial" w:hAnsi="Arial" w:hint="default"/>
      </w:rPr>
    </w:lvl>
    <w:lvl w:ilvl="5" w:tplc="2684EF30" w:tentative="1">
      <w:start w:val="1"/>
      <w:numFmt w:val="bullet"/>
      <w:lvlText w:val="•"/>
      <w:lvlJc w:val="left"/>
      <w:pPr>
        <w:tabs>
          <w:tab w:val="num" w:pos="4320"/>
        </w:tabs>
        <w:ind w:left="4320" w:hanging="360"/>
      </w:pPr>
      <w:rPr>
        <w:rFonts w:ascii="Arial" w:hAnsi="Arial" w:hint="default"/>
      </w:rPr>
    </w:lvl>
    <w:lvl w:ilvl="6" w:tplc="95B4A7A4" w:tentative="1">
      <w:start w:val="1"/>
      <w:numFmt w:val="bullet"/>
      <w:lvlText w:val="•"/>
      <w:lvlJc w:val="left"/>
      <w:pPr>
        <w:tabs>
          <w:tab w:val="num" w:pos="5040"/>
        </w:tabs>
        <w:ind w:left="5040" w:hanging="360"/>
      </w:pPr>
      <w:rPr>
        <w:rFonts w:ascii="Arial" w:hAnsi="Arial" w:hint="default"/>
      </w:rPr>
    </w:lvl>
    <w:lvl w:ilvl="7" w:tplc="E8C45230" w:tentative="1">
      <w:start w:val="1"/>
      <w:numFmt w:val="bullet"/>
      <w:lvlText w:val="•"/>
      <w:lvlJc w:val="left"/>
      <w:pPr>
        <w:tabs>
          <w:tab w:val="num" w:pos="5760"/>
        </w:tabs>
        <w:ind w:left="5760" w:hanging="360"/>
      </w:pPr>
      <w:rPr>
        <w:rFonts w:ascii="Arial" w:hAnsi="Arial" w:hint="default"/>
      </w:rPr>
    </w:lvl>
    <w:lvl w:ilvl="8" w:tplc="81A2A2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NjA3MDc0tjA1NDdS0lEKTi0uzszPAykwrQUAJQY2PywAAAA="/>
  </w:docVars>
  <w:rsids>
    <w:rsidRoot w:val="00AD120E"/>
    <w:rsid w:val="0000021C"/>
    <w:rsid w:val="000025B4"/>
    <w:rsid w:val="00003271"/>
    <w:rsid w:val="0000352B"/>
    <w:rsid w:val="000035DE"/>
    <w:rsid w:val="0000591D"/>
    <w:rsid w:val="00010759"/>
    <w:rsid w:val="00010BC6"/>
    <w:rsid w:val="000117AF"/>
    <w:rsid w:val="00011CB2"/>
    <w:rsid w:val="0001591C"/>
    <w:rsid w:val="00015F41"/>
    <w:rsid w:val="00016E9D"/>
    <w:rsid w:val="00017433"/>
    <w:rsid w:val="00017A8D"/>
    <w:rsid w:val="00020B35"/>
    <w:rsid w:val="00020DCB"/>
    <w:rsid w:val="00021094"/>
    <w:rsid w:val="00023636"/>
    <w:rsid w:val="00023CC2"/>
    <w:rsid w:val="000247F3"/>
    <w:rsid w:val="00024ECA"/>
    <w:rsid w:val="000265D2"/>
    <w:rsid w:val="00026731"/>
    <w:rsid w:val="00030816"/>
    <w:rsid w:val="00030A08"/>
    <w:rsid w:val="00031269"/>
    <w:rsid w:val="00031E5A"/>
    <w:rsid w:val="0003424A"/>
    <w:rsid w:val="00035538"/>
    <w:rsid w:val="000373B0"/>
    <w:rsid w:val="00040A73"/>
    <w:rsid w:val="0004121E"/>
    <w:rsid w:val="00041C48"/>
    <w:rsid w:val="00042EB2"/>
    <w:rsid w:val="00043E6B"/>
    <w:rsid w:val="0004558E"/>
    <w:rsid w:val="000458C5"/>
    <w:rsid w:val="0004749F"/>
    <w:rsid w:val="00052B50"/>
    <w:rsid w:val="00053862"/>
    <w:rsid w:val="000542A3"/>
    <w:rsid w:val="000556A0"/>
    <w:rsid w:val="000573D1"/>
    <w:rsid w:val="000640F1"/>
    <w:rsid w:val="00064334"/>
    <w:rsid w:val="0006753E"/>
    <w:rsid w:val="00067D3F"/>
    <w:rsid w:val="00067E06"/>
    <w:rsid w:val="000712F6"/>
    <w:rsid w:val="000717C4"/>
    <w:rsid w:val="00072C70"/>
    <w:rsid w:val="000736D0"/>
    <w:rsid w:val="00075681"/>
    <w:rsid w:val="00076F9E"/>
    <w:rsid w:val="0007788D"/>
    <w:rsid w:val="00077F10"/>
    <w:rsid w:val="00080596"/>
    <w:rsid w:val="00080A19"/>
    <w:rsid w:val="00081B55"/>
    <w:rsid w:val="0008545F"/>
    <w:rsid w:val="000857D0"/>
    <w:rsid w:val="00085FC8"/>
    <w:rsid w:val="00087F72"/>
    <w:rsid w:val="0009057C"/>
    <w:rsid w:val="000909B6"/>
    <w:rsid w:val="0009106F"/>
    <w:rsid w:val="00093337"/>
    <w:rsid w:val="00093C59"/>
    <w:rsid w:val="00095935"/>
    <w:rsid w:val="00095DAF"/>
    <w:rsid w:val="00095E43"/>
    <w:rsid w:val="000961E2"/>
    <w:rsid w:val="00096ADF"/>
    <w:rsid w:val="00096FD2"/>
    <w:rsid w:val="000975AD"/>
    <w:rsid w:val="000A04B7"/>
    <w:rsid w:val="000A08BD"/>
    <w:rsid w:val="000A0E6F"/>
    <w:rsid w:val="000A11C5"/>
    <w:rsid w:val="000A1843"/>
    <w:rsid w:val="000A2D63"/>
    <w:rsid w:val="000A509D"/>
    <w:rsid w:val="000A60E7"/>
    <w:rsid w:val="000A6E97"/>
    <w:rsid w:val="000A7F9F"/>
    <w:rsid w:val="000B17AD"/>
    <w:rsid w:val="000B2250"/>
    <w:rsid w:val="000B225F"/>
    <w:rsid w:val="000B4A61"/>
    <w:rsid w:val="000B5C01"/>
    <w:rsid w:val="000B742E"/>
    <w:rsid w:val="000B74C0"/>
    <w:rsid w:val="000C1B23"/>
    <w:rsid w:val="000C1C1A"/>
    <w:rsid w:val="000C52AC"/>
    <w:rsid w:val="000C5E1B"/>
    <w:rsid w:val="000C62BD"/>
    <w:rsid w:val="000C6C17"/>
    <w:rsid w:val="000C6D7F"/>
    <w:rsid w:val="000C74B2"/>
    <w:rsid w:val="000D1D61"/>
    <w:rsid w:val="000D25CF"/>
    <w:rsid w:val="000D3E4B"/>
    <w:rsid w:val="000D46A2"/>
    <w:rsid w:val="000D5F58"/>
    <w:rsid w:val="000D5F99"/>
    <w:rsid w:val="000D6653"/>
    <w:rsid w:val="000D6D5D"/>
    <w:rsid w:val="000D76EA"/>
    <w:rsid w:val="000E0604"/>
    <w:rsid w:val="000E0DA3"/>
    <w:rsid w:val="000E18B4"/>
    <w:rsid w:val="000E1DAC"/>
    <w:rsid w:val="000E20C5"/>
    <w:rsid w:val="000E2FCE"/>
    <w:rsid w:val="000E4549"/>
    <w:rsid w:val="000E48A6"/>
    <w:rsid w:val="000E5B4E"/>
    <w:rsid w:val="000E5DDE"/>
    <w:rsid w:val="000E6259"/>
    <w:rsid w:val="000E6D22"/>
    <w:rsid w:val="000E76DA"/>
    <w:rsid w:val="000F2B94"/>
    <w:rsid w:val="000F309F"/>
    <w:rsid w:val="000F31E3"/>
    <w:rsid w:val="000F6679"/>
    <w:rsid w:val="000F794E"/>
    <w:rsid w:val="000F7D64"/>
    <w:rsid w:val="00100000"/>
    <w:rsid w:val="00101918"/>
    <w:rsid w:val="00104A25"/>
    <w:rsid w:val="00105454"/>
    <w:rsid w:val="00105651"/>
    <w:rsid w:val="00106BCF"/>
    <w:rsid w:val="0011014E"/>
    <w:rsid w:val="00111D02"/>
    <w:rsid w:val="00114D30"/>
    <w:rsid w:val="001152F7"/>
    <w:rsid w:val="00115CC5"/>
    <w:rsid w:val="00116219"/>
    <w:rsid w:val="0011659E"/>
    <w:rsid w:val="00116C19"/>
    <w:rsid w:val="0011741E"/>
    <w:rsid w:val="00120079"/>
    <w:rsid w:val="00121B01"/>
    <w:rsid w:val="00121F84"/>
    <w:rsid w:val="001249E9"/>
    <w:rsid w:val="001265A5"/>
    <w:rsid w:val="00130831"/>
    <w:rsid w:val="0013269D"/>
    <w:rsid w:val="00132FE0"/>
    <w:rsid w:val="00133ADE"/>
    <w:rsid w:val="00133AEE"/>
    <w:rsid w:val="00133BC4"/>
    <w:rsid w:val="00134910"/>
    <w:rsid w:val="00134B62"/>
    <w:rsid w:val="00136284"/>
    <w:rsid w:val="001362A1"/>
    <w:rsid w:val="00136788"/>
    <w:rsid w:val="0014108C"/>
    <w:rsid w:val="001421C2"/>
    <w:rsid w:val="0014339B"/>
    <w:rsid w:val="001505D5"/>
    <w:rsid w:val="00151413"/>
    <w:rsid w:val="00151B4B"/>
    <w:rsid w:val="001525DC"/>
    <w:rsid w:val="00152E7E"/>
    <w:rsid w:val="00153C55"/>
    <w:rsid w:val="0015478E"/>
    <w:rsid w:val="00154E0C"/>
    <w:rsid w:val="00155248"/>
    <w:rsid w:val="00156331"/>
    <w:rsid w:val="0015737E"/>
    <w:rsid w:val="00157B7B"/>
    <w:rsid w:val="00160359"/>
    <w:rsid w:val="00161A9D"/>
    <w:rsid w:val="00162B76"/>
    <w:rsid w:val="00164243"/>
    <w:rsid w:val="001642AC"/>
    <w:rsid w:val="00164FC2"/>
    <w:rsid w:val="001662F0"/>
    <w:rsid w:val="001703CD"/>
    <w:rsid w:val="00170CC0"/>
    <w:rsid w:val="00171315"/>
    <w:rsid w:val="0017248C"/>
    <w:rsid w:val="00173621"/>
    <w:rsid w:val="00173B10"/>
    <w:rsid w:val="00175DC0"/>
    <w:rsid w:val="00176E27"/>
    <w:rsid w:val="00177A62"/>
    <w:rsid w:val="00177BC0"/>
    <w:rsid w:val="00180A7F"/>
    <w:rsid w:val="00185377"/>
    <w:rsid w:val="001859DC"/>
    <w:rsid w:val="0018693D"/>
    <w:rsid w:val="00186BBC"/>
    <w:rsid w:val="00187832"/>
    <w:rsid w:val="00190EC6"/>
    <w:rsid w:val="001918ED"/>
    <w:rsid w:val="00191E60"/>
    <w:rsid w:val="001923F6"/>
    <w:rsid w:val="0019317A"/>
    <w:rsid w:val="00193F19"/>
    <w:rsid w:val="00194206"/>
    <w:rsid w:val="0019423F"/>
    <w:rsid w:val="001942D6"/>
    <w:rsid w:val="00194C86"/>
    <w:rsid w:val="001962B1"/>
    <w:rsid w:val="001966C5"/>
    <w:rsid w:val="001A0907"/>
    <w:rsid w:val="001A2F54"/>
    <w:rsid w:val="001A34DA"/>
    <w:rsid w:val="001A3BB4"/>
    <w:rsid w:val="001A57BF"/>
    <w:rsid w:val="001A5D96"/>
    <w:rsid w:val="001A6338"/>
    <w:rsid w:val="001A6E01"/>
    <w:rsid w:val="001B272F"/>
    <w:rsid w:val="001B304F"/>
    <w:rsid w:val="001B498B"/>
    <w:rsid w:val="001B5B3C"/>
    <w:rsid w:val="001B5B84"/>
    <w:rsid w:val="001B79EF"/>
    <w:rsid w:val="001C062C"/>
    <w:rsid w:val="001C0875"/>
    <w:rsid w:val="001C141E"/>
    <w:rsid w:val="001C18B1"/>
    <w:rsid w:val="001C203E"/>
    <w:rsid w:val="001C20A0"/>
    <w:rsid w:val="001C24A4"/>
    <w:rsid w:val="001C3D2B"/>
    <w:rsid w:val="001C3E9B"/>
    <w:rsid w:val="001C5AB2"/>
    <w:rsid w:val="001C69C0"/>
    <w:rsid w:val="001D4F0D"/>
    <w:rsid w:val="001D64FA"/>
    <w:rsid w:val="001D6C3B"/>
    <w:rsid w:val="001D6FD0"/>
    <w:rsid w:val="001D7784"/>
    <w:rsid w:val="001D7863"/>
    <w:rsid w:val="001E0F06"/>
    <w:rsid w:val="001E106F"/>
    <w:rsid w:val="001E1A8E"/>
    <w:rsid w:val="001E6B6A"/>
    <w:rsid w:val="001F2358"/>
    <w:rsid w:val="001F361E"/>
    <w:rsid w:val="001F3924"/>
    <w:rsid w:val="001F4555"/>
    <w:rsid w:val="001F4C77"/>
    <w:rsid w:val="001F6111"/>
    <w:rsid w:val="00200B77"/>
    <w:rsid w:val="00200D0A"/>
    <w:rsid w:val="00200F21"/>
    <w:rsid w:val="0020211B"/>
    <w:rsid w:val="002029E7"/>
    <w:rsid w:val="00202D99"/>
    <w:rsid w:val="0020328F"/>
    <w:rsid w:val="00206A0B"/>
    <w:rsid w:val="00207319"/>
    <w:rsid w:val="00207A2E"/>
    <w:rsid w:val="00207A56"/>
    <w:rsid w:val="00207F27"/>
    <w:rsid w:val="0021009B"/>
    <w:rsid w:val="002108F8"/>
    <w:rsid w:val="00211192"/>
    <w:rsid w:val="00212C85"/>
    <w:rsid w:val="00213C4B"/>
    <w:rsid w:val="00213E5E"/>
    <w:rsid w:val="0021417B"/>
    <w:rsid w:val="00214772"/>
    <w:rsid w:val="00214E0F"/>
    <w:rsid w:val="0021617B"/>
    <w:rsid w:val="00217842"/>
    <w:rsid w:val="00217E59"/>
    <w:rsid w:val="00220201"/>
    <w:rsid w:val="00220647"/>
    <w:rsid w:val="00221CF9"/>
    <w:rsid w:val="002221E9"/>
    <w:rsid w:val="00223108"/>
    <w:rsid w:val="002247F5"/>
    <w:rsid w:val="002260A5"/>
    <w:rsid w:val="0022721E"/>
    <w:rsid w:val="00227555"/>
    <w:rsid w:val="002301A3"/>
    <w:rsid w:val="00230841"/>
    <w:rsid w:val="00232E37"/>
    <w:rsid w:val="00234022"/>
    <w:rsid w:val="002349BF"/>
    <w:rsid w:val="002354F3"/>
    <w:rsid w:val="002364B0"/>
    <w:rsid w:val="00237BFE"/>
    <w:rsid w:val="00237CDE"/>
    <w:rsid w:val="00237F63"/>
    <w:rsid w:val="00240ADA"/>
    <w:rsid w:val="00240FE2"/>
    <w:rsid w:val="00241661"/>
    <w:rsid w:val="00242913"/>
    <w:rsid w:val="002431F4"/>
    <w:rsid w:val="002438D4"/>
    <w:rsid w:val="00243E7B"/>
    <w:rsid w:val="0024629D"/>
    <w:rsid w:val="00247F07"/>
    <w:rsid w:val="00247F74"/>
    <w:rsid w:val="00252606"/>
    <w:rsid w:val="00252AAF"/>
    <w:rsid w:val="002530D3"/>
    <w:rsid w:val="0025410D"/>
    <w:rsid w:val="0025580E"/>
    <w:rsid w:val="002559D0"/>
    <w:rsid w:val="002562A5"/>
    <w:rsid w:val="002579EF"/>
    <w:rsid w:val="00257E0E"/>
    <w:rsid w:val="002601A4"/>
    <w:rsid w:val="00262270"/>
    <w:rsid w:val="00263724"/>
    <w:rsid w:val="00264DB7"/>
    <w:rsid w:val="00265EB5"/>
    <w:rsid w:val="002662B0"/>
    <w:rsid w:val="00266699"/>
    <w:rsid w:val="0027028F"/>
    <w:rsid w:val="00271731"/>
    <w:rsid w:val="00272FB6"/>
    <w:rsid w:val="00273481"/>
    <w:rsid w:val="00274A72"/>
    <w:rsid w:val="002757DE"/>
    <w:rsid w:val="00275FA0"/>
    <w:rsid w:val="00277CE1"/>
    <w:rsid w:val="00280C96"/>
    <w:rsid w:val="00285754"/>
    <w:rsid w:val="00285FA6"/>
    <w:rsid w:val="00286043"/>
    <w:rsid w:val="002869BC"/>
    <w:rsid w:val="00286D12"/>
    <w:rsid w:val="00290779"/>
    <w:rsid w:val="00292269"/>
    <w:rsid w:val="00292BA7"/>
    <w:rsid w:val="0029386F"/>
    <w:rsid w:val="00293B8D"/>
    <w:rsid w:val="00294178"/>
    <w:rsid w:val="00294A11"/>
    <w:rsid w:val="00294B2C"/>
    <w:rsid w:val="00294F73"/>
    <w:rsid w:val="00295E0F"/>
    <w:rsid w:val="0029713D"/>
    <w:rsid w:val="002976E5"/>
    <w:rsid w:val="002A0100"/>
    <w:rsid w:val="002A0DBB"/>
    <w:rsid w:val="002A20D6"/>
    <w:rsid w:val="002A38C1"/>
    <w:rsid w:val="002A732E"/>
    <w:rsid w:val="002B1647"/>
    <w:rsid w:val="002B236D"/>
    <w:rsid w:val="002B2431"/>
    <w:rsid w:val="002B2825"/>
    <w:rsid w:val="002B31EF"/>
    <w:rsid w:val="002B4C2E"/>
    <w:rsid w:val="002B6269"/>
    <w:rsid w:val="002B71FD"/>
    <w:rsid w:val="002C0C4A"/>
    <w:rsid w:val="002C5431"/>
    <w:rsid w:val="002C622C"/>
    <w:rsid w:val="002C6A06"/>
    <w:rsid w:val="002C6E0B"/>
    <w:rsid w:val="002D0121"/>
    <w:rsid w:val="002D08DE"/>
    <w:rsid w:val="002D216D"/>
    <w:rsid w:val="002D2431"/>
    <w:rsid w:val="002D3032"/>
    <w:rsid w:val="002D346E"/>
    <w:rsid w:val="002D5CE5"/>
    <w:rsid w:val="002E1217"/>
    <w:rsid w:val="002E222C"/>
    <w:rsid w:val="002E3B3B"/>
    <w:rsid w:val="002E49B5"/>
    <w:rsid w:val="002E49FE"/>
    <w:rsid w:val="002E55E5"/>
    <w:rsid w:val="002E7942"/>
    <w:rsid w:val="002F064C"/>
    <w:rsid w:val="002F3A00"/>
    <w:rsid w:val="002F444D"/>
    <w:rsid w:val="002F4793"/>
    <w:rsid w:val="002F6204"/>
    <w:rsid w:val="002F625E"/>
    <w:rsid w:val="00302251"/>
    <w:rsid w:val="00302906"/>
    <w:rsid w:val="00303661"/>
    <w:rsid w:val="00306336"/>
    <w:rsid w:val="00306871"/>
    <w:rsid w:val="00306FCC"/>
    <w:rsid w:val="0030796B"/>
    <w:rsid w:val="00307AD3"/>
    <w:rsid w:val="00310725"/>
    <w:rsid w:val="00312AD5"/>
    <w:rsid w:val="00314A2B"/>
    <w:rsid w:val="00315635"/>
    <w:rsid w:val="0032094A"/>
    <w:rsid w:val="00321829"/>
    <w:rsid w:val="00321C38"/>
    <w:rsid w:val="00321D8A"/>
    <w:rsid w:val="003225D1"/>
    <w:rsid w:val="00322FDE"/>
    <w:rsid w:val="003243DB"/>
    <w:rsid w:val="0032719B"/>
    <w:rsid w:val="00327487"/>
    <w:rsid w:val="00327BD1"/>
    <w:rsid w:val="00330253"/>
    <w:rsid w:val="003307C4"/>
    <w:rsid w:val="003315ED"/>
    <w:rsid w:val="00332968"/>
    <w:rsid w:val="0033433A"/>
    <w:rsid w:val="0033599B"/>
    <w:rsid w:val="0033668F"/>
    <w:rsid w:val="003367AA"/>
    <w:rsid w:val="003373C2"/>
    <w:rsid w:val="003374AF"/>
    <w:rsid w:val="0033774D"/>
    <w:rsid w:val="0034036A"/>
    <w:rsid w:val="00340878"/>
    <w:rsid w:val="0034249B"/>
    <w:rsid w:val="00342771"/>
    <w:rsid w:val="00344F39"/>
    <w:rsid w:val="003479F3"/>
    <w:rsid w:val="00350EF2"/>
    <w:rsid w:val="00352CAA"/>
    <w:rsid w:val="00353370"/>
    <w:rsid w:val="00353637"/>
    <w:rsid w:val="003576B1"/>
    <w:rsid w:val="003605B4"/>
    <w:rsid w:val="00360CE1"/>
    <w:rsid w:val="00361901"/>
    <w:rsid w:val="003621BC"/>
    <w:rsid w:val="003625CA"/>
    <w:rsid w:val="00362C9C"/>
    <w:rsid w:val="00363EB0"/>
    <w:rsid w:val="00364BE0"/>
    <w:rsid w:val="0036517B"/>
    <w:rsid w:val="003670B5"/>
    <w:rsid w:val="00371097"/>
    <w:rsid w:val="00371B45"/>
    <w:rsid w:val="003723CE"/>
    <w:rsid w:val="0037535B"/>
    <w:rsid w:val="00375A1B"/>
    <w:rsid w:val="003761FC"/>
    <w:rsid w:val="0037647B"/>
    <w:rsid w:val="003767BD"/>
    <w:rsid w:val="003772C5"/>
    <w:rsid w:val="003801B4"/>
    <w:rsid w:val="00380C75"/>
    <w:rsid w:val="00384B25"/>
    <w:rsid w:val="00385E66"/>
    <w:rsid w:val="00387011"/>
    <w:rsid w:val="00387B7D"/>
    <w:rsid w:val="00390216"/>
    <w:rsid w:val="00391294"/>
    <w:rsid w:val="003917AA"/>
    <w:rsid w:val="003925AE"/>
    <w:rsid w:val="003953C6"/>
    <w:rsid w:val="00395CA6"/>
    <w:rsid w:val="00395FA0"/>
    <w:rsid w:val="00397337"/>
    <w:rsid w:val="0039784B"/>
    <w:rsid w:val="00397C1E"/>
    <w:rsid w:val="003A0640"/>
    <w:rsid w:val="003A14E4"/>
    <w:rsid w:val="003A1599"/>
    <w:rsid w:val="003A3B6A"/>
    <w:rsid w:val="003A4E41"/>
    <w:rsid w:val="003A51F2"/>
    <w:rsid w:val="003A599C"/>
    <w:rsid w:val="003A6D07"/>
    <w:rsid w:val="003A73C8"/>
    <w:rsid w:val="003A7873"/>
    <w:rsid w:val="003A7B1C"/>
    <w:rsid w:val="003B07BC"/>
    <w:rsid w:val="003B0B3C"/>
    <w:rsid w:val="003B103E"/>
    <w:rsid w:val="003B1361"/>
    <w:rsid w:val="003B1EDC"/>
    <w:rsid w:val="003B2297"/>
    <w:rsid w:val="003B28B1"/>
    <w:rsid w:val="003B3688"/>
    <w:rsid w:val="003B6165"/>
    <w:rsid w:val="003B6D06"/>
    <w:rsid w:val="003B76C0"/>
    <w:rsid w:val="003C0C4C"/>
    <w:rsid w:val="003C0DA7"/>
    <w:rsid w:val="003C0F58"/>
    <w:rsid w:val="003C16EE"/>
    <w:rsid w:val="003C67EE"/>
    <w:rsid w:val="003C7F9D"/>
    <w:rsid w:val="003D1888"/>
    <w:rsid w:val="003D1BE9"/>
    <w:rsid w:val="003D266C"/>
    <w:rsid w:val="003D302C"/>
    <w:rsid w:val="003D3EFB"/>
    <w:rsid w:val="003D3FE0"/>
    <w:rsid w:val="003D41CF"/>
    <w:rsid w:val="003D435B"/>
    <w:rsid w:val="003D445C"/>
    <w:rsid w:val="003D4483"/>
    <w:rsid w:val="003D537E"/>
    <w:rsid w:val="003D562F"/>
    <w:rsid w:val="003D5A31"/>
    <w:rsid w:val="003D5A63"/>
    <w:rsid w:val="003D6867"/>
    <w:rsid w:val="003D6FB9"/>
    <w:rsid w:val="003D752B"/>
    <w:rsid w:val="003D7A83"/>
    <w:rsid w:val="003D7E21"/>
    <w:rsid w:val="003E230A"/>
    <w:rsid w:val="003E3131"/>
    <w:rsid w:val="003E3902"/>
    <w:rsid w:val="003E405E"/>
    <w:rsid w:val="003E4825"/>
    <w:rsid w:val="003E4DF2"/>
    <w:rsid w:val="003E539C"/>
    <w:rsid w:val="003E5F39"/>
    <w:rsid w:val="003E64F0"/>
    <w:rsid w:val="003F0F01"/>
    <w:rsid w:val="003F1784"/>
    <w:rsid w:val="003F17DF"/>
    <w:rsid w:val="003F1950"/>
    <w:rsid w:val="003F1AEB"/>
    <w:rsid w:val="003F2F08"/>
    <w:rsid w:val="003F3F11"/>
    <w:rsid w:val="003F55F8"/>
    <w:rsid w:val="003F56D2"/>
    <w:rsid w:val="003F6A91"/>
    <w:rsid w:val="003F6F7C"/>
    <w:rsid w:val="003F79DF"/>
    <w:rsid w:val="00401724"/>
    <w:rsid w:val="00401A04"/>
    <w:rsid w:val="00401DE5"/>
    <w:rsid w:val="0040246C"/>
    <w:rsid w:val="00402B9F"/>
    <w:rsid w:val="004039F3"/>
    <w:rsid w:val="00404568"/>
    <w:rsid w:val="00405B89"/>
    <w:rsid w:val="004063A6"/>
    <w:rsid w:val="00406549"/>
    <w:rsid w:val="004065C2"/>
    <w:rsid w:val="004065C8"/>
    <w:rsid w:val="004066EE"/>
    <w:rsid w:val="00412A2E"/>
    <w:rsid w:val="00412A39"/>
    <w:rsid w:val="00412F38"/>
    <w:rsid w:val="00413B17"/>
    <w:rsid w:val="00414131"/>
    <w:rsid w:val="00414B7A"/>
    <w:rsid w:val="00416F62"/>
    <w:rsid w:val="004216B9"/>
    <w:rsid w:val="00421811"/>
    <w:rsid w:val="00421AE6"/>
    <w:rsid w:val="00422281"/>
    <w:rsid w:val="0042458D"/>
    <w:rsid w:val="0042459F"/>
    <w:rsid w:val="00424F5E"/>
    <w:rsid w:val="004259E0"/>
    <w:rsid w:val="00426B6D"/>
    <w:rsid w:val="00426E25"/>
    <w:rsid w:val="00426E85"/>
    <w:rsid w:val="00427CB4"/>
    <w:rsid w:val="00430118"/>
    <w:rsid w:val="004305B4"/>
    <w:rsid w:val="00431C65"/>
    <w:rsid w:val="0043405B"/>
    <w:rsid w:val="004340A3"/>
    <w:rsid w:val="0043480F"/>
    <w:rsid w:val="00434B2E"/>
    <w:rsid w:val="004359AA"/>
    <w:rsid w:val="004402AA"/>
    <w:rsid w:val="004406BE"/>
    <w:rsid w:val="00441123"/>
    <w:rsid w:val="00442E13"/>
    <w:rsid w:val="00445BE5"/>
    <w:rsid w:val="00445DEA"/>
    <w:rsid w:val="0044736E"/>
    <w:rsid w:val="00450BFC"/>
    <w:rsid w:val="00452883"/>
    <w:rsid w:val="00453717"/>
    <w:rsid w:val="0045383B"/>
    <w:rsid w:val="0045451C"/>
    <w:rsid w:val="00455CA9"/>
    <w:rsid w:val="00456A87"/>
    <w:rsid w:val="00460B1E"/>
    <w:rsid w:val="00462F54"/>
    <w:rsid w:val="00462F75"/>
    <w:rsid w:val="00463266"/>
    <w:rsid w:val="004633F9"/>
    <w:rsid w:val="004640C3"/>
    <w:rsid w:val="004658A7"/>
    <w:rsid w:val="00465CFF"/>
    <w:rsid w:val="00466204"/>
    <w:rsid w:val="004671F3"/>
    <w:rsid w:val="004673A4"/>
    <w:rsid w:val="00467428"/>
    <w:rsid w:val="00470033"/>
    <w:rsid w:val="0047040D"/>
    <w:rsid w:val="00471294"/>
    <w:rsid w:val="004717A4"/>
    <w:rsid w:val="0047183A"/>
    <w:rsid w:val="00472D21"/>
    <w:rsid w:val="00475023"/>
    <w:rsid w:val="00476784"/>
    <w:rsid w:val="00476807"/>
    <w:rsid w:val="00477A04"/>
    <w:rsid w:val="004801DF"/>
    <w:rsid w:val="0048041C"/>
    <w:rsid w:val="004804E5"/>
    <w:rsid w:val="004807B3"/>
    <w:rsid w:val="0048108D"/>
    <w:rsid w:val="0048131A"/>
    <w:rsid w:val="00483558"/>
    <w:rsid w:val="00483A7E"/>
    <w:rsid w:val="004840FC"/>
    <w:rsid w:val="004846CF"/>
    <w:rsid w:val="00485730"/>
    <w:rsid w:val="00486340"/>
    <w:rsid w:val="00486BA1"/>
    <w:rsid w:val="00486EE5"/>
    <w:rsid w:val="004935EC"/>
    <w:rsid w:val="00494050"/>
    <w:rsid w:val="004A1D07"/>
    <w:rsid w:val="004A3407"/>
    <w:rsid w:val="004A3593"/>
    <w:rsid w:val="004A424D"/>
    <w:rsid w:val="004A433D"/>
    <w:rsid w:val="004A48B6"/>
    <w:rsid w:val="004A63F8"/>
    <w:rsid w:val="004B0587"/>
    <w:rsid w:val="004B32CC"/>
    <w:rsid w:val="004B38B7"/>
    <w:rsid w:val="004B3F1E"/>
    <w:rsid w:val="004B6C81"/>
    <w:rsid w:val="004B7D58"/>
    <w:rsid w:val="004C138E"/>
    <w:rsid w:val="004C1831"/>
    <w:rsid w:val="004C1ECF"/>
    <w:rsid w:val="004C292C"/>
    <w:rsid w:val="004C2E27"/>
    <w:rsid w:val="004C496F"/>
    <w:rsid w:val="004C4D00"/>
    <w:rsid w:val="004C507F"/>
    <w:rsid w:val="004C54E1"/>
    <w:rsid w:val="004C6130"/>
    <w:rsid w:val="004C727D"/>
    <w:rsid w:val="004C7E4D"/>
    <w:rsid w:val="004D0B49"/>
    <w:rsid w:val="004D0F56"/>
    <w:rsid w:val="004D34AB"/>
    <w:rsid w:val="004D3809"/>
    <w:rsid w:val="004D5B72"/>
    <w:rsid w:val="004D7162"/>
    <w:rsid w:val="004D7AFC"/>
    <w:rsid w:val="004D7B07"/>
    <w:rsid w:val="004E0305"/>
    <w:rsid w:val="004E0404"/>
    <w:rsid w:val="004E256E"/>
    <w:rsid w:val="004E3041"/>
    <w:rsid w:val="004E54E5"/>
    <w:rsid w:val="004E5D52"/>
    <w:rsid w:val="004E7BA7"/>
    <w:rsid w:val="004F1F9C"/>
    <w:rsid w:val="004F4E1F"/>
    <w:rsid w:val="004F6CC5"/>
    <w:rsid w:val="004F7953"/>
    <w:rsid w:val="005015B4"/>
    <w:rsid w:val="00502D82"/>
    <w:rsid w:val="0050492A"/>
    <w:rsid w:val="00506159"/>
    <w:rsid w:val="00506C20"/>
    <w:rsid w:val="005075F8"/>
    <w:rsid w:val="00510A9A"/>
    <w:rsid w:val="00511B8B"/>
    <w:rsid w:val="005121B0"/>
    <w:rsid w:val="00513023"/>
    <w:rsid w:val="00514CC5"/>
    <w:rsid w:val="00514F41"/>
    <w:rsid w:val="00515643"/>
    <w:rsid w:val="00515822"/>
    <w:rsid w:val="00516135"/>
    <w:rsid w:val="005175D6"/>
    <w:rsid w:val="00517B21"/>
    <w:rsid w:val="00517DE8"/>
    <w:rsid w:val="00521751"/>
    <w:rsid w:val="00522336"/>
    <w:rsid w:val="00531DE4"/>
    <w:rsid w:val="00533C41"/>
    <w:rsid w:val="005360C7"/>
    <w:rsid w:val="005402FA"/>
    <w:rsid w:val="005440A5"/>
    <w:rsid w:val="0054450B"/>
    <w:rsid w:val="00544D36"/>
    <w:rsid w:val="0054521E"/>
    <w:rsid w:val="0055014D"/>
    <w:rsid w:val="00553CBD"/>
    <w:rsid w:val="00555BA3"/>
    <w:rsid w:val="00556211"/>
    <w:rsid w:val="00556492"/>
    <w:rsid w:val="0055649C"/>
    <w:rsid w:val="00556967"/>
    <w:rsid w:val="00557B11"/>
    <w:rsid w:val="00560A89"/>
    <w:rsid w:val="00560DB1"/>
    <w:rsid w:val="005632E5"/>
    <w:rsid w:val="0056364D"/>
    <w:rsid w:val="00563805"/>
    <w:rsid w:val="00563BFF"/>
    <w:rsid w:val="00563C84"/>
    <w:rsid w:val="0056702A"/>
    <w:rsid w:val="00570A08"/>
    <w:rsid w:val="005722DE"/>
    <w:rsid w:val="00575C74"/>
    <w:rsid w:val="00576D71"/>
    <w:rsid w:val="0058045B"/>
    <w:rsid w:val="00580A67"/>
    <w:rsid w:val="005830AD"/>
    <w:rsid w:val="0058358E"/>
    <w:rsid w:val="00584E20"/>
    <w:rsid w:val="00585819"/>
    <w:rsid w:val="0058591B"/>
    <w:rsid w:val="00585F1B"/>
    <w:rsid w:val="00587E7C"/>
    <w:rsid w:val="00590397"/>
    <w:rsid w:val="0059183F"/>
    <w:rsid w:val="0059292A"/>
    <w:rsid w:val="00596443"/>
    <w:rsid w:val="005964F6"/>
    <w:rsid w:val="005976CD"/>
    <w:rsid w:val="00597917"/>
    <w:rsid w:val="005A0180"/>
    <w:rsid w:val="005A0CE6"/>
    <w:rsid w:val="005A229B"/>
    <w:rsid w:val="005A2509"/>
    <w:rsid w:val="005A3343"/>
    <w:rsid w:val="005A4A7B"/>
    <w:rsid w:val="005A580A"/>
    <w:rsid w:val="005A79C2"/>
    <w:rsid w:val="005B045B"/>
    <w:rsid w:val="005B0953"/>
    <w:rsid w:val="005B3019"/>
    <w:rsid w:val="005B3A55"/>
    <w:rsid w:val="005B4572"/>
    <w:rsid w:val="005B5D12"/>
    <w:rsid w:val="005B64A7"/>
    <w:rsid w:val="005B6670"/>
    <w:rsid w:val="005B71C0"/>
    <w:rsid w:val="005B7441"/>
    <w:rsid w:val="005C135C"/>
    <w:rsid w:val="005C23C6"/>
    <w:rsid w:val="005C2696"/>
    <w:rsid w:val="005C3A47"/>
    <w:rsid w:val="005C48BA"/>
    <w:rsid w:val="005C4919"/>
    <w:rsid w:val="005C4CEA"/>
    <w:rsid w:val="005C5186"/>
    <w:rsid w:val="005C5AB3"/>
    <w:rsid w:val="005C6292"/>
    <w:rsid w:val="005D0608"/>
    <w:rsid w:val="005D251F"/>
    <w:rsid w:val="005D46D3"/>
    <w:rsid w:val="005D49FF"/>
    <w:rsid w:val="005D5749"/>
    <w:rsid w:val="005D76B6"/>
    <w:rsid w:val="005E0665"/>
    <w:rsid w:val="005E392C"/>
    <w:rsid w:val="005E39CA"/>
    <w:rsid w:val="005E4BCC"/>
    <w:rsid w:val="005E6468"/>
    <w:rsid w:val="005F04F5"/>
    <w:rsid w:val="005F0797"/>
    <w:rsid w:val="005F422F"/>
    <w:rsid w:val="005F4C14"/>
    <w:rsid w:val="005F6553"/>
    <w:rsid w:val="0060102D"/>
    <w:rsid w:val="00601152"/>
    <w:rsid w:val="00603988"/>
    <w:rsid w:val="00603D58"/>
    <w:rsid w:val="00604752"/>
    <w:rsid w:val="00604BBF"/>
    <w:rsid w:val="00606505"/>
    <w:rsid w:val="006100E2"/>
    <w:rsid w:val="00610E79"/>
    <w:rsid w:val="00611341"/>
    <w:rsid w:val="00613420"/>
    <w:rsid w:val="00613DC2"/>
    <w:rsid w:val="00614047"/>
    <w:rsid w:val="00614627"/>
    <w:rsid w:val="00614B54"/>
    <w:rsid w:val="00614C82"/>
    <w:rsid w:val="006151B8"/>
    <w:rsid w:val="00615697"/>
    <w:rsid w:val="0061635E"/>
    <w:rsid w:val="006172B0"/>
    <w:rsid w:val="006175B2"/>
    <w:rsid w:val="00620537"/>
    <w:rsid w:val="006212AD"/>
    <w:rsid w:val="006218C6"/>
    <w:rsid w:val="00621E09"/>
    <w:rsid w:val="00622C62"/>
    <w:rsid w:val="00622CCA"/>
    <w:rsid w:val="00624D4B"/>
    <w:rsid w:val="00624ECD"/>
    <w:rsid w:val="00625B6C"/>
    <w:rsid w:val="0062677B"/>
    <w:rsid w:val="00626AF0"/>
    <w:rsid w:val="00627CD3"/>
    <w:rsid w:val="00630420"/>
    <w:rsid w:val="006306EF"/>
    <w:rsid w:val="00630CC3"/>
    <w:rsid w:val="00631B42"/>
    <w:rsid w:val="00633B8C"/>
    <w:rsid w:val="00636A0C"/>
    <w:rsid w:val="00637137"/>
    <w:rsid w:val="00637C0C"/>
    <w:rsid w:val="00640C1F"/>
    <w:rsid w:val="006410F9"/>
    <w:rsid w:val="006416A3"/>
    <w:rsid w:val="00641865"/>
    <w:rsid w:val="00642F7E"/>
    <w:rsid w:val="00644E6C"/>
    <w:rsid w:val="0064658E"/>
    <w:rsid w:val="00647C7D"/>
    <w:rsid w:val="00647C89"/>
    <w:rsid w:val="00647F70"/>
    <w:rsid w:val="00650499"/>
    <w:rsid w:val="00650C4A"/>
    <w:rsid w:val="00651095"/>
    <w:rsid w:val="00653A44"/>
    <w:rsid w:val="006543C8"/>
    <w:rsid w:val="00655141"/>
    <w:rsid w:val="0065629E"/>
    <w:rsid w:val="00657349"/>
    <w:rsid w:val="00657967"/>
    <w:rsid w:val="00657B10"/>
    <w:rsid w:val="00661436"/>
    <w:rsid w:val="00662CB8"/>
    <w:rsid w:val="00663132"/>
    <w:rsid w:val="00663B64"/>
    <w:rsid w:val="00664ADC"/>
    <w:rsid w:val="006651D1"/>
    <w:rsid w:val="00665CB1"/>
    <w:rsid w:val="00670129"/>
    <w:rsid w:val="00671233"/>
    <w:rsid w:val="00672679"/>
    <w:rsid w:val="00672BDA"/>
    <w:rsid w:val="00674B28"/>
    <w:rsid w:val="006774D6"/>
    <w:rsid w:val="00684E59"/>
    <w:rsid w:val="006854BB"/>
    <w:rsid w:val="00685D17"/>
    <w:rsid w:val="00685D2B"/>
    <w:rsid w:val="00687BEB"/>
    <w:rsid w:val="006901D9"/>
    <w:rsid w:val="00690AA1"/>
    <w:rsid w:val="006931AB"/>
    <w:rsid w:val="006932E3"/>
    <w:rsid w:val="00693787"/>
    <w:rsid w:val="006950DC"/>
    <w:rsid w:val="00695AD4"/>
    <w:rsid w:val="006961EA"/>
    <w:rsid w:val="006A067E"/>
    <w:rsid w:val="006A29AB"/>
    <w:rsid w:val="006A51C9"/>
    <w:rsid w:val="006A6781"/>
    <w:rsid w:val="006A67B5"/>
    <w:rsid w:val="006A6969"/>
    <w:rsid w:val="006A7EC1"/>
    <w:rsid w:val="006A7F22"/>
    <w:rsid w:val="006B09FA"/>
    <w:rsid w:val="006B1D4C"/>
    <w:rsid w:val="006B27F9"/>
    <w:rsid w:val="006B2B68"/>
    <w:rsid w:val="006B2C42"/>
    <w:rsid w:val="006B2DFE"/>
    <w:rsid w:val="006B3767"/>
    <w:rsid w:val="006B5209"/>
    <w:rsid w:val="006B57B8"/>
    <w:rsid w:val="006B6321"/>
    <w:rsid w:val="006B637A"/>
    <w:rsid w:val="006B6B2D"/>
    <w:rsid w:val="006B7AFA"/>
    <w:rsid w:val="006C0143"/>
    <w:rsid w:val="006C017A"/>
    <w:rsid w:val="006C0737"/>
    <w:rsid w:val="006C1184"/>
    <w:rsid w:val="006C15F2"/>
    <w:rsid w:val="006C1E97"/>
    <w:rsid w:val="006C2B11"/>
    <w:rsid w:val="006C2B83"/>
    <w:rsid w:val="006C30AE"/>
    <w:rsid w:val="006C3BE1"/>
    <w:rsid w:val="006C7199"/>
    <w:rsid w:val="006C7440"/>
    <w:rsid w:val="006D03E4"/>
    <w:rsid w:val="006D1894"/>
    <w:rsid w:val="006D1B13"/>
    <w:rsid w:val="006D31D8"/>
    <w:rsid w:val="006D35A1"/>
    <w:rsid w:val="006D4567"/>
    <w:rsid w:val="006D4915"/>
    <w:rsid w:val="006D7A91"/>
    <w:rsid w:val="006E209F"/>
    <w:rsid w:val="006E32DB"/>
    <w:rsid w:val="006E3515"/>
    <w:rsid w:val="006E3FA9"/>
    <w:rsid w:val="006E3FD2"/>
    <w:rsid w:val="006E42D3"/>
    <w:rsid w:val="006E50DA"/>
    <w:rsid w:val="006E5A9A"/>
    <w:rsid w:val="006F0AC6"/>
    <w:rsid w:val="006F0E95"/>
    <w:rsid w:val="006F10C4"/>
    <w:rsid w:val="006F1ED3"/>
    <w:rsid w:val="006F23BA"/>
    <w:rsid w:val="006F3CB1"/>
    <w:rsid w:val="006F5BDA"/>
    <w:rsid w:val="007004B9"/>
    <w:rsid w:val="0070067F"/>
    <w:rsid w:val="00700C2F"/>
    <w:rsid w:val="00701755"/>
    <w:rsid w:val="00701B3F"/>
    <w:rsid w:val="00702531"/>
    <w:rsid w:val="00702A74"/>
    <w:rsid w:val="0070591F"/>
    <w:rsid w:val="00707B8D"/>
    <w:rsid w:val="007104A7"/>
    <w:rsid w:val="00711BA1"/>
    <w:rsid w:val="00712A95"/>
    <w:rsid w:val="00714E25"/>
    <w:rsid w:val="0071639E"/>
    <w:rsid w:val="00717734"/>
    <w:rsid w:val="00717D4F"/>
    <w:rsid w:val="0072039B"/>
    <w:rsid w:val="00720FFB"/>
    <w:rsid w:val="00721D34"/>
    <w:rsid w:val="00721FE1"/>
    <w:rsid w:val="00723531"/>
    <w:rsid w:val="0072443A"/>
    <w:rsid w:val="007249A0"/>
    <w:rsid w:val="0072721B"/>
    <w:rsid w:val="00727A7B"/>
    <w:rsid w:val="00730922"/>
    <w:rsid w:val="00732937"/>
    <w:rsid w:val="00732D42"/>
    <w:rsid w:val="00733E6E"/>
    <w:rsid w:val="00735627"/>
    <w:rsid w:val="00735CD8"/>
    <w:rsid w:val="00736F15"/>
    <w:rsid w:val="007417A4"/>
    <w:rsid w:val="0074254E"/>
    <w:rsid w:val="00742F34"/>
    <w:rsid w:val="00743BAE"/>
    <w:rsid w:val="0074480F"/>
    <w:rsid w:val="007454F5"/>
    <w:rsid w:val="00745A69"/>
    <w:rsid w:val="007509CC"/>
    <w:rsid w:val="00752A2B"/>
    <w:rsid w:val="007536F5"/>
    <w:rsid w:val="00753D7F"/>
    <w:rsid w:val="00754EEB"/>
    <w:rsid w:val="00755B08"/>
    <w:rsid w:val="007570AE"/>
    <w:rsid w:val="007575C2"/>
    <w:rsid w:val="00761BB1"/>
    <w:rsid w:val="00762607"/>
    <w:rsid w:val="00765B12"/>
    <w:rsid w:val="00770801"/>
    <w:rsid w:val="00770AC8"/>
    <w:rsid w:val="00771222"/>
    <w:rsid w:val="00772466"/>
    <w:rsid w:val="00772675"/>
    <w:rsid w:val="007728ED"/>
    <w:rsid w:val="00772D7A"/>
    <w:rsid w:val="00773AB0"/>
    <w:rsid w:val="0077458E"/>
    <w:rsid w:val="00780DDD"/>
    <w:rsid w:val="00780FCC"/>
    <w:rsid w:val="00781DAF"/>
    <w:rsid w:val="00783746"/>
    <w:rsid w:val="007845BB"/>
    <w:rsid w:val="00785DC1"/>
    <w:rsid w:val="00785E88"/>
    <w:rsid w:val="00786FE1"/>
    <w:rsid w:val="00791CB4"/>
    <w:rsid w:val="00793757"/>
    <w:rsid w:val="007944FE"/>
    <w:rsid w:val="007949C2"/>
    <w:rsid w:val="007963AA"/>
    <w:rsid w:val="00797CF8"/>
    <w:rsid w:val="007A09E2"/>
    <w:rsid w:val="007A0D21"/>
    <w:rsid w:val="007A2ADB"/>
    <w:rsid w:val="007A2F11"/>
    <w:rsid w:val="007A466D"/>
    <w:rsid w:val="007A5855"/>
    <w:rsid w:val="007A61B8"/>
    <w:rsid w:val="007A6724"/>
    <w:rsid w:val="007A6D25"/>
    <w:rsid w:val="007A769A"/>
    <w:rsid w:val="007A79DA"/>
    <w:rsid w:val="007A7F49"/>
    <w:rsid w:val="007B0977"/>
    <w:rsid w:val="007B191C"/>
    <w:rsid w:val="007B27DA"/>
    <w:rsid w:val="007B356A"/>
    <w:rsid w:val="007B4A94"/>
    <w:rsid w:val="007B70E3"/>
    <w:rsid w:val="007B75A9"/>
    <w:rsid w:val="007B798F"/>
    <w:rsid w:val="007C0C05"/>
    <w:rsid w:val="007C1DEE"/>
    <w:rsid w:val="007C29D5"/>
    <w:rsid w:val="007C4A44"/>
    <w:rsid w:val="007C6018"/>
    <w:rsid w:val="007C7468"/>
    <w:rsid w:val="007C7C4A"/>
    <w:rsid w:val="007D0ACD"/>
    <w:rsid w:val="007D137A"/>
    <w:rsid w:val="007D1477"/>
    <w:rsid w:val="007D325C"/>
    <w:rsid w:val="007D3E93"/>
    <w:rsid w:val="007D4ED5"/>
    <w:rsid w:val="007D5390"/>
    <w:rsid w:val="007E13F3"/>
    <w:rsid w:val="007E1666"/>
    <w:rsid w:val="007E1675"/>
    <w:rsid w:val="007E2E72"/>
    <w:rsid w:val="007E7809"/>
    <w:rsid w:val="007F29DA"/>
    <w:rsid w:val="007F3190"/>
    <w:rsid w:val="007F399E"/>
    <w:rsid w:val="008018C1"/>
    <w:rsid w:val="00801CCD"/>
    <w:rsid w:val="008036E5"/>
    <w:rsid w:val="008051AF"/>
    <w:rsid w:val="00805473"/>
    <w:rsid w:val="00805D4B"/>
    <w:rsid w:val="00806F54"/>
    <w:rsid w:val="008071FE"/>
    <w:rsid w:val="00811056"/>
    <w:rsid w:val="00813E0B"/>
    <w:rsid w:val="00814AD8"/>
    <w:rsid w:val="008156C4"/>
    <w:rsid w:val="008213CF"/>
    <w:rsid w:val="00822EF6"/>
    <w:rsid w:val="00824215"/>
    <w:rsid w:val="008245BF"/>
    <w:rsid w:val="00825018"/>
    <w:rsid w:val="00825136"/>
    <w:rsid w:val="008259F6"/>
    <w:rsid w:val="008263AE"/>
    <w:rsid w:val="00827622"/>
    <w:rsid w:val="00827C53"/>
    <w:rsid w:val="00832967"/>
    <w:rsid w:val="00833105"/>
    <w:rsid w:val="00834EF9"/>
    <w:rsid w:val="00835D1E"/>
    <w:rsid w:val="00837A85"/>
    <w:rsid w:val="008406D9"/>
    <w:rsid w:val="00840F97"/>
    <w:rsid w:val="00846348"/>
    <w:rsid w:val="008466DD"/>
    <w:rsid w:val="00847440"/>
    <w:rsid w:val="00851778"/>
    <w:rsid w:val="008519E0"/>
    <w:rsid w:val="00851CC7"/>
    <w:rsid w:val="0085291D"/>
    <w:rsid w:val="00852DA0"/>
    <w:rsid w:val="0085483E"/>
    <w:rsid w:val="00854EDF"/>
    <w:rsid w:val="00855323"/>
    <w:rsid w:val="00856740"/>
    <w:rsid w:val="00861923"/>
    <w:rsid w:val="00862326"/>
    <w:rsid w:val="008632F8"/>
    <w:rsid w:val="00864BC8"/>
    <w:rsid w:val="00864E8A"/>
    <w:rsid w:val="00865C8A"/>
    <w:rsid w:val="00865F0A"/>
    <w:rsid w:val="0086646B"/>
    <w:rsid w:val="00867178"/>
    <w:rsid w:val="008679F2"/>
    <w:rsid w:val="00867A00"/>
    <w:rsid w:val="00867B5A"/>
    <w:rsid w:val="00870437"/>
    <w:rsid w:val="00871F49"/>
    <w:rsid w:val="008722A8"/>
    <w:rsid w:val="008736EA"/>
    <w:rsid w:val="00876ECD"/>
    <w:rsid w:val="00877524"/>
    <w:rsid w:val="00880110"/>
    <w:rsid w:val="008815AF"/>
    <w:rsid w:val="0088162B"/>
    <w:rsid w:val="00881AC4"/>
    <w:rsid w:val="00882001"/>
    <w:rsid w:val="00882597"/>
    <w:rsid w:val="00882CAF"/>
    <w:rsid w:val="00883213"/>
    <w:rsid w:val="00883B28"/>
    <w:rsid w:val="008852C2"/>
    <w:rsid w:val="00890191"/>
    <w:rsid w:val="00890345"/>
    <w:rsid w:val="00890F61"/>
    <w:rsid w:val="008943CD"/>
    <w:rsid w:val="008948C3"/>
    <w:rsid w:val="00894FF0"/>
    <w:rsid w:val="00895BF4"/>
    <w:rsid w:val="00895E70"/>
    <w:rsid w:val="00896E4A"/>
    <w:rsid w:val="008A32EE"/>
    <w:rsid w:val="008A629A"/>
    <w:rsid w:val="008A6410"/>
    <w:rsid w:val="008A7668"/>
    <w:rsid w:val="008B09C7"/>
    <w:rsid w:val="008B31C4"/>
    <w:rsid w:val="008B3F4E"/>
    <w:rsid w:val="008B408E"/>
    <w:rsid w:val="008B5F86"/>
    <w:rsid w:val="008B6914"/>
    <w:rsid w:val="008B7946"/>
    <w:rsid w:val="008C0534"/>
    <w:rsid w:val="008C0898"/>
    <w:rsid w:val="008C13AB"/>
    <w:rsid w:val="008C21B4"/>
    <w:rsid w:val="008C3A07"/>
    <w:rsid w:val="008C4DDB"/>
    <w:rsid w:val="008C5274"/>
    <w:rsid w:val="008C5DA4"/>
    <w:rsid w:val="008C6FBB"/>
    <w:rsid w:val="008D09AD"/>
    <w:rsid w:val="008D2692"/>
    <w:rsid w:val="008D3EC3"/>
    <w:rsid w:val="008D3FB8"/>
    <w:rsid w:val="008D54F1"/>
    <w:rsid w:val="008D5CBF"/>
    <w:rsid w:val="008E0F45"/>
    <w:rsid w:val="008E147A"/>
    <w:rsid w:val="008E3071"/>
    <w:rsid w:val="008E4093"/>
    <w:rsid w:val="008E4743"/>
    <w:rsid w:val="008E5757"/>
    <w:rsid w:val="008E6560"/>
    <w:rsid w:val="008E6AA5"/>
    <w:rsid w:val="008F2B8E"/>
    <w:rsid w:val="008F6C04"/>
    <w:rsid w:val="008F780B"/>
    <w:rsid w:val="008F784E"/>
    <w:rsid w:val="0090012C"/>
    <w:rsid w:val="00901E8A"/>
    <w:rsid w:val="00902CBB"/>
    <w:rsid w:val="00906A15"/>
    <w:rsid w:val="0090769E"/>
    <w:rsid w:val="00910440"/>
    <w:rsid w:val="00912CF8"/>
    <w:rsid w:val="0091354A"/>
    <w:rsid w:val="00914B93"/>
    <w:rsid w:val="00914C30"/>
    <w:rsid w:val="00914CD8"/>
    <w:rsid w:val="00915CF8"/>
    <w:rsid w:val="00921028"/>
    <w:rsid w:val="009213BC"/>
    <w:rsid w:val="00922973"/>
    <w:rsid w:val="00923063"/>
    <w:rsid w:val="009248BF"/>
    <w:rsid w:val="00924C7A"/>
    <w:rsid w:val="00927804"/>
    <w:rsid w:val="009303DB"/>
    <w:rsid w:val="00932544"/>
    <w:rsid w:val="00932612"/>
    <w:rsid w:val="009327CC"/>
    <w:rsid w:val="009333EF"/>
    <w:rsid w:val="0093455D"/>
    <w:rsid w:val="00937675"/>
    <w:rsid w:val="009379EF"/>
    <w:rsid w:val="00941255"/>
    <w:rsid w:val="0094136C"/>
    <w:rsid w:val="0094224E"/>
    <w:rsid w:val="0094250F"/>
    <w:rsid w:val="009430BC"/>
    <w:rsid w:val="009432E9"/>
    <w:rsid w:val="0094341F"/>
    <w:rsid w:val="00943FAF"/>
    <w:rsid w:val="009444ED"/>
    <w:rsid w:val="00946012"/>
    <w:rsid w:val="009462BB"/>
    <w:rsid w:val="009469C6"/>
    <w:rsid w:val="009470A3"/>
    <w:rsid w:val="009471F6"/>
    <w:rsid w:val="00947A24"/>
    <w:rsid w:val="00950A44"/>
    <w:rsid w:val="00950D93"/>
    <w:rsid w:val="009512B4"/>
    <w:rsid w:val="009521D4"/>
    <w:rsid w:val="009523C7"/>
    <w:rsid w:val="00952E0E"/>
    <w:rsid w:val="00952FC5"/>
    <w:rsid w:val="0095414C"/>
    <w:rsid w:val="009542A6"/>
    <w:rsid w:val="009548B6"/>
    <w:rsid w:val="009557D2"/>
    <w:rsid w:val="009561E8"/>
    <w:rsid w:val="0095718B"/>
    <w:rsid w:val="00957C31"/>
    <w:rsid w:val="00963DAB"/>
    <w:rsid w:val="00965796"/>
    <w:rsid w:val="00965AD7"/>
    <w:rsid w:val="00965CE9"/>
    <w:rsid w:val="00965DE0"/>
    <w:rsid w:val="009708CA"/>
    <w:rsid w:val="00970A32"/>
    <w:rsid w:val="0097130C"/>
    <w:rsid w:val="009758BE"/>
    <w:rsid w:val="00976321"/>
    <w:rsid w:val="00977F97"/>
    <w:rsid w:val="00980876"/>
    <w:rsid w:val="0098119F"/>
    <w:rsid w:val="009827BE"/>
    <w:rsid w:val="009839EB"/>
    <w:rsid w:val="009840C1"/>
    <w:rsid w:val="0098497A"/>
    <w:rsid w:val="0098499D"/>
    <w:rsid w:val="00985711"/>
    <w:rsid w:val="0098666A"/>
    <w:rsid w:val="0098700E"/>
    <w:rsid w:val="009875AE"/>
    <w:rsid w:val="00987CCF"/>
    <w:rsid w:val="00991828"/>
    <w:rsid w:val="00992E82"/>
    <w:rsid w:val="00993241"/>
    <w:rsid w:val="009934F4"/>
    <w:rsid w:val="00993ABC"/>
    <w:rsid w:val="00995997"/>
    <w:rsid w:val="00996F61"/>
    <w:rsid w:val="00997D92"/>
    <w:rsid w:val="009A03B1"/>
    <w:rsid w:val="009A03B8"/>
    <w:rsid w:val="009A06C8"/>
    <w:rsid w:val="009A13C7"/>
    <w:rsid w:val="009A1C30"/>
    <w:rsid w:val="009A2231"/>
    <w:rsid w:val="009A2694"/>
    <w:rsid w:val="009A3170"/>
    <w:rsid w:val="009A3734"/>
    <w:rsid w:val="009A47F6"/>
    <w:rsid w:val="009A6D70"/>
    <w:rsid w:val="009A789D"/>
    <w:rsid w:val="009B035F"/>
    <w:rsid w:val="009B0984"/>
    <w:rsid w:val="009B0B1D"/>
    <w:rsid w:val="009B24C6"/>
    <w:rsid w:val="009B272E"/>
    <w:rsid w:val="009B376C"/>
    <w:rsid w:val="009B37F0"/>
    <w:rsid w:val="009B4230"/>
    <w:rsid w:val="009B510A"/>
    <w:rsid w:val="009B511B"/>
    <w:rsid w:val="009B648B"/>
    <w:rsid w:val="009C014B"/>
    <w:rsid w:val="009C05C8"/>
    <w:rsid w:val="009C0951"/>
    <w:rsid w:val="009C0960"/>
    <w:rsid w:val="009C217A"/>
    <w:rsid w:val="009C2583"/>
    <w:rsid w:val="009C4320"/>
    <w:rsid w:val="009C51A9"/>
    <w:rsid w:val="009C5FF0"/>
    <w:rsid w:val="009C763C"/>
    <w:rsid w:val="009D110C"/>
    <w:rsid w:val="009D1327"/>
    <w:rsid w:val="009D163D"/>
    <w:rsid w:val="009D19B5"/>
    <w:rsid w:val="009D2D07"/>
    <w:rsid w:val="009D386A"/>
    <w:rsid w:val="009D3EB0"/>
    <w:rsid w:val="009D4497"/>
    <w:rsid w:val="009D6346"/>
    <w:rsid w:val="009D6570"/>
    <w:rsid w:val="009D790A"/>
    <w:rsid w:val="009D7C7F"/>
    <w:rsid w:val="009E19BF"/>
    <w:rsid w:val="009E2379"/>
    <w:rsid w:val="009E34E9"/>
    <w:rsid w:val="009E3768"/>
    <w:rsid w:val="009E4378"/>
    <w:rsid w:val="009E45B1"/>
    <w:rsid w:val="009F0551"/>
    <w:rsid w:val="009F093C"/>
    <w:rsid w:val="009F1AF1"/>
    <w:rsid w:val="009F3742"/>
    <w:rsid w:val="009F4B17"/>
    <w:rsid w:val="009F563B"/>
    <w:rsid w:val="009F61CC"/>
    <w:rsid w:val="009F699E"/>
    <w:rsid w:val="009F6E69"/>
    <w:rsid w:val="009F7F67"/>
    <w:rsid w:val="00A01DE9"/>
    <w:rsid w:val="00A03CCB"/>
    <w:rsid w:val="00A051BC"/>
    <w:rsid w:val="00A0640F"/>
    <w:rsid w:val="00A06775"/>
    <w:rsid w:val="00A073F8"/>
    <w:rsid w:val="00A075E2"/>
    <w:rsid w:val="00A07A53"/>
    <w:rsid w:val="00A07D2B"/>
    <w:rsid w:val="00A12799"/>
    <w:rsid w:val="00A12963"/>
    <w:rsid w:val="00A13D23"/>
    <w:rsid w:val="00A1402E"/>
    <w:rsid w:val="00A14DAB"/>
    <w:rsid w:val="00A16631"/>
    <w:rsid w:val="00A16F87"/>
    <w:rsid w:val="00A20E13"/>
    <w:rsid w:val="00A2114F"/>
    <w:rsid w:val="00A21372"/>
    <w:rsid w:val="00A21712"/>
    <w:rsid w:val="00A21B66"/>
    <w:rsid w:val="00A22C75"/>
    <w:rsid w:val="00A22FED"/>
    <w:rsid w:val="00A234A7"/>
    <w:rsid w:val="00A23521"/>
    <w:rsid w:val="00A239B3"/>
    <w:rsid w:val="00A2457D"/>
    <w:rsid w:val="00A256DA"/>
    <w:rsid w:val="00A26082"/>
    <w:rsid w:val="00A26609"/>
    <w:rsid w:val="00A27F8D"/>
    <w:rsid w:val="00A30FA2"/>
    <w:rsid w:val="00A33778"/>
    <w:rsid w:val="00A338A2"/>
    <w:rsid w:val="00A34527"/>
    <w:rsid w:val="00A347AB"/>
    <w:rsid w:val="00A35649"/>
    <w:rsid w:val="00A40734"/>
    <w:rsid w:val="00A40EBD"/>
    <w:rsid w:val="00A414EF"/>
    <w:rsid w:val="00A419EF"/>
    <w:rsid w:val="00A42B54"/>
    <w:rsid w:val="00A43EFA"/>
    <w:rsid w:val="00A44113"/>
    <w:rsid w:val="00A44CE3"/>
    <w:rsid w:val="00A457D5"/>
    <w:rsid w:val="00A46E10"/>
    <w:rsid w:val="00A544F7"/>
    <w:rsid w:val="00A55136"/>
    <w:rsid w:val="00A5539C"/>
    <w:rsid w:val="00A60771"/>
    <w:rsid w:val="00A60ECF"/>
    <w:rsid w:val="00A61DC6"/>
    <w:rsid w:val="00A64282"/>
    <w:rsid w:val="00A65097"/>
    <w:rsid w:val="00A65CB4"/>
    <w:rsid w:val="00A65D1D"/>
    <w:rsid w:val="00A66B5F"/>
    <w:rsid w:val="00A7064C"/>
    <w:rsid w:val="00A70D48"/>
    <w:rsid w:val="00A71D8E"/>
    <w:rsid w:val="00A72505"/>
    <w:rsid w:val="00A728AC"/>
    <w:rsid w:val="00A72BDB"/>
    <w:rsid w:val="00A73D4F"/>
    <w:rsid w:val="00A73F39"/>
    <w:rsid w:val="00A7498E"/>
    <w:rsid w:val="00A74999"/>
    <w:rsid w:val="00A7578D"/>
    <w:rsid w:val="00A76351"/>
    <w:rsid w:val="00A77EEE"/>
    <w:rsid w:val="00A81740"/>
    <w:rsid w:val="00A81A5A"/>
    <w:rsid w:val="00A81BC4"/>
    <w:rsid w:val="00A82FF5"/>
    <w:rsid w:val="00A83883"/>
    <w:rsid w:val="00A839A1"/>
    <w:rsid w:val="00A83E91"/>
    <w:rsid w:val="00A8570E"/>
    <w:rsid w:val="00A906C0"/>
    <w:rsid w:val="00A90AE9"/>
    <w:rsid w:val="00A90F7A"/>
    <w:rsid w:val="00A9132C"/>
    <w:rsid w:val="00A91A4E"/>
    <w:rsid w:val="00A927DE"/>
    <w:rsid w:val="00A92F2F"/>
    <w:rsid w:val="00A941F3"/>
    <w:rsid w:val="00A9482E"/>
    <w:rsid w:val="00A968F2"/>
    <w:rsid w:val="00A97826"/>
    <w:rsid w:val="00AA052C"/>
    <w:rsid w:val="00AA1D42"/>
    <w:rsid w:val="00AA1D9B"/>
    <w:rsid w:val="00AA3016"/>
    <w:rsid w:val="00AA37EB"/>
    <w:rsid w:val="00AA4255"/>
    <w:rsid w:val="00AA5B37"/>
    <w:rsid w:val="00AA5CA0"/>
    <w:rsid w:val="00AA6C65"/>
    <w:rsid w:val="00AA6FEF"/>
    <w:rsid w:val="00AA742C"/>
    <w:rsid w:val="00AA7AEE"/>
    <w:rsid w:val="00AA7AF7"/>
    <w:rsid w:val="00AB0D79"/>
    <w:rsid w:val="00AB1AFA"/>
    <w:rsid w:val="00AB1D57"/>
    <w:rsid w:val="00AB324D"/>
    <w:rsid w:val="00AB59E1"/>
    <w:rsid w:val="00AC099D"/>
    <w:rsid w:val="00AC257B"/>
    <w:rsid w:val="00AC3FF8"/>
    <w:rsid w:val="00AC4EFB"/>
    <w:rsid w:val="00AC6286"/>
    <w:rsid w:val="00AC63E4"/>
    <w:rsid w:val="00AC66ED"/>
    <w:rsid w:val="00AD1118"/>
    <w:rsid w:val="00AD120E"/>
    <w:rsid w:val="00AD2110"/>
    <w:rsid w:val="00AD4298"/>
    <w:rsid w:val="00AD4658"/>
    <w:rsid w:val="00AD47DB"/>
    <w:rsid w:val="00AD5173"/>
    <w:rsid w:val="00AD5550"/>
    <w:rsid w:val="00AD5B9B"/>
    <w:rsid w:val="00AD6576"/>
    <w:rsid w:val="00AE3325"/>
    <w:rsid w:val="00AE4638"/>
    <w:rsid w:val="00AE6E96"/>
    <w:rsid w:val="00AE7867"/>
    <w:rsid w:val="00AE7B25"/>
    <w:rsid w:val="00AE7C91"/>
    <w:rsid w:val="00AF0387"/>
    <w:rsid w:val="00AF03D1"/>
    <w:rsid w:val="00AF048F"/>
    <w:rsid w:val="00AF080E"/>
    <w:rsid w:val="00AF1ECB"/>
    <w:rsid w:val="00AF21F7"/>
    <w:rsid w:val="00AF260E"/>
    <w:rsid w:val="00AF2716"/>
    <w:rsid w:val="00AF2FD9"/>
    <w:rsid w:val="00AF51A1"/>
    <w:rsid w:val="00AF5291"/>
    <w:rsid w:val="00AF5324"/>
    <w:rsid w:val="00AF5CB9"/>
    <w:rsid w:val="00AF71B2"/>
    <w:rsid w:val="00AF7C45"/>
    <w:rsid w:val="00B00DE1"/>
    <w:rsid w:val="00B020AB"/>
    <w:rsid w:val="00B0229E"/>
    <w:rsid w:val="00B0348B"/>
    <w:rsid w:val="00B03912"/>
    <w:rsid w:val="00B04D52"/>
    <w:rsid w:val="00B064AA"/>
    <w:rsid w:val="00B078D6"/>
    <w:rsid w:val="00B11FB3"/>
    <w:rsid w:val="00B12134"/>
    <w:rsid w:val="00B1214C"/>
    <w:rsid w:val="00B12526"/>
    <w:rsid w:val="00B13345"/>
    <w:rsid w:val="00B13D5F"/>
    <w:rsid w:val="00B1464D"/>
    <w:rsid w:val="00B14D8C"/>
    <w:rsid w:val="00B164B5"/>
    <w:rsid w:val="00B16BEC"/>
    <w:rsid w:val="00B17763"/>
    <w:rsid w:val="00B17866"/>
    <w:rsid w:val="00B17E6C"/>
    <w:rsid w:val="00B2016E"/>
    <w:rsid w:val="00B210BB"/>
    <w:rsid w:val="00B211EE"/>
    <w:rsid w:val="00B21882"/>
    <w:rsid w:val="00B21DD5"/>
    <w:rsid w:val="00B22399"/>
    <w:rsid w:val="00B23209"/>
    <w:rsid w:val="00B23408"/>
    <w:rsid w:val="00B24999"/>
    <w:rsid w:val="00B25DC4"/>
    <w:rsid w:val="00B30AA4"/>
    <w:rsid w:val="00B313A9"/>
    <w:rsid w:val="00B32295"/>
    <w:rsid w:val="00B3510F"/>
    <w:rsid w:val="00B3634E"/>
    <w:rsid w:val="00B370FD"/>
    <w:rsid w:val="00B37B18"/>
    <w:rsid w:val="00B425B9"/>
    <w:rsid w:val="00B4508D"/>
    <w:rsid w:val="00B463A5"/>
    <w:rsid w:val="00B517EB"/>
    <w:rsid w:val="00B51825"/>
    <w:rsid w:val="00B53502"/>
    <w:rsid w:val="00B53976"/>
    <w:rsid w:val="00B55E76"/>
    <w:rsid w:val="00B56A6E"/>
    <w:rsid w:val="00B56C38"/>
    <w:rsid w:val="00B60541"/>
    <w:rsid w:val="00B615FB"/>
    <w:rsid w:val="00B634D5"/>
    <w:rsid w:val="00B65966"/>
    <w:rsid w:val="00B6616C"/>
    <w:rsid w:val="00B710AD"/>
    <w:rsid w:val="00B711C3"/>
    <w:rsid w:val="00B717C3"/>
    <w:rsid w:val="00B7218C"/>
    <w:rsid w:val="00B72329"/>
    <w:rsid w:val="00B73184"/>
    <w:rsid w:val="00B742BB"/>
    <w:rsid w:val="00B7583D"/>
    <w:rsid w:val="00B77E62"/>
    <w:rsid w:val="00B800AC"/>
    <w:rsid w:val="00B81BF7"/>
    <w:rsid w:val="00B82771"/>
    <w:rsid w:val="00B82FFE"/>
    <w:rsid w:val="00B83254"/>
    <w:rsid w:val="00B835A9"/>
    <w:rsid w:val="00B841D9"/>
    <w:rsid w:val="00B8468D"/>
    <w:rsid w:val="00B84E70"/>
    <w:rsid w:val="00B87365"/>
    <w:rsid w:val="00B87376"/>
    <w:rsid w:val="00B91428"/>
    <w:rsid w:val="00B93F62"/>
    <w:rsid w:val="00B94647"/>
    <w:rsid w:val="00B95079"/>
    <w:rsid w:val="00B95DD8"/>
    <w:rsid w:val="00B96064"/>
    <w:rsid w:val="00B967C0"/>
    <w:rsid w:val="00B971C9"/>
    <w:rsid w:val="00B97E76"/>
    <w:rsid w:val="00BA3DDD"/>
    <w:rsid w:val="00BA46F5"/>
    <w:rsid w:val="00BA4EBE"/>
    <w:rsid w:val="00BA50A6"/>
    <w:rsid w:val="00BA60C8"/>
    <w:rsid w:val="00BA70FB"/>
    <w:rsid w:val="00BA75DC"/>
    <w:rsid w:val="00BA76A0"/>
    <w:rsid w:val="00BA7B82"/>
    <w:rsid w:val="00BB0A77"/>
    <w:rsid w:val="00BB111B"/>
    <w:rsid w:val="00BB2BE5"/>
    <w:rsid w:val="00BB2C3F"/>
    <w:rsid w:val="00BB522E"/>
    <w:rsid w:val="00BC0FB2"/>
    <w:rsid w:val="00BC1C85"/>
    <w:rsid w:val="00BC2CEE"/>
    <w:rsid w:val="00BC38A4"/>
    <w:rsid w:val="00BC3E7B"/>
    <w:rsid w:val="00BC4118"/>
    <w:rsid w:val="00BC53A7"/>
    <w:rsid w:val="00BC5590"/>
    <w:rsid w:val="00BC5A28"/>
    <w:rsid w:val="00BC6F83"/>
    <w:rsid w:val="00BC7277"/>
    <w:rsid w:val="00BC7586"/>
    <w:rsid w:val="00BD11E9"/>
    <w:rsid w:val="00BD1E18"/>
    <w:rsid w:val="00BD2608"/>
    <w:rsid w:val="00BD5201"/>
    <w:rsid w:val="00BE016B"/>
    <w:rsid w:val="00BE0B44"/>
    <w:rsid w:val="00BE0C8C"/>
    <w:rsid w:val="00BE2839"/>
    <w:rsid w:val="00BE32F5"/>
    <w:rsid w:val="00BE4481"/>
    <w:rsid w:val="00BE4921"/>
    <w:rsid w:val="00BE569A"/>
    <w:rsid w:val="00BE63EE"/>
    <w:rsid w:val="00BF06C6"/>
    <w:rsid w:val="00BF0908"/>
    <w:rsid w:val="00BF5246"/>
    <w:rsid w:val="00BF62EA"/>
    <w:rsid w:val="00BF7C2B"/>
    <w:rsid w:val="00BF7FD4"/>
    <w:rsid w:val="00C007FB"/>
    <w:rsid w:val="00C0139D"/>
    <w:rsid w:val="00C0264A"/>
    <w:rsid w:val="00C038B0"/>
    <w:rsid w:val="00C042AC"/>
    <w:rsid w:val="00C04423"/>
    <w:rsid w:val="00C04947"/>
    <w:rsid w:val="00C05549"/>
    <w:rsid w:val="00C05B82"/>
    <w:rsid w:val="00C063E9"/>
    <w:rsid w:val="00C06667"/>
    <w:rsid w:val="00C101C0"/>
    <w:rsid w:val="00C106EC"/>
    <w:rsid w:val="00C1122D"/>
    <w:rsid w:val="00C1135F"/>
    <w:rsid w:val="00C12A56"/>
    <w:rsid w:val="00C12AD7"/>
    <w:rsid w:val="00C139F0"/>
    <w:rsid w:val="00C13B06"/>
    <w:rsid w:val="00C13CE2"/>
    <w:rsid w:val="00C13D6B"/>
    <w:rsid w:val="00C14A40"/>
    <w:rsid w:val="00C15A9F"/>
    <w:rsid w:val="00C20382"/>
    <w:rsid w:val="00C2101D"/>
    <w:rsid w:val="00C22AB0"/>
    <w:rsid w:val="00C23C0F"/>
    <w:rsid w:val="00C23E60"/>
    <w:rsid w:val="00C2517A"/>
    <w:rsid w:val="00C256E6"/>
    <w:rsid w:val="00C2589B"/>
    <w:rsid w:val="00C25A5B"/>
    <w:rsid w:val="00C25C2A"/>
    <w:rsid w:val="00C2610D"/>
    <w:rsid w:val="00C2699F"/>
    <w:rsid w:val="00C26E95"/>
    <w:rsid w:val="00C2717F"/>
    <w:rsid w:val="00C27B98"/>
    <w:rsid w:val="00C30866"/>
    <w:rsid w:val="00C31AB6"/>
    <w:rsid w:val="00C325E0"/>
    <w:rsid w:val="00C337C1"/>
    <w:rsid w:val="00C34688"/>
    <w:rsid w:val="00C35650"/>
    <w:rsid w:val="00C377BD"/>
    <w:rsid w:val="00C37F90"/>
    <w:rsid w:val="00C404A5"/>
    <w:rsid w:val="00C40A08"/>
    <w:rsid w:val="00C412C0"/>
    <w:rsid w:val="00C426B6"/>
    <w:rsid w:val="00C43491"/>
    <w:rsid w:val="00C43854"/>
    <w:rsid w:val="00C45D79"/>
    <w:rsid w:val="00C467A8"/>
    <w:rsid w:val="00C4744B"/>
    <w:rsid w:val="00C559D1"/>
    <w:rsid w:val="00C5602C"/>
    <w:rsid w:val="00C56BB1"/>
    <w:rsid w:val="00C56D1F"/>
    <w:rsid w:val="00C57DF1"/>
    <w:rsid w:val="00C61CE7"/>
    <w:rsid w:val="00C64523"/>
    <w:rsid w:val="00C64A79"/>
    <w:rsid w:val="00C65263"/>
    <w:rsid w:val="00C65AF8"/>
    <w:rsid w:val="00C664D7"/>
    <w:rsid w:val="00C67680"/>
    <w:rsid w:val="00C71EC7"/>
    <w:rsid w:val="00C7258C"/>
    <w:rsid w:val="00C725E0"/>
    <w:rsid w:val="00C72BD7"/>
    <w:rsid w:val="00C73024"/>
    <w:rsid w:val="00C731C8"/>
    <w:rsid w:val="00C75038"/>
    <w:rsid w:val="00C754F8"/>
    <w:rsid w:val="00C75B26"/>
    <w:rsid w:val="00C760D7"/>
    <w:rsid w:val="00C76291"/>
    <w:rsid w:val="00C76578"/>
    <w:rsid w:val="00C767A4"/>
    <w:rsid w:val="00C7708F"/>
    <w:rsid w:val="00C77265"/>
    <w:rsid w:val="00C77A24"/>
    <w:rsid w:val="00C77E3C"/>
    <w:rsid w:val="00C81274"/>
    <w:rsid w:val="00C8272E"/>
    <w:rsid w:val="00C84CF7"/>
    <w:rsid w:val="00C852B3"/>
    <w:rsid w:val="00C90640"/>
    <w:rsid w:val="00C90CC6"/>
    <w:rsid w:val="00C91A4A"/>
    <w:rsid w:val="00C91B52"/>
    <w:rsid w:val="00C94589"/>
    <w:rsid w:val="00C95686"/>
    <w:rsid w:val="00C95794"/>
    <w:rsid w:val="00C96F94"/>
    <w:rsid w:val="00C97120"/>
    <w:rsid w:val="00C97492"/>
    <w:rsid w:val="00CA1632"/>
    <w:rsid w:val="00CA3710"/>
    <w:rsid w:val="00CA3CBF"/>
    <w:rsid w:val="00CA4B03"/>
    <w:rsid w:val="00CA578F"/>
    <w:rsid w:val="00CA58AC"/>
    <w:rsid w:val="00CA5A8D"/>
    <w:rsid w:val="00CA7181"/>
    <w:rsid w:val="00CA7B5E"/>
    <w:rsid w:val="00CB0D4B"/>
    <w:rsid w:val="00CB214F"/>
    <w:rsid w:val="00CB3CBC"/>
    <w:rsid w:val="00CB4B34"/>
    <w:rsid w:val="00CB4E0A"/>
    <w:rsid w:val="00CB5BC7"/>
    <w:rsid w:val="00CB5DC6"/>
    <w:rsid w:val="00CB6FD1"/>
    <w:rsid w:val="00CB7A03"/>
    <w:rsid w:val="00CC24D7"/>
    <w:rsid w:val="00CC2F69"/>
    <w:rsid w:val="00CC3918"/>
    <w:rsid w:val="00CC4372"/>
    <w:rsid w:val="00CC47E9"/>
    <w:rsid w:val="00CC545D"/>
    <w:rsid w:val="00CC744E"/>
    <w:rsid w:val="00CC7CBE"/>
    <w:rsid w:val="00CD00F2"/>
    <w:rsid w:val="00CD0464"/>
    <w:rsid w:val="00CD1DE2"/>
    <w:rsid w:val="00CD26A7"/>
    <w:rsid w:val="00CD31FE"/>
    <w:rsid w:val="00CD4F79"/>
    <w:rsid w:val="00CD6466"/>
    <w:rsid w:val="00CD7400"/>
    <w:rsid w:val="00CD7533"/>
    <w:rsid w:val="00CD7CE6"/>
    <w:rsid w:val="00CE171F"/>
    <w:rsid w:val="00CE1F5C"/>
    <w:rsid w:val="00CE2AFE"/>
    <w:rsid w:val="00CE2B09"/>
    <w:rsid w:val="00CE2E90"/>
    <w:rsid w:val="00CE2EE8"/>
    <w:rsid w:val="00CE55E3"/>
    <w:rsid w:val="00CE58FD"/>
    <w:rsid w:val="00CE66A7"/>
    <w:rsid w:val="00CE7B2A"/>
    <w:rsid w:val="00CE7B34"/>
    <w:rsid w:val="00CF019C"/>
    <w:rsid w:val="00CF4880"/>
    <w:rsid w:val="00CF500F"/>
    <w:rsid w:val="00CF5617"/>
    <w:rsid w:val="00CF6C25"/>
    <w:rsid w:val="00CF6C36"/>
    <w:rsid w:val="00CF7F23"/>
    <w:rsid w:val="00D0010C"/>
    <w:rsid w:val="00D00451"/>
    <w:rsid w:val="00D0075D"/>
    <w:rsid w:val="00D01914"/>
    <w:rsid w:val="00D02FCF"/>
    <w:rsid w:val="00D0408A"/>
    <w:rsid w:val="00D053EF"/>
    <w:rsid w:val="00D05990"/>
    <w:rsid w:val="00D05F54"/>
    <w:rsid w:val="00D06C50"/>
    <w:rsid w:val="00D07005"/>
    <w:rsid w:val="00D101D2"/>
    <w:rsid w:val="00D106D4"/>
    <w:rsid w:val="00D10E94"/>
    <w:rsid w:val="00D111E0"/>
    <w:rsid w:val="00D11905"/>
    <w:rsid w:val="00D120DC"/>
    <w:rsid w:val="00D12C3B"/>
    <w:rsid w:val="00D13770"/>
    <w:rsid w:val="00D13940"/>
    <w:rsid w:val="00D1425E"/>
    <w:rsid w:val="00D14D33"/>
    <w:rsid w:val="00D15B76"/>
    <w:rsid w:val="00D162C4"/>
    <w:rsid w:val="00D1731B"/>
    <w:rsid w:val="00D175B9"/>
    <w:rsid w:val="00D17812"/>
    <w:rsid w:val="00D20033"/>
    <w:rsid w:val="00D2160D"/>
    <w:rsid w:val="00D21DAF"/>
    <w:rsid w:val="00D24C12"/>
    <w:rsid w:val="00D25894"/>
    <w:rsid w:val="00D313AB"/>
    <w:rsid w:val="00D31EC6"/>
    <w:rsid w:val="00D32D49"/>
    <w:rsid w:val="00D3459A"/>
    <w:rsid w:val="00D35B22"/>
    <w:rsid w:val="00D37821"/>
    <w:rsid w:val="00D379E8"/>
    <w:rsid w:val="00D4194C"/>
    <w:rsid w:val="00D426F6"/>
    <w:rsid w:val="00D42B88"/>
    <w:rsid w:val="00D44800"/>
    <w:rsid w:val="00D46C62"/>
    <w:rsid w:val="00D47385"/>
    <w:rsid w:val="00D47593"/>
    <w:rsid w:val="00D47CE5"/>
    <w:rsid w:val="00D51BE5"/>
    <w:rsid w:val="00D51E64"/>
    <w:rsid w:val="00D52A95"/>
    <w:rsid w:val="00D52D3C"/>
    <w:rsid w:val="00D52FFE"/>
    <w:rsid w:val="00D536AD"/>
    <w:rsid w:val="00D5502A"/>
    <w:rsid w:val="00D57122"/>
    <w:rsid w:val="00D600D6"/>
    <w:rsid w:val="00D639BE"/>
    <w:rsid w:val="00D64233"/>
    <w:rsid w:val="00D64438"/>
    <w:rsid w:val="00D654BC"/>
    <w:rsid w:val="00D66EF2"/>
    <w:rsid w:val="00D6702E"/>
    <w:rsid w:val="00D6740E"/>
    <w:rsid w:val="00D70602"/>
    <w:rsid w:val="00D71372"/>
    <w:rsid w:val="00D7176B"/>
    <w:rsid w:val="00D71E4A"/>
    <w:rsid w:val="00D71F0D"/>
    <w:rsid w:val="00D73037"/>
    <w:rsid w:val="00D7336B"/>
    <w:rsid w:val="00D761CF"/>
    <w:rsid w:val="00D7751F"/>
    <w:rsid w:val="00D826A4"/>
    <w:rsid w:val="00D8393A"/>
    <w:rsid w:val="00D85463"/>
    <w:rsid w:val="00D8555A"/>
    <w:rsid w:val="00D867B9"/>
    <w:rsid w:val="00D87D6E"/>
    <w:rsid w:val="00D902CA"/>
    <w:rsid w:val="00D90F9F"/>
    <w:rsid w:val="00D91BAB"/>
    <w:rsid w:val="00D9212F"/>
    <w:rsid w:val="00D92ED4"/>
    <w:rsid w:val="00D931C4"/>
    <w:rsid w:val="00D9355F"/>
    <w:rsid w:val="00D9426E"/>
    <w:rsid w:val="00D95752"/>
    <w:rsid w:val="00D95AB0"/>
    <w:rsid w:val="00D96E71"/>
    <w:rsid w:val="00D976EB"/>
    <w:rsid w:val="00DA11B7"/>
    <w:rsid w:val="00DA491D"/>
    <w:rsid w:val="00DA4B43"/>
    <w:rsid w:val="00DA4F1C"/>
    <w:rsid w:val="00DA5552"/>
    <w:rsid w:val="00DA59B2"/>
    <w:rsid w:val="00DA754A"/>
    <w:rsid w:val="00DA79CC"/>
    <w:rsid w:val="00DB1BD4"/>
    <w:rsid w:val="00DB2074"/>
    <w:rsid w:val="00DB2941"/>
    <w:rsid w:val="00DB36F9"/>
    <w:rsid w:val="00DB3C78"/>
    <w:rsid w:val="00DB3DB8"/>
    <w:rsid w:val="00DB3F40"/>
    <w:rsid w:val="00DB5ECF"/>
    <w:rsid w:val="00DB5FF1"/>
    <w:rsid w:val="00DB63DC"/>
    <w:rsid w:val="00DC08FA"/>
    <w:rsid w:val="00DC0C15"/>
    <w:rsid w:val="00DC172F"/>
    <w:rsid w:val="00DC7163"/>
    <w:rsid w:val="00DC738C"/>
    <w:rsid w:val="00DD00A3"/>
    <w:rsid w:val="00DD02C6"/>
    <w:rsid w:val="00DD05A4"/>
    <w:rsid w:val="00DD14E5"/>
    <w:rsid w:val="00DD237B"/>
    <w:rsid w:val="00DD298E"/>
    <w:rsid w:val="00DD2C71"/>
    <w:rsid w:val="00DD3979"/>
    <w:rsid w:val="00DD3F97"/>
    <w:rsid w:val="00DD419D"/>
    <w:rsid w:val="00DD443F"/>
    <w:rsid w:val="00DD5121"/>
    <w:rsid w:val="00DD67ED"/>
    <w:rsid w:val="00DD6851"/>
    <w:rsid w:val="00DD69CB"/>
    <w:rsid w:val="00DE0F95"/>
    <w:rsid w:val="00DE1888"/>
    <w:rsid w:val="00DE1F4B"/>
    <w:rsid w:val="00DE319A"/>
    <w:rsid w:val="00DE3302"/>
    <w:rsid w:val="00DE3B49"/>
    <w:rsid w:val="00DE3DA9"/>
    <w:rsid w:val="00DE51AE"/>
    <w:rsid w:val="00DE72E5"/>
    <w:rsid w:val="00DE73BD"/>
    <w:rsid w:val="00DE7E8D"/>
    <w:rsid w:val="00DF070F"/>
    <w:rsid w:val="00DF2E65"/>
    <w:rsid w:val="00DF3D57"/>
    <w:rsid w:val="00DF3DB8"/>
    <w:rsid w:val="00DF44A8"/>
    <w:rsid w:val="00DF4654"/>
    <w:rsid w:val="00DF4B25"/>
    <w:rsid w:val="00E00864"/>
    <w:rsid w:val="00E01AE5"/>
    <w:rsid w:val="00E01F34"/>
    <w:rsid w:val="00E0399A"/>
    <w:rsid w:val="00E04716"/>
    <w:rsid w:val="00E04B64"/>
    <w:rsid w:val="00E054A3"/>
    <w:rsid w:val="00E06047"/>
    <w:rsid w:val="00E062FB"/>
    <w:rsid w:val="00E0674B"/>
    <w:rsid w:val="00E10102"/>
    <w:rsid w:val="00E109FB"/>
    <w:rsid w:val="00E11AAE"/>
    <w:rsid w:val="00E11F18"/>
    <w:rsid w:val="00E13F16"/>
    <w:rsid w:val="00E14307"/>
    <w:rsid w:val="00E14FD1"/>
    <w:rsid w:val="00E15CAC"/>
    <w:rsid w:val="00E16267"/>
    <w:rsid w:val="00E170E9"/>
    <w:rsid w:val="00E17C6C"/>
    <w:rsid w:val="00E20A88"/>
    <w:rsid w:val="00E20C37"/>
    <w:rsid w:val="00E22A14"/>
    <w:rsid w:val="00E230E1"/>
    <w:rsid w:val="00E23522"/>
    <w:rsid w:val="00E237F0"/>
    <w:rsid w:val="00E27060"/>
    <w:rsid w:val="00E27B37"/>
    <w:rsid w:val="00E27C69"/>
    <w:rsid w:val="00E27DD0"/>
    <w:rsid w:val="00E3000A"/>
    <w:rsid w:val="00E30451"/>
    <w:rsid w:val="00E31AF3"/>
    <w:rsid w:val="00E32FBD"/>
    <w:rsid w:val="00E33486"/>
    <w:rsid w:val="00E33F24"/>
    <w:rsid w:val="00E33FBB"/>
    <w:rsid w:val="00E36212"/>
    <w:rsid w:val="00E36A3E"/>
    <w:rsid w:val="00E37039"/>
    <w:rsid w:val="00E37523"/>
    <w:rsid w:val="00E37704"/>
    <w:rsid w:val="00E37C35"/>
    <w:rsid w:val="00E410E9"/>
    <w:rsid w:val="00E51897"/>
    <w:rsid w:val="00E526B8"/>
    <w:rsid w:val="00E553E1"/>
    <w:rsid w:val="00E5791A"/>
    <w:rsid w:val="00E60011"/>
    <w:rsid w:val="00E602AE"/>
    <w:rsid w:val="00E61BD7"/>
    <w:rsid w:val="00E61D07"/>
    <w:rsid w:val="00E62141"/>
    <w:rsid w:val="00E62611"/>
    <w:rsid w:val="00E65B43"/>
    <w:rsid w:val="00E6677D"/>
    <w:rsid w:val="00E6723E"/>
    <w:rsid w:val="00E673D7"/>
    <w:rsid w:val="00E6763E"/>
    <w:rsid w:val="00E67ED0"/>
    <w:rsid w:val="00E67FE8"/>
    <w:rsid w:val="00E70362"/>
    <w:rsid w:val="00E71056"/>
    <w:rsid w:val="00E715D2"/>
    <w:rsid w:val="00E73924"/>
    <w:rsid w:val="00E75A1D"/>
    <w:rsid w:val="00E77001"/>
    <w:rsid w:val="00E77FA1"/>
    <w:rsid w:val="00E80712"/>
    <w:rsid w:val="00E81483"/>
    <w:rsid w:val="00E81C14"/>
    <w:rsid w:val="00E8216E"/>
    <w:rsid w:val="00E82CAF"/>
    <w:rsid w:val="00E82FDD"/>
    <w:rsid w:val="00E833DE"/>
    <w:rsid w:val="00E83803"/>
    <w:rsid w:val="00E838AF"/>
    <w:rsid w:val="00E84A6F"/>
    <w:rsid w:val="00E85725"/>
    <w:rsid w:val="00E86C22"/>
    <w:rsid w:val="00E9210E"/>
    <w:rsid w:val="00E9229F"/>
    <w:rsid w:val="00E947F0"/>
    <w:rsid w:val="00E94CAA"/>
    <w:rsid w:val="00E94FB2"/>
    <w:rsid w:val="00E956AA"/>
    <w:rsid w:val="00E97147"/>
    <w:rsid w:val="00E97A37"/>
    <w:rsid w:val="00EA124D"/>
    <w:rsid w:val="00EA18AD"/>
    <w:rsid w:val="00EA3C1A"/>
    <w:rsid w:val="00EA4C69"/>
    <w:rsid w:val="00EB01EE"/>
    <w:rsid w:val="00EB1CB5"/>
    <w:rsid w:val="00EB2385"/>
    <w:rsid w:val="00EB3240"/>
    <w:rsid w:val="00EB3D55"/>
    <w:rsid w:val="00EB4021"/>
    <w:rsid w:val="00EC1838"/>
    <w:rsid w:val="00EC2798"/>
    <w:rsid w:val="00EC3D8A"/>
    <w:rsid w:val="00EC411D"/>
    <w:rsid w:val="00EC7FB4"/>
    <w:rsid w:val="00EC7FE9"/>
    <w:rsid w:val="00ED03F7"/>
    <w:rsid w:val="00ED098D"/>
    <w:rsid w:val="00ED1FDA"/>
    <w:rsid w:val="00ED41B1"/>
    <w:rsid w:val="00ED45C6"/>
    <w:rsid w:val="00ED57C9"/>
    <w:rsid w:val="00ED6D7D"/>
    <w:rsid w:val="00ED7D42"/>
    <w:rsid w:val="00EE0DDB"/>
    <w:rsid w:val="00EE171F"/>
    <w:rsid w:val="00EE4AB7"/>
    <w:rsid w:val="00EE516B"/>
    <w:rsid w:val="00EE596A"/>
    <w:rsid w:val="00EE7F75"/>
    <w:rsid w:val="00EF0D23"/>
    <w:rsid w:val="00EF0F60"/>
    <w:rsid w:val="00EF35A5"/>
    <w:rsid w:val="00EF3667"/>
    <w:rsid w:val="00EF4349"/>
    <w:rsid w:val="00EF4DCC"/>
    <w:rsid w:val="00EF6DE8"/>
    <w:rsid w:val="00EF70AE"/>
    <w:rsid w:val="00EF737C"/>
    <w:rsid w:val="00EF7E67"/>
    <w:rsid w:val="00F00E37"/>
    <w:rsid w:val="00F02343"/>
    <w:rsid w:val="00F0267D"/>
    <w:rsid w:val="00F02D30"/>
    <w:rsid w:val="00F02F99"/>
    <w:rsid w:val="00F0360D"/>
    <w:rsid w:val="00F03AA5"/>
    <w:rsid w:val="00F04E48"/>
    <w:rsid w:val="00F052D6"/>
    <w:rsid w:val="00F0571C"/>
    <w:rsid w:val="00F0576D"/>
    <w:rsid w:val="00F05C84"/>
    <w:rsid w:val="00F06E18"/>
    <w:rsid w:val="00F06FE9"/>
    <w:rsid w:val="00F072F6"/>
    <w:rsid w:val="00F10BA0"/>
    <w:rsid w:val="00F14336"/>
    <w:rsid w:val="00F15FA7"/>
    <w:rsid w:val="00F162FB"/>
    <w:rsid w:val="00F20229"/>
    <w:rsid w:val="00F2032E"/>
    <w:rsid w:val="00F21215"/>
    <w:rsid w:val="00F22DEE"/>
    <w:rsid w:val="00F23CC4"/>
    <w:rsid w:val="00F24E2C"/>
    <w:rsid w:val="00F27BFB"/>
    <w:rsid w:val="00F3005C"/>
    <w:rsid w:val="00F3040D"/>
    <w:rsid w:val="00F30516"/>
    <w:rsid w:val="00F3057E"/>
    <w:rsid w:val="00F343F7"/>
    <w:rsid w:val="00F3447D"/>
    <w:rsid w:val="00F362AD"/>
    <w:rsid w:val="00F40D2F"/>
    <w:rsid w:val="00F411B2"/>
    <w:rsid w:val="00F413B4"/>
    <w:rsid w:val="00F41505"/>
    <w:rsid w:val="00F41CD3"/>
    <w:rsid w:val="00F4258C"/>
    <w:rsid w:val="00F43560"/>
    <w:rsid w:val="00F44F6B"/>
    <w:rsid w:val="00F46B2C"/>
    <w:rsid w:val="00F50DDA"/>
    <w:rsid w:val="00F50E55"/>
    <w:rsid w:val="00F518DB"/>
    <w:rsid w:val="00F52DF3"/>
    <w:rsid w:val="00F52E2F"/>
    <w:rsid w:val="00F531FA"/>
    <w:rsid w:val="00F549C2"/>
    <w:rsid w:val="00F57631"/>
    <w:rsid w:val="00F57B4E"/>
    <w:rsid w:val="00F6026B"/>
    <w:rsid w:val="00F607F6"/>
    <w:rsid w:val="00F60D2C"/>
    <w:rsid w:val="00F62E9B"/>
    <w:rsid w:val="00F64155"/>
    <w:rsid w:val="00F64724"/>
    <w:rsid w:val="00F657FB"/>
    <w:rsid w:val="00F65928"/>
    <w:rsid w:val="00F65BE4"/>
    <w:rsid w:val="00F66B36"/>
    <w:rsid w:val="00F67342"/>
    <w:rsid w:val="00F67DBA"/>
    <w:rsid w:val="00F702E5"/>
    <w:rsid w:val="00F737F6"/>
    <w:rsid w:val="00F73E27"/>
    <w:rsid w:val="00F73EA6"/>
    <w:rsid w:val="00F7412E"/>
    <w:rsid w:val="00F75B2D"/>
    <w:rsid w:val="00F76CC7"/>
    <w:rsid w:val="00F77750"/>
    <w:rsid w:val="00F84020"/>
    <w:rsid w:val="00F84CF7"/>
    <w:rsid w:val="00F86D0D"/>
    <w:rsid w:val="00F916F8"/>
    <w:rsid w:val="00F91DD0"/>
    <w:rsid w:val="00F92AF4"/>
    <w:rsid w:val="00F92C64"/>
    <w:rsid w:val="00F9454F"/>
    <w:rsid w:val="00F94FC5"/>
    <w:rsid w:val="00FA0133"/>
    <w:rsid w:val="00FA1932"/>
    <w:rsid w:val="00FA30CB"/>
    <w:rsid w:val="00FA31EC"/>
    <w:rsid w:val="00FA3385"/>
    <w:rsid w:val="00FA6C30"/>
    <w:rsid w:val="00FB01E9"/>
    <w:rsid w:val="00FB0F14"/>
    <w:rsid w:val="00FB2289"/>
    <w:rsid w:val="00FB415C"/>
    <w:rsid w:val="00FB656F"/>
    <w:rsid w:val="00FB736B"/>
    <w:rsid w:val="00FC0D4F"/>
    <w:rsid w:val="00FC1025"/>
    <w:rsid w:val="00FC114F"/>
    <w:rsid w:val="00FC2204"/>
    <w:rsid w:val="00FC281F"/>
    <w:rsid w:val="00FC44D2"/>
    <w:rsid w:val="00FC5839"/>
    <w:rsid w:val="00FC6C08"/>
    <w:rsid w:val="00FC7AC0"/>
    <w:rsid w:val="00FD02CF"/>
    <w:rsid w:val="00FD12AB"/>
    <w:rsid w:val="00FD1364"/>
    <w:rsid w:val="00FD346E"/>
    <w:rsid w:val="00FD3C23"/>
    <w:rsid w:val="00FD52C4"/>
    <w:rsid w:val="00FD6659"/>
    <w:rsid w:val="00FD7232"/>
    <w:rsid w:val="00FE196C"/>
    <w:rsid w:val="00FE281C"/>
    <w:rsid w:val="00FE2890"/>
    <w:rsid w:val="00FE2898"/>
    <w:rsid w:val="00FE2DFA"/>
    <w:rsid w:val="00FE51CE"/>
    <w:rsid w:val="00FE5763"/>
    <w:rsid w:val="00FF0AAA"/>
    <w:rsid w:val="00FF2528"/>
    <w:rsid w:val="00FF4D88"/>
    <w:rsid w:val="00FF4DAA"/>
    <w:rsid w:val="00FF5117"/>
    <w:rsid w:val="00FF5499"/>
    <w:rsid w:val="00FF5506"/>
    <w:rsid w:val="00FF76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00"/>
    <w:pPr>
      <w:widowControl w:val="0"/>
      <w:spacing w:after="0" w:line="480" w:lineRule="auto"/>
    </w:pPr>
    <w:rPr>
      <w:rFonts w:ascii="Times New Roman" w:hAnsi="Times New Roman"/>
      <w:kern w:val="2"/>
      <w:sz w:val="24"/>
      <w:lang w:val="en-US"/>
    </w:rPr>
  </w:style>
  <w:style w:type="paragraph" w:styleId="Heading1">
    <w:name w:val="heading 1"/>
    <w:basedOn w:val="Normal"/>
    <w:next w:val="Normal"/>
    <w:link w:val="Heading1Char"/>
    <w:autoRedefine/>
    <w:uiPriority w:val="9"/>
    <w:qFormat/>
    <w:rsid w:val="00701B3F"/>
    <w:pPr>
      <w:keepNext/>
      <w:keepLines/>
      <w:spacing w:before="240" w:after="240"/>
      <w:outlineLvl w:val="0"/>
    </w:pPr>
    <w:rPr>
      <w:rFonts w:eastAsiaTheme="majorEastAsia" w:cstheme="majorBidi"/>
      <w:b/>
      <w:kern w:val="0"/>
      <w:szCs w:val="32"/>
    </w:rPr>
  </w:style>
  <w:style w:type="paragraph" w:styleId="Heading2">
    <w:name w:val="heading 2"/>
    <w:basedOn w:val="Normal"/>
    <w:next w:val="Normal"/>
    <w:link w:val="Heading2Char"/>
    <w:autoRedefine/>
    <w:uiPriority w:val="9"/>
    <w:unhideWhenUsed/>
    <w:qFormat/>
    <w:rsid w:val="00EF3667"/>
    <w:pPr>
      <w:keepNext/>
      <w:keepLines/>
      <w:spacing w:before="120" w:after="240"/>
      <w:jc w:val="both"/>
      <w:outlineLvl w:val="1"/>
    </w:pPr>
    <w:rPr>
      <w:rFonts w:eastAsiaTheme="majorEastAsia" w:cstheme="majorBidi"/>
      <w:bCs/>
      <w:i/>
      <w:kern w:val="0"/>
      <w:szCs w:val="26"/>
    </w:rPr>
  </w:style>
  <w:style w:type="paragraph" w:styleId="Heading3">
    <w:name w:val="heading 3"/>
    <w:basedOn w:val="Normal"/>
    <w:next w:val="Normal"/>
    <w:link w:val="Heading3Char"/>
    <w:autoRedefine/>
    <w:uiPriority w:val="9"/>
    <w:unhideWhenUsed/>
    <w:qFormat/>
    <w:rsid w:val="00F73E27"/>
    <w:pPr>
      <w:keepNext/>
      <w:keepLines/>
      <w:spacing w:before="40"/>
      <w:outlineLvl w:val="2"/>
    </w:pPr>
    <w:rPr>
      <w:rFonts w:eastAsiaTheme="majorEastAsia" w:cstheme="majorBidi"/>
      <w:i/>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24999"/>
    <w:pPr>
      <w:numPr>
        <w:ilvl w:val="1"/>
      </w:numPr>
      <w:spacing w:before="120"/>
    </w:pPr>
    <w:rPr>
      <w:rFonts w:cstheme="minorHAnsi"/>
      <w:b/>
    </w:rPr>
  </w:style>
  <w:style w:type="character" w:customStyle="1" w:styleId="SubtitleChar">
    <w:name w:val="Subtitle Char"/>
    <w:basedOn w:val="DefaultParagraphFont"/>
    <w:link w:val="Subtitle"/>
    <w:uiPriority w:val="11"/>
    <w:rsid w:val="00B24999"/>
    <w:rPr>
      <w:rFonts w:cstheme="minorHAnsi"/>
      <w:b/>
    </w:rPr>
  </w:style>
  <w:style w:type="character" w:customStyle="1" w:styleId="Heading1Char">
    <w:name w:val="Heading 1 Char"/>
    <w:basedOn w:val="DefaultParagraphFont"/>
    <w:link w:val="Heading1"/>
    <w:uiPriority w:val="9"/>
    <w:rsid w:val="00701B3F"/>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EF3667"/>
    <w:rPr>
      <w:rFonts w:ascii="Times New Roman" w:eastAsiaTheme="majorEastAsia" w:hAnsi="Times New Roman" w:cstheme="majorBidi"/>
      <w:bCs/>
      <w:i/>
      <w:sz w:val="24"/>
      <w:szCs w:val="26"/>
      <w:lang w:val="en-US"/>
    </w:rPr>
  </w:style>
  <w:style w:type="character" w:customStyle="1" w:styleId="Heading3Char">
    <w:name w:val="Heading 3 Char"/>
    <w:basedOn w:val="DefaultParagraphFont"/>
    <w:link w:val="Heading3"/>
    <w:uiPriority w:val="9"/>
    <w:rsid w:val="00F73E27"/>
    <w:rPr>
      <w:rFonts w:ascii="Times New Roman" w:eastAsiaTheme="majorEastAsia" w:hAnsi="Times New Roman" w:cstheme="majorBidi"/>
      <w:i/>
      <w:szCs w:val="24"/>
    </w:rPr>
  </w:style>
  <w:style w:type="paragraph" w:styleId="BalloonText">
    <w:name w:val="Balloon Text"/>
    <w:basedOn w:val="Normal"/>
    <w:link w:val="BalloonTextChar"/>
    <w:uiPriority w:val="99"/>
    <w:semiHidden/>
    <w:unhideWhenUsed/>
    <w:rsid w:val="00626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7B"/>
    <w:rPr>
      <w:rFonts w:ascii="Segoe UI" w:hAnsi="Segoe UI" w:cs="Segoe UI"/>
      <w:kern w:val="2"/>
      <w:sz w:val="18"/>
      <w:szCs w:val="18"/>
    </w:rPr>
  </w:style>
  <w:style w:type="character" w:styleId="IntenseEmphasis">
    <w:name w:val="Intense Emphasis"/>
    <w:basedOn w:val="DefaultParagraphFont"/>
    <w:uiPriority w:val="21"/>
    <w:qFormat/>
    <w:rsid w:val="0062677B"/>
    <w:rPr>
      <w:i/>
      <w:iCs/>
      <w:color w:val="5B9BD5" w:themeColor="accent1"/>
    </w:rPr>
  </w:style>
  <w:style w:type="paragraph" w:styleId="NormalWeb">
    <w:name w:val="Normal (Web)"/>
    <w:basedOn w:val="Normal"/>
    <w:uiPriority w:val="99"/>
    <w:unhideWhenUsed/>
    <w:rsid w:val="001F3924"/>
    <w:pPr>
      <w:widowControl/>
      <w:spacing w:before="100" w:beforeAutospacing="1" w:after="100" w:afterAutospacing="1"/>
    </w:pPr>
    <w:rPr>
      <w:rFonts w:eastAsia="Times New Roman" w:cs="Times New Roman"/>
      <w:kern w:val="0"/>
      <w:szCs w:val="24"/>
    </w:rPr>
  </w:style>
  <w:style w:type="character" w:styleId="CommentReference">
    <w:name w:val="annotation reference"/>
    <w:basedOn w:val="DefaultParagraphFont"/>
    <w:uiPriority w:val="99"/>
    <w:semiHidden/>
    <w:unhideWhenUsed/>
    <w:rsid w:val="00B56C38"/>
    <w:rPr>
      <w:sz w:val="16"/>
      <w:szCs w:val="16"/>
    </w:rPr>
  </w:style>
  <w:style w:type="paragraph" w:styleId="CommentText">
    <w:name w:val="annotation text"/>
    <w:basedOn w:val="Normal"/>
    <w:link w:val="CommentTextChar"/>
    <w:uiPriority w:val="99"/>
    <w:unhideWhenUsed/>
    <w:rsid w:val="00B56C38"/>
    <w:rPr>
      <w:sz w:val="20"/>
      <w:szCs w:val="20"/>
    </w:rPr>
  </w:style>
  <w:style w:type="character" w:customStyle="1" w:styleId="CommentTextChar">
    <w:name w:val="Comment Text Char"/>
    <w:basedOn w:val="DefaultParagraphFont"/>
    <w:link w:val="CommentText"/>
    <w:uiPriority w:val="99"/>
    <w:rsid w:val="00B56C38"/>
    <w:rPr>
      <w:rFonts w:ascii="Times New Roman" w:hAnsi="Times New Roman"/>
      <w:kern w:val="2"/>
      <w:sz w:val="20"/>
      <w:szCs w:val="20"/>
    </w:rPr>
  </w:style>
  <w:style w:type="paragraph" w:styleId="CommentSubject">
    <w:name w:val="annotation subject"/>
    <w:basedOn w:val="CommentText"/>
    <w:next w:val="CommentText"/>
    <w:link w:val="CommentSubjectChar"/>
    <w:uiPriority w:val="99"/>
    <w:semiHidden/>
    <w:unhideWhenUsed/>
    <w:rsid w:val="00B56C38"/>
    <w:rPr>
      <w:b/>
      <w:bCs/>
    </w:rPr>
  </w:style>
  <w:style w:type="character" w:customStyle="1" w:styleId="CommentSubjectChar">
    <w:name w:val="Comment Subject Char"/>
    <w:basedOn w:val="CommentTextChar"/>
    <w:link w:val="CommentSubject"/>
    <w:uiPriority w:val="99"/>
    <w:semiHidden/>
    <w:rsid w:val="00B56C38"/>
    <w:rPr>
      <w:rFonts w:ascii="Times New Roman" w:hAnsi="Times New Roman"/>
      <w:b/>
      <w:bCs/>
      <w:kern w:val="2"/>
      <w:sz w:val="20"/>
      <w:szCs w:val="20"/>
    </w:rPr>
  </w:style>
  <w:style w:type="paragraph" w:styleId="Header">
    <w:name w:val="header"/>
    <w:basedOn w:val="Normal"/>
    <w:link w:val="HeaderChar"/>
    <w:uiPriority w:val="99"/>
    <w:unhideWhenUsed/>
    <w:rsid w:val="00614047"/>
    <w:pPr>
      <w:tabs>
        <w:tab w:val="center" w:pos="4513"/>
        <w:tab w:val="right" w:pos="9026"/>
      </w:tabs>
    </w:pPr>
  </w:style>
  <w:style w:type="character" w:customStyle="1" w:styleId="HeaderChar">
    <w:name w:val="Header Char"/>
    <w:basedOn w:val="DefaultParagraphFont"/>
    <w:link w:val="Header"/>
    <w:uiPriority w:val="99"/>
    <w:rsid w:val="00614047"/>
    <w:rPr>
      <w:rFonts w:ascii="Times New Roman" w:hAnsi="Times New Roman"/>
      <w:kern w:val="2"/>
    </w:rPr>
  </w:style>
  <w:style w:type="paragraph" w:styleId="Footer">
    <w:name w:val="footer"/>
    <w:basedOn w:val="Normal"/>
    <w:link w:val="FooterChar"/>
    <w:uiPriority w:val="99"/>
    <w:unhideWhenUsed/>
    <w:rsid w:val="00614047"/>
    <w:pPr>
      <w:tabs>
        <w:tab w:val="center" w:pos="4513"/>
        <w:tab w:val="right" w:pos="9026"/>
      </w:tabs>
    </w:pPr>
  </w:style>
  <w:style w:type="character" w:customStyle="1" w:styleId="FooterChar">
    <w:name w:val="Footer Char"/>
    <w:basedOn w:val="DefaultParagraphFont"/>
    <w:link w:val="Footer"/>
    <w:uiPriority w:val="99"/>
    <w:rsid w:val="00614047"/>
    <w:rPr>
      <w:rFonts w:ascii="Times New Roman" w:hAnsi="Times New Roman"/>
      <w:kern w:val="2"/>
    </w:rPr>
  </w:style>
  <w:style w:type="character" w:styleId="Hyperlink">
    <w:name w:val="Hyperlink"/>
    <w:basedOn w:val="DefaultParagraphFont"/>
    <w:uiPriority w:val="99"/>
    <w:unhideWhenUsed/>
    <w:rsid w:val="00186BBC"/>
    <w:rPr>
      <w:color w:val="0563C1" w:themeColor="hyperlink"/>
      <w:u w:val="single"/>
    </w:rPr>
  </w:style>
  <w:style w:type="character" w:customStyle="1" w:styleId="normaltextrun">
    <w:name w:val="normaltextrun"/>
    <w:basedOn w:val="DefaultParagraphFont"/>
    <w:rsid w:val="00076F9E"/>
  </w:style>
  <w:style w:type="paragraph" w:styleId="Title">
    <w:name w:val="Title"/>
    <w:basedOn w:val="Normal"/>
    <w:next w:val="Normal"/>
    <w:link w:val="TitleChar"/>
    <w:autoRedefine/>
    <w:uiPriority w:val="10"/>
    <w:qFormat/>
    <w:rsid w:val="00D47385"/>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47385"/>
    <w:rPr>
      <w:rFonts w:ascii="Times New Roman" w:eastAsiaTheme="majorEastAsia" w:hAnsi="Times New Roman" w:cstheme="majorBidi"/>
      <w:b/>
      <w:spacing w:val="-10"/>
      <w:kern w:val="28"/>
      <w:sz w:val="32"/>
      <w:szCs w:val="56"/>
      <w:lang w:val="en-US"/>
    </w:rPr>
  </w:style>
  <w:style w:type="paragraph" w:styleId="Revision">
    <w:name w:val="Revision"/>
    <w:hidden/>
    <w:uiPriority w:val="99"/>
    <w:semiHidden/>
    <w:rsid w:val="00832967"/>
    <w:pPr>
      <w:spacing w:after="0" w:line="240" w:lineRule="auto"/>
    </w:pPr>
    <w:rPr>
      <w:rFonts w:ascii="Times New Roman" w:hAnsi="Times New Roman"/>
      <w:kern w:val="2"/>
    </w:rPr>
  </w:style>
  <w:style w:type="character" w:styleId="LineNumber">
    <w:name w:val="line number"/>
    <w:basedOn w:val="DefaultParagraphFont"/>
    <w:uiPriority w:val="99"/>
    <w:semiHidden/>
    <w:unhideWhenUsed/>
    <w:rsid w:val="00824215"/>
  </w:style>
  <w:style w:type="character" w:styleId="FollowedHyperlink">
    <w:name w:val="FollowedHyperlink"/>
    <w:basedOn w:val="DefaultParagraphFont"/>
    <w:uiPriority w:val="99"/>
    <w:semiHidden/>
    <w:unhideWhenUsed/>
    <w:rsid w:val="00187832"/>
    <w:rPr>
      <w:color w:val="954F72" w:themeColor="followedHyperlink"/>
      <w:u w:val="single"/>
    </w:rPr>
  </w:style>
  <w:style w:type="paragraph" w:styleId="NoSpacing">
    <w:name w:val="No Spacing"/>
    <w:uiPriority w:val="1"/>
    <w:qFormat/>
    <w:rsid w:val="00F50DDA"/>
    <w:pPr>
      <w:widowControl w:val="0"/>
      <w:spacing w:after="0" w:line="240" w:lineRule="auto"/>
    </w:pPr>
    <w:rPr>
      <w:rFonts w:ascii="Times New Roman" w:hAnsi="Times New Roman"/>
      <w:kern w:val="2"/>
    </w:rPr>
  </w:style>
  <w:style w:type="character" w:styleId="SubtleEmphasis">
    <w:name w:val="Subtle Emphasis"/>
    <w:basedOn w:val="DefaultParagraphFont"/>
    <w:uiPriority w:val="19"/>
    <w:qFormat/>
    <w:rsid w:val="00E77001"/>
    <w:rPr>
      <w:i/>
      <w:iCs/>
      <w:color w:val="404040" w:themeColor="text1" w:themeTint="BF"/>
    </w:rPr>
  </w:style>
  <w:style w:type="paragraph" w:customStyle="1" w:styleId="paragraph">
    <w:name w:val="paragraph"/>
    <w:basedOn w:val="Normal"/>
    <w:rsid w:val="0070067F"/>
    <w:pPr>
      <w:widowControl/>
      <w:spacing w:before="100" w:beforeAutospacing="1" w:after="100" w:afterAutospacing="1" w:line="240" w:lineRule="auto"/>
    </w:pPr>
    <w:rPr>
      <w:rFonts w:eastAsia="Times New Roman" w:cs="Times New Roman"/>
      <w:kern w:val="0"/>
      <w:szCs w:val="24"/>
    </w:rPr>
  </w:style>
  <w:style w:type="character" w:customStyle="1" w:styleId="eop">
    <w:name w:val="eop"/>
    <w:basedOn w:val="DefaultParagraphFont"/>
    <w:rsid w:val="0070067F"/>
  </w:style>
  <w:style w:type="paragraph" w:styleId="ListParagraph">
    <w:name w:val="List Paragraph"/>
    <w:basedOn w:val="Normal"/>
    <w:uiPriority w:val="34"/>
    <w:qFormat/>
    <w:rsid w:val="003B103E"/>
    <w:pPr>
      <w:ind w:left="720"/>
      <w:contextualSpacing/>
    </w:pPr>
  </w:style>
  <w:style w:type="table" w:customStyle="1" w:styleId="ListTable6Colorful1">
    <w:name w:val="List Table 6 Colorful1"/>
    <w:basedOn w:val="TableNormal"/>
    <w:uiPriority w:val="51"/>
    <w:rsid w:val="000717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271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ratlabel">
    <w:name w:val="stratlabel"/>
    <w:basedOn w:val="DefaultParagraphFont"/>
    <w:rsid w:val="000B225F"/>
  </w:style>
  <w:style w:type="character" w:customStyle="1" w:styleId="stratn">
    <w:name w:val="stratn"/>
    <w:basedOn w:val="DefaultParagraphFont"/>
    <w:rsid w:val="000B225F"/>
  </w:style>
  <w:style w:type="character" w:customStyle="1" w:styleId="UnresolvedMention1">
    <w:name w:val="Unresolved Mention1"/>
    <w:basedOn w:val="DefaultParagraphFont"/>
    <w:uiPriority w:val="99"/>
    <w:semiHidden/>
    <w:unhideWhenUsed/>
    <w:rsid w:val="008C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359">
      <w:bodyDiv w:val="1"/>
      <w:marLeft w:val="0"/>
      <w:marRight w:val="0"/>
      <w:marTop w:val="0"/>
      <w:marBottom w:val="0"/>
      <w:divBdr>
        <w:top w:val="none" w:sz="0" w:space="0" w:color="auto"/>
        <w:left w:val="none" w:sz="0" w:space="0" w:color="auto"/>
        <w:bottom w:val="none" w:sz="0" w:space="0" w:color="auto"/>
        <w:right w:val="none" w:sz="0" w:space="0" w:color="auto"/>
      </w:divBdr>
    </w:div>
    <w:div w:id="34353696">
      <w:bodyDiv w:val="1"/>
      <w:marLeft w:val="0"/>
      <w:marRight w:val="0"/>
      <w:marTop w:val="0"/>
      <w:marBottom w:val="0"/>
      <w:divBdr>
        <w:top w:val="none" w:sz="0" w:space="0" w:color="auto"/>
        <w:left w:val="none" w:sz="0" w:space="0" w:color="auto"/>
        <w:bottom w:val="none" w:sz="0" w:space="0" w:color="auto"/>
        <w:right w:val="none" w:sz="0" w:space="0" w:color="auto"/>
      </w:divBdr>
    </w:div>
    <w:div w:id="46609239">
      <w:bodyDiv w:val="1"/>
      <w:marLeft w:val="0"/>
      <w:marRight w:val="0"/>
      <w:marTop w:val="0"/>
      <w:marBottom w:val="0"/>
      <w:divBdr>
        <w:top w:val="none" w:sz="0" w:space="0" w:color="auto"/>
        <w:left w:val="none" w:sz="0" w:space="0" w:color="auto"/>
        <w:bottom w:val="none" w:sz="0" w:space="0" w:color="auto"/>
        <w:right w:val="none" w:sz="0" w:space="0" w:color="auto"/>
      </w:divBdr>
      <w:divsChild>
        <w:div w:id="1424104470">
          <w:marLeft w:val="0"/>
          <w:marRight w:val="0"/>
          <w:marTop w:val="0"/>
          <w:marBottom w:val="0"/>
          <w:divBdr>
            <w:top w:val="none" w:sz="0" w:space="0" w:color="auto"/>
            <w:left w:val="none" w:sz="0" w:space="0" w:color="auto"/>
            <w:bottom w:val="none" w:sz="0" w:space="0" w:color="auto"/>
            <w:right w:val="none" w:sz="0" w:space="0" w:color="auto"/>
          </w:divBdr>
          <w:divsChild>
            <w:div w:id="1380398186">
              <w:marLeft w:val="0"/>
              <w:marRight w:val="0"/>
              <w:marTop w:val="0"/>
              <w:marBottom w:val="0"/>
              <w:divBdr>
                <w:top w:val="none" w:sz="0" w:space="0" w:color="auto"/>
                <w:left w:val="none" w:sz="0" w:space="0" w:color="auto"/>
                <w:bottom w:val="none" w:sz="0" w:space="0" w:color="auto"/>
                <w:right w:val="none" w:sz="0" w:space="0" w:color="auto"/>
              </w:divBdr>
              <w:divsChild>
                <w:div w:id="5406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2644">
      <w:bodyDiv w:val="1"/>
      <w:marLeft w:val="0"/>
      <w:marRight w:val="0"/>
      <w:marTop w:val="0"/>
      <w:marBottom w:val="0"/>
      <w:divBdr>
        <w:top w:val="none" w:sz="0" w:space="0" w:color="auto"/>
        <w:left w:val="none" w:sz="0" w:space="0" w:color="auto"/>
        <w:bottom w:val="none" w:sz="0" w:space="0" w:color="auto"/>
        <w:right w:val="none" w:sz="0" w:space="0" w:color="auto"/>
      </w:divBdr>
      <w:divsChild>
        <w:div w:id="1719545169">
          <w:marLeft w:val="0"/>
          <w:marRight w:val="0"/>
          <w:marTop w:val="0"/>
          <w:marBottom w:val="0"/>
          <w:divBdr>
            <w:top w:val="none" w:sz="0" w:space="0" w:color="auto"/>
            <w:left w:val="none" w:sz="0" w:space="0" w:color="auto"/>
            <w:bottom w:val="none" w:sz="0" w:space="0" w:color="auto"/>
            <w:right w:val="none" w:sz="0" w:space="0" w:color="auto"/>
          </w:divBdr>
          <w:divsChild>
            <w:div w:id="367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5966">
      <w:bodyDiv w:val="1"/>
      <w:marLeft w:val="0"/>
      <w:marRight w:val="0"/>
      <w:marTop w:val="0"/>
      <w:marBottom w:val="0"/>
      <w:divBdr>
        <w:top w:val="none" w:sz="0" w:space="0" w:color="auto"/>
        <w:left w:val="none" w:sz="0" w:space="0" w:color="auto"/>
        <w:bottom w:val="none" w:sz="0" w:space="0" w:color="auto"/>
        <w:right w:val="none" w:sz="0" w:space="0" w:color="auto"/>
      </w:divBdr>
    </w:div>
    <w:div w:id="291833152">
      <w:bodyDiv w:val="1"/>
      <w:marLeft w:val="0"/>
      <w:marRight w:val="0"/>
      <w:marTop w:val="0"/>
      <w:marBottom w:val="0"/>
      <w:divBdr>
        <w:top w:val="none" w:sz="0" w:space="0" w:color="auto"/>
        <w:left w:val="none" w:sz="0" w:space="0" w:color="auto"/>
        <w:bottom w:val="none" w:sz="0" w:space="0" w:color="auto"/>
        <w:right w:val="none" w:sz="0" w:space="0" w:color="auto"/>
      </w:divBdr>
    </w:div>
    <w:div w:id="305936942">
      <w:bodyDiv w:val="1"/>
      <w:marLeft w:val="0"/>
      <w:marRight w:val="0"/>
      <w:marTop w:val="0"/>
      <w:marBottom w:val="0"/>
      <w:divBdr>
        <w:top w:val="none" w:sz="0" w:space="0" w:color="auto"/>
        <w:left w:val="none" w:sz="0" w:space="0" w:color="auto"/>
        <w:bottom w:val="none" w:sz="0" w:space="0" w:color="auto"/>
        <w:right w:val="none" w:sz="0" w:space="0" w:color="auto"/>
      </w:divBdr>
    </w:div>
    <w:div w:id="382028003">
      <w:bodyDiv w:val="1"/>
      <w:marLeft w:val="0"/>
      <w:marRight w:val="0"/>
      <w:marTop w:val="0"/>
      <w:marBottom w:val="0"/>
      <w:divBdr>
        <w:top w:val="none" w:sz="0" w:space="0" w:color="auto"/>
        <w:left w:val="none" w:sz="0" w:space="0" w:color="auto"/>
        <w:bottom w:val="none" w:sz="0" w:space="0" w:color="auto"/>
        <w:right w:val="none" w:sz="0" w:space="0" w:color="auto"/>
      </w:divBdr>
    </w:div>
    <w:div w:id="389042435">
      <w:bodyDiv w:val="1"/>
      <w:marLeft w:val="0"/>
      <w:marRight w:val="0"/>
      <w:marTop w:val="0"/>
      <w:marBottom w:val="0"/>
      <w:divBdr>
        <w:top w:val="none" w:sz="0" w:space="0" w:color="auto"/>
        <w:left w:val="none" w:sz="0" w:space="0" w:color="auto"/>
        <w:bottom w:val="none" w:sz="0" w:space="0" w:color="auto"/>
        <w:right w:val="none" w:sz="0" w:space="0" w:color="auto"/>
      </w:divBdr>
      <w:divsChild>
        <w:div w:id="1762219285">
          <w:marLeft w:val="0"/>
          <w:marRight w:val="0"/>
          <w:marTop w:val="0"/>
          <w:marBottom w:val="0"/>
          <w:divBdr>
            <w:top w:val="none" w:sz="0" w:space="0" w:color="auto"/>
            <w:left w:val="none" w:sz="0" w:space="0" w:color="auto"/>
            <w:bottom w:val="none" w:sz="0" w:space="0" w:color="auto"/>
            <w:right w:val="none" w:sz="0" w:space="0" w:color="auto"/>
          </w:divBdr>
          <w:divsChild>
            <w:div w:id="5778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4394">
      <w:bodyDiv w:val="1"/>
      <w:marLeft w:val="0"/>
      <w:marRight w:val="0"/>
      <w:marTop w:val="0"/>
      <w:marBottom w:val="0"/>
      <w:divBdr>
        <w:top w:val="none" w:sz="0" w:space="0" w:color="auto"/>
        <w:left w:val="none" w:sz="0" w:space="0" w:color="auto"/>
        <w:bottom w:val="none" w:sz="0" w:space="0" w:color="auto"/>
        <w:right w:val="none" w:sz="0" w:space="0" w:color="auto"/>
      </w:divBdr>
      <w:divsChild>
        <w:div w:id="1670794176">
          <w:marLeft w:val="0"/>
          <w:marRight w:val="0"/>
          <w:marTop w:val="0"/>
          <w:marBottom w:val="0"/>
          <w:divBdr>
            <w:top w:val="none" w:sz="0" w:space="0" w:color="auto"/>
            <w:left w:val="none" w:sz="0" w:space="0" w:color="auto"/>
            <w:bottom w:val="none" w:sz="0" w:space="0" w:color="auto"/>
            <w:right w:val="none" w:sz="0" w:space="0" w:color="auto"/>
          </w:divBdr>
          <w:divsChild>
            <w:div w:id="14895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2088">
      <w:bodyDiv w:val="1"/>
      <w:marLeft w:val="0"/>
      <w:marRight w:val="0"/>
      <w:marTop w:val="0"/>
      <w:marBottom w:val="0"/>
      <w:divBdr>
        <w:top w:val="none" w:sz="0" w:space="0" w:color="auto"/>
        <w:left w:val="none" w:sz="0" w:space="0" w:color="auto"/>
        <w:bottom w:val="none" w:sz="0" w:space="0" w:color="auto"/>
        <w:right w:val="none" w:sz="0" w:space="0" w:color="auto"/>
      </w:divBdr>
    </w:div>
    <w:div w:id="592395038">
      <w:bodyDiv w:val="1"/>
      <w:marLeft w:val="0"/>
      <w:marRight w:val="0"/>
      <w:marTop w:val="0"/>
      <w:marBottom w:val="0"/>
      <w:divBdr>
        <w:top w:val="none" w:sz="0" w:space="0" w:color="auto"/>
        <w:left w:val="none" w:sz="0" w:space="0" w:color="auto"/>
        <w:bottom w:val="none" w:sz="0" w:space="0" w:color="auto"/>
        <w:right w:val="none" w:sz="0" w:space="0" w:color="auto"/>
      </w:divBdr>
    </w:div>
    <w:div w:id="609171074">
      <w:bodyDiv w:val="1"/>
      <w:marLeft w:val="0"/>
      <w:marRight w:val="0"/>
      <w:marTop w:val="0"/>
      <w:marBottom w:val="0"/>
      <w:divBdr>
        <w:top w:val="none" w:sz="0" w:space="0" w:color="auto"/>
        <w:left w:val="none" w:sz="0" w:space="0" w:color="auto"/>
        <w:bottom w:val="none" w:sz="0" w:space="0" w:color="auto"/>
        <w:right w:val="none" w:sz="0" w:space="0" w:color="auto"/>
      </w:divBdr>
    </w:div>
    <w:div w:id="683097159">
      <w:bodyDiv w:val="1"/>
      <w:marLeft w:val="0"/>
      <w:marRight w:val="0"/>
      <w:marTop w:val="0"/>
      <w:marBottom w:val="0"/>
      <w:divBdr>
        <w:top w:val="none" w:sz="0" w:space="0" w:color="auto"/>
        <w:left w:val="none" w:sz="0" w:space="0" w:color="auto"/>
        <w:bottom w:val="none" w:sz="0" w:space="0" w:color="auto"/>
        <w:right w:val="none" w:sz="0" w:space="0" w:color="auto"/>
      </w:divBdr>
    </w:div>
    <w:div w:id="797914187">
      <w:bodyDiv w:val="1"/>
      <w:marLeft w:val="0"/>
      <w:marRight w:val="0"/>
      <w:marTop w:val="0"/>
      <w:marBottom w:val="0"/>
      <w:divBdr>
        <w:top w:val="none" w:sz="0" w:space="0" w:color="auto"/>
        <w:left w:val="none" w:sz="0" w:space="0" w:color="auto"/>
        <w:bottom w:val="none" w:sz="0" w:space="0" w:color="auto"/>
        <w:right w:val="none" w:sz="0" w:space="0" w:color="auto"/>
      </w:divBdr>
    </w:div>
    <w:div w:id="798112711">
      <w:bodyDiv w:val="1"/>
      <w:marLeft w:val="0"/>
      <w:marRight w:val="0"/>
      <w:marTop w:val="0"/>
      <w:marBottom w:val="0"/>
      <w:divBdr>
        <w:top w:val="none" w:sz="0" w:space="0" w:color="auto"/>
        <w:left w:val="none" w:sz="0" w:space="0" w:color="auto"/>
        <w:bottom w:val="none" w:sz="0" w:space="0" w:color="auto"/>
        <w:right w:val="none" w:sz="0" w:space="0" w:color="auto"/>
      </w:divBdr>
    </w:div>
    <w:div w:id="911158698">
      <w:bodyDiv w:val="1"/>
      <w:marLeft w:val="0"/>
      <w:marRight w:val="0"/>
      <w:marTop w:val="0"/>
      <w:marBottom w:val="0"/>
      <w:divBdr>
        <w:top w:val="none" w:sz="0" w:space="0" w:color="auto"/>
        <w:left w:val="none" w:sz="0" w:space="0" w:color="auto"/>
        <w:bottom w:val="none" w:sz="0" w:space="0" w:color="auto"/>
        <w:right w:val="none" w:sz="0" w:space="0" w:color="auto"/>
      </w:divBdr>
      <w:divsChild>
        <w:div w:id="1400447103">
          <w:marLeft w:val="0"/>
          <w:marRight w:val="0"/>
          <w:marTop w:val="0"/>
          <w:marBottom w:val="0"/>
          <w:divBdr>
            <w:top w:val="none" w:sz="0" w:space="0" w:color="auto"/>
            <w:left w:val="none" w:sz="0" w:space="0" w:color="auto"/>
            <w:bottom w:val="none" w:sz="0" w:space="0" w:color="auto"/>
            <w:right w:val="none" w:sz="0" w:space="0" w:color="auto"/>
          </w:divBdr>
          <w:divsChild>
            <w:div w:id="18484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2695">
      <w:bodyDiv w:val="1"/>
      <w:marLeft w:val="0"/>
      <w:marRight w:val="0"/>
      <w:marTop w:val="0"/>
      <w:marBottom w:val="0"/>
      <w:divBdr>
        <w:top w:val="none" w:sz="0" w:space="0" w:color="auto"/>
        <w:left w:val="none" w:sz="0" w:space="0" w:color="auto"/>
        <w:bottom w:val="none" w:sz="0" w:space="0" w:color="auto"/>
        <w:right w:val="none" w:sz="0" w:space="0" w:color="auto"/>
      </w:divBdr>
      <w:divsChild>
        <w:div w:id="544827337">
          <w:marLeft w:val="0"/>
          <w:marRight w:val="0"/>
          <w:marTop w:val="0"/>
          <w:marBottom w:val="0"/>
          <w:divBdr>
            <w:top w:val="none" w:sz="0" w:space="0" w:color="auto"/>
            <w:left w:val="none" w:sz="0" w:space="0" w:color="auto"/>
            <w:bottom w:val="none" w:sz="0" w:space="0" w:color="auto"/>
            <w:right w:val="none" w:sz="0" w:space="0" w:color="auto"/>
          </w:divBdr>
          <w:divsChild>
            <w:div w:id="14519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123">
      <w:bodyDiv w:val="1"/>
      <w:marLeft w:val="0"/>
      <w:marRight w:val="0"/>
      <w:marTop w:val="0"/>
      <w:marBottom w:val="0"/>
      <w:divBdr>
        <w:top w:val="none" w:sz="0" w:space="0" w:color="auto"/>
        <w:left w:val="none" w:sz="0" w:space="0" w:color="auto"/>
        <w:bottom w:val="none" w:sz="0" w:space="0" w:color="auto"/>
        <w:right w:val="none" w:sz="0" w:space="0" w:color="auto"/>
      </w:divBdr>
      <w:divsChild>
        <w:div w:id="54865387">
          <w:marLeft w:val="0"/>
          <w:marRight w:val="0"/>
          <w:marTop w:val="0"/>
          <w:marBottom w:val="0"/>
          <w:divBdr>
            <w:top w:val="none" w:sz="0" w:space="0" w:color="auto"/>
            <w:left w:val="none" w:sz="0" w:space="0" w:color="auto"/>
            <w:bottom w:val="none" w:sz="0" w:space="0" w:color="auto"/>
            <w:right w:val="none" w:sz="0" w:space="0" w:color="auto"/>
          </w:divBdr>
        </w:div>
        <w:div w:id="495000306">
          <w:marLeft w:val="0"/>
          <w:marRight w:val="0"/>
          <w:marTop w:val="0"/>
          <w:marBottom w:val="0"/>
          <w:divBdr>
            <w:top w:val="none" w:sz="0" w:space="0" w:color="auto"/>
            <w:left w:val="none" w:sz="0" w:space="0" w:color="auto"/>
            <w:bottom w:val="none" w:sz="0" w:space="0" w:color="auto"/>
            <w:right w:val="none" w:sz="0" w:space="0" w:color="auto"/>
          </w:divBdr>
        </w:div>
        <w:div w:id="1155533073">
          <w:marLeft w:val="0"/>
          <w:marRight w:val="0"/>
          <w:marTop w:val="0"/>
          <w:marBottom w:val="0"/>
          <w:divBdr>
            <w:top w:val="none" w:sz="0" w:space="0" w:color="auto"/>
            <w:left w:val="none" w:sz="0" w:space="0" w:color="auto"/>
            <w:bottom w:val="none" w:sz="0" w:space="0" w:color="auto"/>
            <w:right w:val="none" w:sz="0" w:space="0" w:color="auto"/>
          </w:divBdr>
          <w:divsChild>
            <w:div w:id="924535201">
              <w:marLeft w:val="-75"/>
              <w:marRight w:val="0"/>
              <w:marTop w:val="30"/>
              <w:marBottom w:val="30"/>
              <w:divBdr>
                <w:top w:val="none" w:sz="0" w:space="0" w:color="auto"/>
                <w:left w:val="none" w:sz="0" w:space="0" w:color="auto"/>
                <w:bottom w:val="none" w:sz="0" w:space="0" w:color="auto"/>
                <w:right w:val="none" w:sz="0" w:space="0" w:color="auto"/>
              </w:divBdr>
              <w:divsChild>
                <w:div w:id="70930323">
                  <w:marLeft w:val="0"/>
                  <w:marRight w:val="0"/>
                  <w:marTop w:val="0"/>
                  <w:marBottom w:val="0"/>
                  <w:divBdr>
                    <w:top w:val="none" w:sz="0" w:space="0" w:color="auto"/>
                    <w:left w:val="none" w:sz="0" w:space="0" w:color="auto"/>
                    <w:bottom w:val="none" w:sz="0" w:space="0" w:color="auto"/>
                    <w:right w:val="none" w:sz="0" w:space="0" w:color="auto"/>
                  </w:divBdr>
                  <w:divsChild>
                    <w:div w:id="479200603">
                      <w:marLeft w:val="0"/>
                      <w:marRight w:val="0"/>
                      <w:marTop w:val="0"/>
                      <w:marBottom w:val="0"/>
                      <w:divBdr>
                        <w:top w:val="none" w:sz="0" w:space="0" w:color="auto"/>
                        <w:left w:val="none" w:sz="0" w:space="0" w:color="auto"/>
                        <w:bottom w:val="none" w:sz="0" w:space="0" w:color="auto"/>
                        <w:right w:val="none" w:sz="0" w:space="0" w:color="auto"/>
                      </w:divBdr>
                    </w:div>
                  </w:divsChild>
                </w:div>
                <w:div w:id="155344746">
                  <w:marLeft w:val="0"/>
                  <w:marRight w:val="0"/>
                  <w:marTop w:val="0"/>
                  <w:marBottom w:val="0"/>
                  <w:divBdr>
                    <w:top w:val="none" w:sz="0" w:space="0" w:color="auto"/>
                    <w:left w:val="none" w:sz="0" w:space="0" w:color="auto"/>
                    <w:bottom w:val="none" w:sz="0" w:space="0" w:color="auto"/>
                    <w:right w:val="none" w:sz="0" w:space="0" w:color="auto"/>
                  </w:divBdr>
                  <w:divsChild>
                    <w:div w:id="1264998877">
                      <w:marLeft w:val="0"/>
                      <w:marRight w:val="0"/>
                      <w:marTop w:val="0"/>
                      <w:marBottom w:val="0"/>
                      <w:divBdr>
                        <w:top w:val="none" w:sz="0" w:space="0" w:color="auto"/>
                        <w:left w:val="none" w:sz="0" w:space="0" w:color="auto"/>
                        <w:bottom w:val="none" w:sz="0" w:space="0" w:color="auto"/>
                        <w:right w:val="none" w:sz="0" w:space="0" w:color="auto"/>
                      </w:divBdr>
                    </w:div>
                  </w:divsChild>
                </w:div>
                <w:div w:id="205676551">
                  <w:marLeft w:val="0"/>
                  <w:marRight w:val="0"/>
                  <w:marTop w:val="0"/>
                  <w:marBottom w:val="0"/>
                  <w:divBdr>
                    <w:top w:val="none" w:sz="0" w:space="0" w:color="auto"/>
                    <w:left w:val="none" w:sz="0" w:space="0" w:color="auto"/>
                    <w:bottom w:val="none" w:sz="0" w:space="0" w:color="auto"/>
                    <w:right w:val="none" w:sz="0" w:space="0" w:color="auto"/>
                  </w:divBdr>
                  <w:divsChild>
                    <w:div w:id="102919770">
                      <w:marLeft w:val="0"/>
                      <w:marRight w:val="0"/>
                      <w:marTop w:val="0"/>
                      <w:marBottom w:val="0"/>
                      <w:divBdr>
                        <w:top w:val="none" w:sz="0" w:space="0" w:color="auto"/>
                        <w:left w:val="none" w:sz="0" w:space="0" w:color="auto"/>
                        <w:bottom w:val="none" w:sz="0" w:space="0" w:color="auto"/>
                        <w:right w:val="none" w:sz="0" w:space="0" w:color="auto"/>
                      </w:divBdr>
                    </w:div>
                  </w:divsChild>
                </w:div>
                <w:div w:id="238713043">
                  <w:marLeft w:val="0"/>
                  <w:marRight w:val="0"/>
                  <w:marTop w:val="0"/>
                  <w:marBottom w:val="0"/>
                  <w:divBdr>
                    <w:top w:val="none" w:sz="0" w:space="0" w:color="auto"/>
                    <w:left w:val="none" w:sz="0" w:space="0" w:color="auto"/>
                    <w:bottom w:val="none" w:sz="0" w:space="0" w:color="auto"/>
                    <w:right w:val="none" w:sz="0" w:space="0" w:color="auto"/>
                  </w:divBdr>
                  <w:divsChild>
                    <w:div w:id="340939021">
                      <w:marLeft w:val="0"/>
                      <w:marRight w:val="0"/>
                      <w:marTop w:val="0"/>
                      <w:marBottom w:val="0"/>
                      <w:divBdr>
                        <w:top w:val="none" w:sz="0" w:space="0" w:color="auto"/>
                        <w:left w:val="none" w:sz="0" w:space="0" w:color="auto"/>
                        <w:bottom w:val="none" w:sz="0" w:space="0" w:color="auto"/>
                        <w:right w:val="none" w:sz="0" w:space="0" w:color="auto"/>
                      </w:divBdr>
                    </w:div>
                  </w:divsChild>
                </w:div>
                <w:div w:id="256716811">
                  <w:marLeft w:val="0"/>
                  <w:marRight w:val="0"/>
                  <w:marTop w:val="0"/>
                  <w:marBottom w:val="0"/>
                  <w:divBdr>
                    <w:top w:val="none" w:sz="0" w:space="0" w:color="auto"/>
                    <w:left w:val="none" w:sz="0" w:space="0" w:color="auto"/>
                    <w:bottom w:val="none" w:sz="0" w:space="0" w:color="auto"/>
                    <w:right w:val="none" w:sz="0" w:space="0" w:color="auto"/>
                  </w:divBdr>
                  <w:divsChild>
                    <w:div w:id="338198440">
                      <w:marLeft w:val="0"/>
                      <w:marRight w:val="0"/>
                      <w:marTop w:val="0"/>
                      <w:marBottom w:val="0"/>
                      <w:divBdr>
                        <w:top w:val="none" w:sz="0" w:space="0" w:color="auto"/>
                        <w:left w:val="none" w:sz="0" w:space="0" w:color="auto"/>
                        <w:bottom w:val="none" w:sz="0" w:space="0" w:color="auto"/>
                        <w:right w:val="none" w:sz="0" w:space="0" w:color="auto"/>
                      </w:divBdr>
                    </w:div>
                  </w:divsChild>
                </w:div>
                <w:div w:id="292176209">
                  <w:marLeft w:val="0"/>
                  <w:marRight w:val="0"/>
                  <w:marTop w:val="0"/>
                  <w:marBottom w:val="0"/>
                  <w:divBdr>
                    <w:top w:val="none" w:sz="0" w:space="0" w:color="auto"/>
                    <w:left w:val="none" w:sz="0" w:space="0" w:color="auto"/>
                    <w:bottom w:val="none" w:sz="0" w:space="0" w:color="auto"/>
                    <w:right w:val="none" w:sz="0" w:space="0" w:color="auto"/>
                  </w:divBdr>
                  <w:divsChild>
                    <w:div w:id="2052683161">
                      <w:marLeft w:val="0"/>
                      <w:marRight w:val="0"/>
                      <w:marTop w:val="0"/>
                      <w:marBottom w:val="0"/>
                      <w:divBdr>
                        <w:top w:val="none" w:sz="0" w:space="0" w:color="auto"/>
                        <w:left w:val="none" w:sz="0" w:space="0" w:color="auto"/>
                        <w:bottom w:val="none" w:sz="0" w:space="0" w:color="auto"/>
                        <w:right w:val="none" w:sz="0" w:space="0" w:color="auto"/>
                      </w:divBdr>
                    </w:div>
                  </w:divsChild>
                </w:div>
                <w:div w:id="301274310">
                  <w:marLeft w:val="0"/>
                  <w:marRight w:val="0"/>
                  <w:marTop w:val="0"/>
                  <w:marBottom w:val="0"/>
                  <w:divBdr>
                    <w:top w:val="none" w:sz="0" w:space="0" w:color="auto"/>
                    <w:left w:val="none" w:sz="0" w:space="0" w:color="auto"/>
                    <w:bottom w:val="none" w:sz="0" w:space="0" w:color="auto"/>
                    <w:right w:val="none" w:sz="0" w:space="0" w:color="auto"/>
                  </w:divBdr>
                  <w:divsChild>
                    <w:div w:id="720133751">
                      <w:marLeft w:val="0"/>
                      <w:marRight w:val="0"/>
                      <w:marTop w:val="0"/>
                      <w:marBottom w:val="0"/>
                      <w:divBdr>
                        <w:top w:val="none" w:sz="0" w:space="0" w:color="auto"/>
                        <w:left w:val="none" w:sz="0" w:space="0" w:color="auto"/>
                        <w:bottom w:val="none" w:sz="0" w:space="0" w:color="auto"/>
                        <w:right w:val="none" w:sz="0" w:space="0" w:color="auto"/>
                      </w:divBdr>
                    </w:div>
                  </w:divsChild>
                </w:div>
                <w:div w:id="356930723">
                  <w:marLeft w:val="0"/>
                  <w:marRight w:val="0"/>
                  <w:marTop w:val="0"/>
                  <w:marBottom w:val="0"/>
                  <w:divBdr>
                    <w:top w:val="none" w:sz="0" w:space="0" w:color="auto"/>
                    <w:left w:val="none" w:sz="0" w:space="0" w:color="auto"/>
                    <w:bottom w:val="none" w:sz="0" w:space="0" w:color="auto"/>
                    <w:right w:val="none" w:sz="0" w:space="0" w:color="auto"/>
                  </w:divBdr>
                  <w:divsChild>
                    <w:div w:id="84228824">
                      <w:marLeft w:val="0"/>
                      <w:marRight w:val="0"/>
                      <w:marTop w:val="0"/>
                      <w:marBottom w:val="0"/>
                      <w:divBdr>
                        <w:top w:val="none" w:sz="0" w:space="0" w:color="auto"/>
                        <w:left w:val="none" w:sz="0" w:space="0" w:color="auto"/>
                        <w:bottom w:val="none" w:sz="0" w:space="0" w:color="auto"/>
                        <w:right w:val="none" w:sz="0" w:space="0" w:color="auto"/>
                      </w:divBdr>
                    </w:div>
                  </w:divsChild>
                </w:div>
                <w:div w:id="370376088">
                  <w:marLeft w:val="0"/>
                  <w:marRight w:val="0"/>
                  <w:marTop w:val="0"/>
                  <w:marBottom w:val="0"/>
                  <w:divBdr>
                    <w:top w:val="none" w:sz="0" w:space="0" w:color="auto"/>
                    <w:left w:val="none" w:sz="0" w:space="0" w:color="auto"/>
                    <w:bottom w:val="none" w:sz="0" w:space="0" w:color="auto"/>
                    <w:right w:val="none" w:sz="0" w:space="0" w:color="auto"/>
                  </w:divBdr>
                  <w:divsChild>
                    <w:div w:id="195311273">
                      <w:marLeft w:val="0"/>
                      <w:marRight w:val="0"/>
                      <w:marTop w:val="0"/>
                      <w:marBottom w:val="0"/>
                      <w:divBdr>
                        <w:top w:val="none" w:sz="0" w:space="0" w:color="auto"/>
                        <w:left w:val="none" w:sz="0" w:space="0" w:color="auto"/>
                        <w:bottom w:val="none" w:sz="0" w:space="0" w:color="auto"/>
                        <w:right w:val="none" w:sz="0" w:space="0" w:color="auto"/>
                      </w:divBdr>
                    </w:div>
                  </w:divsChild>
                </w:div>
                <w:div w:id="375204065">
                  <w:marLeft w:val="0"/>
                  <w:marRight w:val="0"/>
                  <w:marTop w:val="0"/>
                  <w:marBottom w:val="0"/>
                  <w:divBdr>
                    <w:top w:val="none" w:sz="0" w:space="0" w:color="auto"/>
                    <w:left w:val="none" w:sz="0" w:space="0" w:color="auto"/>
                    <w:bottom w:val="none" w:sz="0" w:space="0" w:color="auto"/>
                    <w:right w:val="none" w:sz="0" w:space="0" w:color="auto"/>
                  </w:divBdr>
                  <w:divsChild>
                    <w:div w:id="345401131">
                      <w:marLeft w:val="0"/>
                      <w:marRight w:val="0"/>
                      <w:marTop w:val="0"/>
                      <w:marBottom w:val="0"/>
                      <w:divBdr>
                        <w:top w:val="none" w:sz="0" w:space="0" w:color="auto"/>
                        <w:left w:val="none" w:sz="0" w:space="0" w:color="auto"/>
                        <w:bottom w:val="none" w:sz="0" w:space="0" w:color="auto"/>
                        <w:right w:val="none" w:sz="0" w:space="0" w:color="auto"/>
                      </w:divBdr>
                    </w:div>
                  </w:divsChild>
                </w:div>
                <w:div w:id="387388807">
                  <w:marLeft w:val="0"/>
                  <w:marRight w:val="0"/>
                  <w:marTop w:val="0"/>
                  <w:marBottom w:val="0"/>
                  <w:divBdr>
                    <w:top w:val="none" w:sz="0" w:space="0" w:color="auto"/>
                    <w:left w:val="none" w:sz="0" w:space="0" w:color="auto"/>
                    <w:bottom w:val="none" w:sz="0" w:space="0" w:color="auto"/>
                    <w:right w:val="none" w:sz="0" w:space="0" w:color="auto"/>
                  </w:divBdr>
                  <w:divsChild>
                    <w:div w:id="622077665">
                      <w:marLeft w:val="0"/>
                      <w:marRight w:val="0"/>
                      <w:marTop w:val="0"/>
                      <w:marBottom w:val="0"/>
                      <w:divBdr>
                        <w:top w:val="none" w:sz="0" w:space="0" w:color="auto"/>
                        <w:left w:val="none" w:sz="0" w:space="0" w:color="auto"/>
                        <w:bottom w:val="none" w:sz="0" w:space="0" w:color="auto"/>
                        <w:right w:val="none" w:sz="0" w:space="0" w:color="auto"/>
                      </w:divBdr>
                    </w:div>
                  </w:divsChild>
                </w:div>
                <w:div w:id="428039460">
                  <w:marLeft w:val="0"/>
                  <w:marRight w:val="0"/>
                  <w:marTop w:val="0"/>
                  <w:marBottom w:val="0"/>
                  <w:divBdr>
                    <w:top w:val="none" w:sz="0" w:space="0" w:color="auto"/>
                    <w:left w:val="none" w:sz="0" w:space="0" w:color="auto"/>
                    <w:bottom w:val="none" w:sz="0" w:space="0" w:color="auto"/>
                    <w:right w:val="none" w:sz="0" w:space="0" w:color="auto"/>
                  </w:divBdr>
                  <w:divsChild>
                    <w:div w:id="148328331">
                      <w:marLeft w:val="0"/>
                      <w:marRight w:val="0"/>
                      <w:marTop w:val="0"/>
                      <w:marBottom w:val="0"/>
                      <w:divBdr>
                        <w:top w:val="none" w:sz="0" w:space="0" w:color="auto"/>
                        <w:left w:val="none" w:sz="0" w:space="0" w:color="auto"/>
                        <w:bottom w:val="none" w:sz="0" w:space="0" w:color="auto"/>
                        <w:right w:val="none" w:sz="0" w:space="0" w:color="auto"/>
                      </w:divBdr>
                    </w:div>
                  </w:divsChild>
                </w:div>
                <w:div w:id="444160371">
                  <w:marLeft w:val="0"/>
                  <w:marRight w:val="0"/>
                  <w:marTop w:val="0"/>
                  <w:marBottom w:val="0"/>
                  <w:divBdr>
                    <w:top w:val="none" w:sz="0" w:space="0" w:color="auto"/>
                    <w:left w:val="none" w:sz="0" w:space="0" w:color="auto"/>
                    <w:bottom w:val="none" w:sz="0" w:space="0" w:color="auto"/>
                    <w:right w:val="none" w:sz="0" w:space="0" w:color="auto"/>
                  </w:divBdr>
                  <w:divsChild>
                    <w:div w:id="1166938934">
                      <w:marLeft w:val="0"/>
                      <w:marRight w:val="0"/>
                      <w:marTop w:val="0"/>
                      <w:marBottom w:val="0"/>
                      <w:divBdr>
                        <w:top w:val="none" w:sz="0" w:space="0" w:color="auto"/>
                        <w:left w:val="none" w:sz="0" w:space="0" w:color="auto"/>
                        <w:bottom w:val="none" w:sz="0" w:space="0" w:color="auto"/>
                        <w:right w:val="none" w:sz="0" w:space="0" w:color="auto"/>
                      </w:divBdr>
                    </w:div>
                  </w:divsChild>
                </w:div>
                <w:div w:id="471796190">
                  <w:marLeft w:val="0"/>
                  <w:marRight w:val="0"/>
                  <w:marTop w:val="0"/>
                  <w:marBottom w:val="0"/>
                  <w:divBdr>
                    <w:top w:val="none" w:sz="0" w:space="0" w:color="auto"/>
                    <w:left w:val="none" w:sz="0" w:space="0" w:color="auto"/>
                    <w:bottom w:val="none" w:sz="0" w:space="0" w:color="auto"/>
                    <w:right w:val="none" w:sz="0" w:space="0" w:color="auto"/>
                  </w:divBdr>
                  <w:divsChild>
                    <w:div w:id="1354067693">
                      <w:marLeft w:val="0"/>
                      <w:marRight w:val="0"/>
                      <w:marTop w:val="0"/>
                      <w:marBottom w:val="0"/>
                      <w:divBdr>
                        <w:top w:val="none" w:sz="0" w:space="0" w:color="auto"/>
                        <w:left w:val="none" w:sz="0" w:space="0" w:color="auto"/>
                        <w:bottom w:val="none" w:sz="0" w:space="0" w:color="auto"/>
                        <w:right w:val="none" w:sz="0" w:space="0" w:color="auto"/>
                      </w:divBdr>
                    </w:div>
                  </w:divsChild>
                </w:div>
                <w:div w:id="493648936">
                  <w:marLeft w:val="0"/>
                  <w:marRight w:val="0"/>
                  <w:marTop w:val="0"/>
                  <w:marBottom w:val="0"/>
                  <w:divBdr>
                    <w:top w:val="none" w:sz="0" w:space="0" w:color="auto"/>
                    <w:left w:val="none" w:sz="0" w:space="0" w:color="auto"/>
                    <w:bottom w:val="none" w:sz="0" w:space="0" w:color="auto"/>
                    <w:right w:val="none" w:sz="0" w:space="0" w:color="auto"/>
                  </w:divBdr>
                  <w:divsChild>
                    <w:div w:id="1971469273">
                      <w:marLeft w:val="0"/>
                      <w:marRight w:val="0"/>
                      <w:marTop w:val="0"/>
                      <w:marBottom w:val="0"/>
                      <w:divBdr>
                        <w:top w:val="none" w:sz="0" w:space="0" w:color="auto"/>
                        <w:left w:val="none" w:sz="0" w:space="0" w:color="auto"/>
                        <w:bottom w:val="none" w:sz="0" w:space="0" w:color="auto"/>
                        <w:right w:val="none" w:sz="0" w:space="0" w:color="auto"/>
                      </w:divBdr>
                    </w:div>
                  </w:divsChild>
                </w:div>
                <w:div w:id="503862825">
                  <w:marLeft w:val="0"/>
                  <w:marRight w:val="0"/>
                  <w:marTop w:val="0"/>
                  <w:marBottom w:val="0"/>
                  <w:divBdr>
                    <w:top w:val="none" w:sz="0" w:space="0" w:color="auto"/>
                    <w:left w:val="none" w:sz="0" w:space="0" w:color="auto"/>
                    <w:bottom w:val="none" w:sz="0" w:space="0" w:color="auto"/>
                    <w:right w:val="none" w:sz="0" w:space="0" w:color="auto"/>
                  </w:divBdr>
                  <w:divsChild>
                    <w:div w:id="858815801">
                      <w:marLeft w:val="0"/>
                      <w:marRight w:val="0"/>
                      <w:marTop w:val="0"/>
                      <w:marBottom w:val="0"/>
                      <w:divBdr>
                        <w:top w:val="none" w:sz="0" w:space="0" w:color="auto"/>
                        <w:left w:val="none" w:sz="0" w:space="0" w:color="auto"/>
                        <w:bottom w:val="none" w:sz="0" w:space="0" w:color="auto"/>
                        <w:right w:val="none" w:sz="0" w:space="0" w:color="auto"/>
                      </w:divBdr>
                    </w:div>
                  </w:divsChild>
                </w:div>
                <w:div w:id="509099133">
                  <w:marLeft w:val="0"/>
                  <w:marRight w:val="0"/>
                  <w:marTop w:val="0"/>
                  <w:marBottom w:val="0"/>
                  <w:divBdr>
                    <w:top w:val="none" w:sz="0" w:space="0" w:color="auto"/>
                    <w:left w:val="none" w:sz="0" w:space="0" w:color="auto"/>
                    <w:bottom w:val="none" w:sz="0" w:space="0" w:color="auto"/>
                    <w:right w:val="none" w:sz="0" w:space="0" w:color="auto"/>
                  </w:divBdr>
                  <w:divsChild>
                    <w:div w:id="1430541792">
                      <w:marLeft w:val="0"/>
                      <w:marRight w:val="0"/>
                      <w:marTop w:val="0"/>
                      <w:marBottom w:val="0"/>
                      <w:divBdr>
                        <w:top w:val="none" w:sz="0" w:space="0" w:color="auto"/>
                        <w:left w:val="none" w:sz="0" w:space="0" w:color="auto"/>
                        <w:bottom w:val="none" w:sz="0" w:space="0" w:color="auto"/>
                        <w:right w:val="none" w:sz="0" w:space="0" w:color="auto"/>
                      </w:divBdr>
                    </w:div>
                  </w:divsChild>
                </w:div>
                <w:div w:id="606619380">
                  <w:marLeft w:val="0"/>
                  <w:marRight w:val="0"/>
                  <w:marTop w:val="0"/>
                  <w:marBottom w:val="0"/>
                  <w:divBdr>
                    <w:top w:val="none" w:sz="0" w:space="0" w:color="auto"/>
                    <w:left w:val="none" w:sz="0" w:space="0" w:color="auto"/>
                    <w:bottom w:val="none" w:sz="0" w:space="0" w:color="auto"/>
                    <w:right w:val="none" w:sz="0" w:space="0" w:color="auto"/>
                  </w:divBdr>
                  <w:divsChild>
                    <w:div w:id="691296797">
                      <w:marLeft w:val="0"/>
                      <w:marRight w:val="0"/>
                      <w:marTop w:val="0"/>
                      <w:marBottom w:val="0"/>
                      <w:divBdr>
                        <w:top w:val="none" w:sz="0" w:space="0" w:color="auto"/>
                        <w:left w:val="none" w:sz="0" w:space="0" w:color="auto"/>
                        <w:bottom w:val="none" w:sz="0" w:space="0" w:color="auto"/>
                        <w:right w:val="none" w:sz="0" w:space="0" w:color="auto"/>
                      </w:divBdr>
                    </w:div>
                  </w:divsChild>
                </w:div>
                <w:div w:id="626470659">
                  <w:marLeft w:val="0"/>
                  <w:marRight w:val="0"/>
                  <w:marTop w:val="0"/>
                  <w:marBottom w:val="0"/>
                  <w:divBdr>
                    <w:top w:val="none" w:sz="0" w:space="0" w:color="auto"/>
                    <w:left w:val="none" w:sz="0" w:space="0" w:color="auto"/>
                    <w:bottom w:val="none" w:sz="0" w:space="0" w:color="auto"/>
                    <w:right w:val="none" w:sz="0" w:space="0" w:color="auto"/>
                  </w:divBdr>
                  <w:divsChild>
                    <w:div w:id="1743327311">
                      <w:marLeft w:val="0"/>
                      <w:marRight w:val="0"/>
                      <w:marTop w:val="0"/>
                      <w:marBottom w:val="0"/>
                      <w:divBdr>
                        <w:top w:val="none" w:sz="0" w:space="0" w:color="auto"/>
                        <w:left w:val="none" w:sz="0" w:space="0" w:color="auto"/>
                        <w:bottom w:val="none" w:sz="0" w:space="0" w:color="auto"/>
                        <w:right w:val="none" w:sz="0" w:space="0" w:color="auto"/>
                      </w:divBdr>
                    </w:div>
                  </w:divsChild>
                </w:div>
                <w:div w:id="665397977">
                  <w:marLeft w:val="0"/>
                  <w:marRight w:val="0"/>
                  <w:marTop w:val="0"/>
                  <w:marBottom w:val="0"/>
                  <w:divBdr>
                    <w:top w:val="none" w:sz="0" w:space="0" w:color="auto"/>
                    <w:left w:val="none" w:sz="0" w:space="0" w:color="auto"/>
                    <w:bottom w:val="none" w:sz="0" w:space="0" w:color="auto"/>
                    <w:right w:val="none" w:sz="0" w:space="0" w:color="auto"/>
                  </w:divBdr>
                  <w:divsChild>
                    <w:div w:id="144014109">
                      <w:marLeft w:val="0"/>
                      <w:marRight w:val="0"/>
                      <w:marTop w:val="0"/>
                      <w:marBottom w:val="0"/>
                      <w:divBdr>
                        <w:top w:val="none" w:sz="0" w:space="0" w:color="auto"/>
                        <w:left w:val="none" w:sz="0" w:space="0" w:color="auto"/>
                        <w:bottom w:val="none" w:sz="0" w:space="0" w:color="auto"/>
                        <w:right w:val="none" w:sz="0" w:space="0" w:color="auto"/>
                      </w:divBdr>
                    </w:div>
                  </w:divsChild>
                </w:div>
                <w:div w:id="745306249">
                  <w:marLeft w:val="0"/>
                  <w:marRight w:val="0"/>
                  <w:marTop w:val="0"/>
                  <w:marBottom w:val="0"/>
                  <w:divBdr>
                    <w:top w:val="none" w:sz="0" w:space="0" w:color="auto"/>
                    <w:left w:val="none" w:sz="0" w:space="0" w:color="auto"/>
                    <w:bottom w:val="none" w:sz="0" w:space="0" w:color="auto"/>
                    <w:right w:val="none" w:sz="0" w:space="0" w:color="auto"/>
                  </w:divBdr>
                  <w:divsChild>
                    <w:div w:id="1227491143">
                      <w:marLeft w:val="0"/>
                      <w:marRight w:val="0"/>
                      <w:marTop w:val="0"/>
                      <w:marBottom w:val="0"/>
                      <w:divBdr>
                        <w:top w:val="none" w:sz="0" w:space="0" w:color="auto"/>
                        <w:left w:val="none" w:sz="0" w:space="0" w:color="auto"/>
                        <w:bottom w:val="none" w:sz="0" w:space="0" w:color="auto"/>
                        <w:right w:val="none" w:sz="0" w:space="0" w:color="auto"/>
                      </w:divBdr>
                    </w:div>
                  </w:divsChild>
                </w:div>
                <w:div w:id="792673225">
                  <w:marLeft w:val="0"/>
                  <w:marRight w:val="0"/>
                  <w:marTop w:val="0"/>
                  <w:marBottom w:val="0"/>
                  <w:divBdr>
                    <w:top w:val="none" w:sz="0" w:space="0" w:color="auto"/>
                    <w:left w:val="none" w:sz="0" w:space="0" w:color="auto"/>
                    <w:bottom w:val="none" w:sz="0" w:space="0" w:color="auto"/>
                    <w:right w:val="none" w:sz="0" w:space="0" w:color="auto"/>
                  </w:divBdr>
                  <w:divsChild>
                    <w:div w:id="2062710096">
                      <w:marLeft w:val="0"/>
                      <w:marRight w:val="0"/>
                      <w:marTop w:val="0"/>
                      <w:marBottom w:val="0"/>
                      <w:divBdr>
                        <w:top w:val="none" w:sz="0" w:space="0" w:color="auto"/>
                        <w:left w:val="none" w:sz="0" w:space="0" w:color="auto"/>
                        <w:bottom w:val="none" w:sz="0" w:space="0" w:color="auto"/>
                        <w:right w:val="none" w:sz="0" w:space="0" w:color="auto"/>
                      </w:divBdr>
                    </w:div>
                  </w:divsChild>
                </w:div>
                <w:div w:id="795609614">
                  <w:marLeft w:val="0"/>
                  <w:marRight w:val="0"/>
                  <w:marTop w:val="0"/>
                  <w:marBottom w:val="0"/>
                  <w:divBdr>
                    <w:top w:val="none" w:sz="0" w:space="0" w:color="auto"/>
                    <w:left w:val="none" w:sz="0" w:space="0" w:color="auto"/>
                    <w:bottom w:val="none" w:sz="0" w:space="0" w:color="auto"/>
                    <w:right w:val="none" w:sz="0" w:space="0" w:color="auto"/>
                  </w:divBdr>
                  <w:divsChild>
                    <w:div w:id="157159396">
                      <w:marLeft w:val="0"/>
                      <w:marRight w:val="0"/>
                      <w:marTop w:val="0"/>
                      <w:marBottom w:val="0"/>
                      <w:divBdr>
                        <w:top w:val="none" w:sz="0" w:space="0" w:color="auto"/>
                        <w:left w:val="none" w:sz="0" w:space="0" w:color="auto"/>
                        <w:bottom w:val="none" w:sz="0" w:space="0" w:color="auto"/>
                        <w:right w:val="none" w:sz="0" w:space="0" w:color="auto"/>
                      </w:divBdr>
                    </w:div>
                  </w:divsChild>
                </w:div>
                <w:div w:id="796412157">
                  <w:marLeft w:val="0"/>
                  <w:marRight w:val="0"/>
                  <w:marTop w:val="0"/>
                  <w:marBottom w:val="0"/>
                  <w:divBdr>
                    <w:top w:val="none" w:sz="0" w:space="0" w:color="auto"/>
                    <w:left w:val="none" w:sz="0" w:space="0" w:color="auto"/>
                    <w:bottom w:val="none" w:sz="0" w:space="0" w:color="auto"/>
                    <w:right w:val="none" w:sz="0" w:space="0" w:color="auto"/>
                  </w:divBdr>
                  <w:divsChild>
                    <w:div w:id="660890439">
                      <w:marLeft w:val="0"/>
                      <w:marRight w:val="0"/>
                      <w:marTop w:val="0"/>
                      <w:marBottom w:val="0"/>
                      <w:divBdr>
                        <w:top w:val="none" w:sz="0" w:space="0" w:color="auto"/>
                        <w:left w:val="none" w:sz="0" w:space="0" w:color="auto"/>
                        <w:bottom w:val="none" w:sz="0" w:space="0" w:color="auto"/>
                        <w:right w:val="none" w:sz="0" w:space="0" w:color="auto"/>
                      </w:divBdr>
                    </w:div>
                  </w:divsChild>
                </w:div>
                <w:div w:id="816847286">
                  <w:marLeft w:val="0"/>
                  <w:marRight w:val="0"/>
                  <w:marTop w:val="0"/>
                  <w:marBottom w:val="0"/>
                  <w:divBdr>
                    <w:top w:val="none" w:sz="0" w:space="0" w:color="auto"/>
                    <w:left w:val="none" w:sz="0" w:space="0" w:color="auto"/>
                    <w:bottom w:val="none" w:sz="0" w:space="0" w:color="auto"/>
                    <w:right w:val="none" w:sz="0" w:space="0" w:color="auto"/>
                  </w:divBdr>
                  <w:divsChild>
                    <w:div w:id="1947150115">
                      <w:marLeft w:val="0"/>
                      <w:marRight w:val="0"/>
                      <w:marTop w:val="0"/>
                      <w:marBottom w:val="0"/>
                      <w:divBdr>
                        <w:top w:val="none" w:sz="0" w:space="0" w:color="auto"/>
                        <w:left w:val="none" w:sz="0" w:space="0" w:color="auto"/>
                        <w:bottom w:val="none" w:sz="0" w:space="0" w:color="auto"/>
                        <w:right w:val="none" w:sz="0" w:space="0" w:color="auto"/>
                      </w:divBdr>
                    </w:div>
                    <w:div w:id="1952934577">
                      <w:marLeft w:val="0"/>
                      <w:marRight w:val="0"/>
                      <w:marTop w:val="0"/>
                      <w:marBottom w:val="0"/>
                      <w:divBdr>
                        <w:top w:val="none" w:sz="0" w:space="0" w:color="auto"/>
                        <w:left w:val="none" w:sz="0" w:space="0" w:color="auto"/>
                        <w:bottom w:val="none" w:sz="0" w:space="0" w:color="auto"/>
                        <w:right w:val="none" w:sz="0" w:space="0" w:color="auto"/>
                      </w:divBdr>
                    </w:div>
                  </w:divsChild>
                </w:div>
                <w:div w:id="817649211">
                  <w:marLeft w:val="0"/>
                  <w:marRight w:val="0"/>
                  <w:marTop w:val="0"/>
                  <w:marBottom w:val="0"/>
                  <w:divBdr>
                    <w:top w:val="none" w:sz="0" w:space="0" w:color="auto"/>
                    <w:left w:val="none" w:sz="0" w:space="0" w:color="auto"/>
                    <w:bottom w:val="none" w:sz="0" w:space="0" w:color="auto"/>
                    <w:right w:val="none" w:sz="0" w:space="0" w:color="auto"/>
                  </w:divBdr>
                  <w:divsChild>
                    <w:div w:id="548346386">
                      <w:marLeft w:val="0"/>
                      <w:marRight w:val="0"/>
                      <w:marTop w:val="0"/>
                      <w:marBottom w:val="0"/>
                      <w:divBdr>
                        <w:top w:val="none" w:sz="0" w:space="0" w:color="auto"/>
                        <w:left w:val="none" w:sz="0" w:space="0" w:color="auto"/>
                        <w:bottom w:val="none" w:sz="0" w:space="0" w:color="auto"/>
                        <w:right w:val="none" w:sz="0" w:space="0" w:color="auto"/>
                      </w:divBdr>
                    </w:div>
                    <w:div w:id="906456316">
                      <w:marLeft w:val="0"/>
                      <w:marRight w:val="0"/>
                      <w:marTop w:val="0"/>
                      <w:marBottom w:val="0"/>
                      <w:divBdr>
                        <w:top w:val="none" w:sz="0" w:space="0" w:color="auto"/>
                        <w:left w:val="none" w:sz="0" w:space="0" w:color="auto"/>
                        <w:bottom w:val="none" w:sz="0" w:space="0" w:color="auto"/>
                        <w:right w:val="none" w:sz="0" w:space="0" w:color="auto"/>
                      </w:divBdr>
                    </w:div>
                  </w:divsChild>
                </w:div>
                <w:div w:id="817652016">
                  <w:marLeft w:val="0"/>
                  <w:marRight w:val="0"/>
                  <w:marTop w:val="0"/>
                  <w:marBottom w:val="0"/>
                  <w:divBdr>
                    <w:top w:val="none" w:sz="0" w:space="0" w:color="auto"/>
                    <w:left w:val="none" w:sz="0" w:space="0" w:color="auto"/>
                    <w:bottom w:val="none" w:sz="0" w:space="0" w:color="auto"/>
                    <w:right w:val="none" w:sz="0" w:space="0" w:color="auto"/>
                  </w:divBdr>
                  <w:divsChild>
                    <w:div w:id="152112340">
                      <w:marLeft w:val="0"/>
                      <w:marRight w:val="0"/>
                      <w:marTop w:val="0"/>
                      <w:marBottom w:val="0"/>
                      <w:divBdr>
                        <w:top w:val="none" w:sz="0" w:space="0" w:color="auto"/>
                        <w:left w:val="none" w:sz="0" w:space="0" w:color="auto"/>
                        <w:bottom w:val="none" w:sz="0" w:space="0" w:color="auto"/>
                        <w:right w:val="none" w:sz="0" w:space="0" w:color="auto"/>
                      </w:divBdr>
                    </w:div>
                  </w:divsChild>
                </w:div>
                <w:div w:id="854535296">
                  <w:marLeft w:val="0"/>
                  <w:marRight w:val="0"/>
                  <w:marTop w:val="0"/>
                  <w:marBottom w:val="0"/>
                  <w:divBdr>
                    <w:top w:val="none" w:sz="0" w:space="0" w:color="auto"/>
                    <w:left w:val="none" w:sz="0" w:space="0" w:color="auto"/>
                    <w:bottom w:val="none" w:sz="0" w:space="0" w:color="auto"/>
                    <w:right w:val="none" w:sz="0" w:space="0" w:color="auto"/>
                  </w:divBdr>
                  <w:divsChild>
                    <w:div w:id="991638873">
                      <w:marLeft w:val="0"/>
                      <w:marRight w:val="0"/>
                      <w:marTop w:val="0"/>
                      <w:marBottom w:val="0"/>
                      <w:divBdr>
                        <w:top w:val="none" w:sz="0" w:space="0" w:color="auto"/>
                        <w:left w:val="none" w:sz="0" w:space="0" w:color="auto"/>
                        <w:bottom w:val="none" w:sz="0" w:space="0" w:color="auto"/>
                        <w:right w:val="none" w:sz="0" w:space="0" w:color="auto"/>
                      </w:divBdr>
                    </w:div>
                  </w:divsChild>
                </w:div>
                <w:div w:id="857813656">
                  <w:marLeft w:val="0"/>
                  <w:marRight w:val="0"/>
                  <w:marTop w:val="0"/>
                  <w:marBottom w:val="0"/>
                  <w:divBdr>
                    <w:top w:val="none" w:sz="0" w:space="0" w:color="auto"/>
                    <w:left w:val="none" w:sz="0" w:space="0" w:color="auto"/>
                    <w:bottom w:val="none" w:sz="0" w:space="0" w:color="auto"/>
                    <w:right w:val="none" w:sz="0" w:space="0" w:color="auto"/>
                  </w:divBdr>
                  <w:divsChild>
                    <w:div w:id="1605259915">
                      <w:marLeft w:val="0"/>
                      <w:marRight w:val="0"/>
                      <w:marTop w:val="0"/>
                      <w:marBottom w:val="0"/>
                      <w:divBdr>
                        <w:top w:val="none" w:sz="0" w:space="0" w:color="auto"/>
                        <w:left w:val="none" w:sz="0" w:space="0" w:color="auto"/>
                        <w:bottom w:val="none" w:sz="0" w:space="0" w:color="auto"/>
                        <w:right w:val="none" w:sz="0" w:space="0" w:color="auto"/>
                      </w:divBdr>
                    </w:div>
                  </w:divsChild>
                </w:div>
                <w:div w:id="885484255">
                  <w:marLeft w:val="0"/>
                  <w:marRight w:val="0"/>
                  <w:marTop w:val="0"/>
                  <w:marBottom w:val="0"/>
                  <w:divBdr>
                    <w:top w:val="none" w:sz="0" w:space="0" w:color="auto"/>
                    <w:left w:val="none" w:sz="0" w:space="0" w:color="auto"/>
                    <w:bottom w:val="none" w:sz="0" w:space="0" w:color="auto"/>
                    <w:right w:val="none" w:sz="0" w:space="0" w:color="auto"/>
                  </w:divBdr>
                  <w:divsChild>
                    <w:div w:id="870731549">
                      <w:marLeft w:val="0"/>
                      <w:marRight w:val="0"/>
                      <w:marTop w:val="0"/>
                      <w:marBottom w:val="0"/>
                      <w:divBdr>
                        <w:top w:val="none" w:sz="0" w:space="0" w:color="auto"/>
                        <w:left w:val="none" w:sz="0" w:space="0" w:color="auto"/>
                        <w:bottom w:val="none" w:sz="0" w:space="0" w:color="auto"/>
                        <w:right w:val="none" w:sz="0" w:space="0" w:color="auto"/>
                      </w:divBdr>
                    </w:div>
                  </w:divsChild>
                </w:div>
                <w:div w:id="903446353">
                  <w:marLeft w:val="0"/>
                  <w:marRight w:val="0"/>
                  <w:marTop w:val="0"/>
                  <w:marBottom w:val="0"/>
                  <w:divBdr>
                    <w:top w:val="none" w:sz="0" w:space="0" w:color="auto"/>
                    <w:left w:val="none" w:sz="0" w:space="0" w:color="auto"/>
                    <w:bottom w:val="none" w:sz="0" w:space="0" w:color="auto"/>
                    <w:right w:val="none" w:sz="0" w:space="0" w:color="auto"/>
                  </w:divBdr>
                  <w:divsChild>
                    <w:div w:id="393428360">
                      <w:marLeft w:val="0"/>
                      <w:marRight w:val="0"/>
                      <w:marTop w:val="0"/>
                      <w:marBottom w:val="0"/>
                      <w:divBdr>
                        <w:top w:val="none" w:sz="0" w:space="0" w:color="auto"/>
                        <w:left w:val="none" w:sz="0" w:space="0" w:color="auto"/>
                        <w:bottom w:val="none" w:sz="0" w:space="0" w:color="auto"/>
                        <w:right w:val="none" w:sz="0" w:space="0" w:color="auto"/>
                      </w:divBdr>
                    </w:div>
                  </w:divsChild>
                </w:div>
                <w:div w:id="962804911">
                  <w:marLeft w:val="0"/>
                  <w:marRight w:val="0"/>
                  <w:marTop w:val="0"/>
                  <w:marBottom w:val="0"/>
                  <w:divBdr>
                    <w:top w:val="none" w:sz="0" w:space="0" w:color="auto"/>
                    <w:left w:val="none" w:sz="0" w:space="0" w:color="auto"/>
                    <w:bottom w:val="none" w:sz="0" w:space="0" w:color="auto"/>
                    <w:right w:val="none" w:sz="0" w:space="0" w:color="auto"/>
                  </w:divBdr>
                  <w:divsChild>
                    <w:div w:id="241305555">
                      <w:marLeft w:val="0"/>
                      <w:marRight w:val="0"/>
                      <w:marTop w:val="0"/>
                      <w:marBottom w:val="0"/>
                      <w:divBdr>
                        <w:top w:val="none" w:sz="0" w:space="0" w:color="auto"/>
                        <w:left w:val="none" w:sz="0" w:space="0" w:color="auto"/>
                        <w:bottom w:val="none" w:sz="0" w:space="0" w:color="auto"/>
                        <w:right w:val="none" w:sz="0" w:space="0" w:color="auto"/>
                      </w:divBdr>
                    </w:div>
                  </w:divsChild>
                </w:div>
                <w:div w:id="965549953">
                  <w:marLeft w:val="0"/>
                  <w:marRight w:val="0"/>
                  <w:marTop w:val="0"/>
                  <w:marBottom w:val="0"/>
                  <w:divBdr>
                    <w:top w:val="none" w:sz="0" w:space="0" w:color="auto"/>
                    <w:left w:val="none" w:sz="0" w:space="0" w:color="auto"/>
                    <w:bottom w:val="none" w:sz="0" w:space="0" w:color="auto"/>
                    <w:right w:val="none" w:sz="0" w:space="0" w:color="auto"/>
                  </w:divBdr>
                  <w:divsChild>
                    <w:div w:id="507672843">
                      <w:marLeft w:val="0"/>
                      <w:marRight w:val="0"/>
                      <w:marTop w:val="0"/>
                      <w:marBottom w:val="0"/>
                      <w:divBdr>
                        <w:top w:val="none" w:sz="0" w:space="0" w:color="auto"/>
                        <w:left w:val="none" w:sz="0" w:space="0" w:color="auto"/>
                        <w:bottom w:val="none" w:sz="0" w:space="0" w:color="auto"/>
                        <w:right w:val="none" w:sz="0" w:space="0" w:color="auto"/>
                      </w:divBdr>
                    </w:div>
                  </w:divsChild>
                </w:div>
                <w:div w:id="1008096003">
                  <w:marLeft w:val="0"/>
                  <w:marRight w:val="0"/>
                  <w:marTop w:val="0"/>
                  <w:marBottom w:val="0"/>
                  <w:divBdr>
                    <w:top w:val="none" w:sz="0" w:space="0" w:color="auto"/>
                    <w:left w:val="none" w:sz="0" w:space="0" w:color="auto"/>
                    <w:bottom w:val="none" w:sz="0" w:space="0" w:color="auto"/>
                    <w:right w:val="none" w:sz="0" w:space="0" w:color="auto"/>
                  </w:divBdr>
                  <w:divsChild>
                    <w:div w:id="1539926478">
                      <w:marLeft w:val="0"/>
                      <w:marRight w:val="0"/>
                      <w:marTop w:val="0"/>
                      <w:marBottom w:val="0"/>
                      <w:divBdr>
                        <w:top w:val="none" w:sz="0" w:space="0" w:color="auto"/>
                        <w:left w:val="none" w:sz="0" w:space="0" w:color="auto"/>
                        <w:bottom w:val="none" w:sz="0" w:space="0" w:color="auto"/>
                        <w:right w:val="none" w:sz="0" w:space="0" w:color="auto"/>
                      </w:divBdr>
                    </w:div>
                  </w:divsChild>
                </w:div>
                <w:div w:id="1010722883">
                  <w:marLeft w:val="0"/>
                  <w:marRight w:val="0"/>
                  <w:marTop w:val="0"/>
                  <w:marBottom w:val="0"/>
                  <w:divBdr>
                    <w:top w:val="none" w:sz="0" w:space="0" w:color="auto"/>
                    <w:left w:val="none" w:sz="0" w:space="0" w:color="auto"/>
                    <w:bottom w:val="none" w:sz="0" w:space="0" w:color="auto"/>
                    <w:right w:val="none" w:sz="0" w:space="0" w:color="auto"/>
                  </w:divBdr>
                  <w:divsChild>
                    <w:div w:id="979579132">
                      <w:marLeft w:val="0"/>
                      <w:marRight w:val="0"/>
                      <w:marTop w:val="0"/>
                      <w:marBottom w:val="0"/>
                      <w:divBdr>
                        <w:top w:val="none" w:sz="0" w:space="0" w:color="auto"/>
                        <w:left w:val="none" w:sz="0" w:space="0" w:color="auto"/>
                        <w:bottom w:val="none" w:sz="0" w:space="0" w:color="auto"/>
                        <w:right w:val="none" w:sz="0" w:space="0" w:color="auto"/>
                      </w:divBdr>
                    </w:div>
                  </w:divsChild>
                </w:div>
                <w:div w:id="1021854011">
                  <w:marLeft w:val="0"/>
                  <w:marRight w:val="0"/>
                  <w:marTop w:val="0"/>
                  <w:marBottom w:val="0"/>
                  <w:divBdr>
                    <w:top w:val="none" w:sz="0" w:space="0" w:color="auto"/>
                    <w:left w:val="none" w:sz="0" w:space="0" w:color="auto"/>
                    <w:bottom w:val="none" w:sz="0" w:space="0" w:color="auto"/>
                    <w:right w:val="none" w:sz="0" w:space="0" w:color="auto"/>
                  </w:divBdr>
                  <w:divsChild>
                    <w:div w:id="556359775">
                      <w:marLeft w:val="0"/>
                      <w:marRight w:val="0"/>
                      <w:marTop w:val="0"/>
                      <w:marBottom w:val="0"/>
                      <w:divBdr>
                        <w:top w:val="none" w:sz="0" w:space="0" w:color="auto"/>
                        <w:left w:val="none" w:sz="0" w:space="0" w:color="auto"/>
                        <w:bottom w:val="none" w:sz="0" w:space="0" w:color="auto"/>
                        <w:right w:val="none" w:sz="0" w:space="0" w:color="auto"/>
                      </w:divBdr>
                    </w:div>
                  </w:divsChild>
                </w:div>
                <w:div w:id="1057047675">
                  <w:marLeft w:val="0"/>
                  <w:marRight w:val="0"/>
                  <w:marTop w:val="0"/>
                  <w:marBottom w:val="0"/>
                  <w:divBdr>
                    <w:top w:val="none" w:sz="0" w:space="0" w:color="auto"/>
                    <w:left w:val="none" w:sz="0" w:space="0" w:color="auto"/>
                    <w:bottom w:val="none" w:sz="0" w:space="0" w:color="auto"/>
                    <w:right w:val="none" w:sz="0" w:space="0" w:color="auto"/>
                  </w:divBdr>
                  <w:divsChild>
                    <w:div w:id="1958488959">
                      <w:marLeft w:val="0"/>
                      <w:marRight w:val="0"/>
                      <w:marTop w:val="0"/>
                      <w:marBottom w:val="0"/>
                      <w:divBdr>
                        <w:top w:val="none" w:sz="0" w:space="0" w:color="auto"/>
                        <w:left w:val="none" w:sz="0" w:space="0" w:color="auto"/>
                        <w:bottom w:val="none" w:sz="0" w:space="0" w:color="auto"/>
                        <w:right w:val="none" w:sz="0" w:space="0" w:color="auto"/>
                      </w:divBdr>
                    </w:div>
                  </w:divsChild>
                </w:div>
                <w:div w:id="1082534212">
                  <w:marLeft w:val="0"/>
                  <w:marRight w:val="0"/>
                  <w:marTop w:val="0"/>
                  <w:marBottom w:val="0"/>
                  <w:divBdr>
                    <w:top w:val="none" w:sz="0" w:space="0" w:color="auto"/>
                    <w:left w:val="none" w:sz="0" w:space="0" w:color="auto"/>
                    <w:bottom w:val="none" w:sz="0" w:space="0" w:color="auto"/>
                    <w:right w:val="none" w:sz="0" w:space="0" w:color="auto"/>
                  </w:divBdr>
                  <w:divsChild>
                    <w:div w:id="283389850">
                      <w:marLeft w:val="0"/>
                      <w:marRight w:val="0"/>
                      <w:marTop w:val="0"/>
                      <w:marBottom w:val="0"/>
                      <w:divBdr>
                        <w:top w:val="none" w:sz="0" w:space="0" w:color="auto"/>
                        <w:left w:val="none" w:sz="0" w:space="0" w:color="auto"/>
                        <w:bottom w:val="none" w:sz="0" w:space="0" w:color="auto"/>
                        <w:right w:val="none" w:sz="0" w:space="0" w:color="auto"/>
                      </w:divBdr>
                    </w:div>
                  </w:divsChild>
                </w:div>
                <w:div w:id="1105534224">
                  <w:marLeft w:val="0"/>
                  <w:marRight w:val="0"/>
                  <w:marTop w:val="0"/>
                  <w:marBottom w:val="0"/>
                  <w:divBdr>
                    <w:top w:val="none" w:sz="0" w:space="0" w:color="auto"/>
                    <w:left w:val="none" w:sz="0" w:space="0" w:color="auto"/>
                    <w:bottom w:val="none" w:sz="0" w:space="0" w:color="auto"/>
                    <w:right w:val="none" w:sz="0" w:space="0" w:color="auto"/>
                  </w:divBdr>
                  <w:divsChild>
                    <w:div w:id="121702756">
                      <w:marLeft w:val="0"/>
                      <w:marRight w:val="0"/>
                      <w:marTop w:val="0"/>
                      <w:marBottom w:val="0"/>
                      <w:divBdr>
                        <w:top w:val="none" w:sz="0" w:space="0" w:color="auto"/>
                        <w:left w:val="none" w:sz="0" w:space="0" w:color="auto"/>
                        <w:bottom w:val="none" w:sz="0" w:space="0" w:color="auto"/>
                        <w:right w:val="none" w:sz="0" w:space="0" w:color="auto"/>
                      </w:divBdr>
                    </w:div>
                  </w:divsChild>
                </w:div>
                <w:div w:id="1184708202">
                  <w:marLeft w:val="0"/>
                  <w:marRight w:val="0"/>
                  <w:marTop w:val="0"/>
                  <w:marBottom w:val="0"/>
                  <w:divBdr>
                    <w:top w:val="none" w:sz="0" w:space="0" w:color="auto"/>
                    <w:left w:val="none" w:sz="0" w:space="0" w:color="auto"/>
                    <w:bottom w:val="none" w:sz="0" w:space="0" w:color="auto"/>
                    <w:right w:val="none" w:sz="0" w:space="0" w:color="auto"/>
                  </w:divBdr>
                  <w:divsChild>
                    <w:div w:id="576941824">
                      <w:marLeft w:val="0"/>
                      <w:marRight w:val="0"/>
                      <w:marTop w:val="0"/>
                      <w:marBottom w:val="0"/>
                      <w:divBdr>
                        <w:top w:val="none" w:sz="0" w:space="0" w:color="auto"/>
                        <w:left w:val="none" w:sz="0" w:space="0" w:color="auto"/>
                        <w:bottom w:val="none" w:sz="0" w:space="0" w:color="auto"/>
                        <w:right w:val="none" w:sz="0" w:space="0" w:color="auto"/>
                      </w:divBdr>
                    </w:div>
                    <w:div w:id="2037345079">
                      <w:marLeft w:val="0"/>
                      <w:marRight w:val="0"/>
                      <w:marTop w:val="0"/>
                      <w:marBottom w:val="0"/>
                      <w:divBdr>
                        <w:top w:val="none" w:sz="0" w:space="0" w:color="auto"/>
                        <w:left w:val="none" w:sz="0" w:space="0" w:color="auto"/>
                        <w:bottom w:val="none" w:sz="0" w:space="0" w:color="auto"/>
                        <w:right w:val="none" w:sz="0" w:space="0" w:color="auto"/>
                      </w:divBdr>
                    </w:div>
                  </w:divsChild>
                </w:div>
                <w:div w:id="1194539082">
                  <w:marLeft w:val="0"/>
                  <w:marRight w:val="0"/>
                  <w:marTop w:val="0"/>
                  <w:marBottom w:val="0"/>
                  <w:divBdr>
                    <w:top w:val="none" w:sz="0" w:space="0" w:color="auto"/>
                    <w:left w:val="none" w:sz="0" w:space="0" w:color="auto"/>
                    <w:bottom w:val="none" w:sz="0" w:space="0" w:color="auto"/>
                    <w:right w:val="none" w:sz="0" w:space="0" w:color="auto"/>
                  </w:divBdr>
                  <w:divsChild>
                    <w:div w:id="407729435">
                      <w:marLeft w:val="0"/>
                      <w:marRight w:val="0"/>
                      <w:marTop w:val="0"/>
                      <w:marBottom w:val="0"/>
                      <w:divBdr>
                        <w:top w:val="none" w:sz="0" w:space="0" w:color="auto"/>
                        <w:left w:val="none" w:sz="0" w:space="0" w:color="auto"/>
                        <w:bottom w:val="none" w:sz="0" w:space="0" w:color="auto"/>
                        <w:right w:val="none" w:sz="0" w:space="0" w:color="auto"/>
                      </w:divBdr>
                    </w:div>
                  </w:divsChild>
                </w:div>
                <w:div w:id="1250776935">
                  <w:marLeft w:val="0"/>
                  <w:marRight w:val="0"/>
                  <w:marTop w:val="0"/>
                  <w:marBottom w:val="0"/>
                  <w:divBdr>
                    <w:top w:val="none" w:sz="0" w:space="0" w:color="auto"/>
                    <w:left w:val="none" w:sz="0" w:space="0" w:color="auto"/>
                    <w:bottom w:val="none" w:sz="0" w:space="0" w:color="auto"/>
                    <w:right w:val="none" w:sz="0" w:space="0" w:color="auto"/>
                  </w:divBdr>
                  <w:divsChild>
                    <w:div w:id="488599655">
                      <w:marLeft w:val="0"/>
                      <w:marRight w:val="0"/>
                      <w:marTop w:val="0"/>
                      <w:marBottom w:val="0"/>
                      <w:divBdr>
                        <w:top w:val="none" w:sz="0" w:space="0" w:color="auto"/>
                        <w:left w:val="none" w:sz="0" w:space="0" w:color="auto"/>
                        <w:bottom w:val="none" w:sz="0" w:space="0" w:color="auto"/>
                        <w:right w:val="none" w:sz="0" w:space="0" w:color="auto"/>
                      </w:divBdr>
                    </w:div>
                    <w:div w:id="1065840283">
                      <w:marLeft w:val="0"/>
                      <w:marRight w:val="0"/>
                      <w:marTop w:val="0"/>
                      <w:marBottom w:val="0"/>
                      <w:divBdr>
                        <w:top w:val="none" w:sz="0" w:space="0" w:color="auto"/>
                        <w:left w:val="none" w:sz="0" w:space="0" w:color="auto"/>
                        <w:bottom w:val="none" w:sz="0" w:space="0" w:color="auto"/>
                        <w:right w:val="none" w:sz="0" w:space="0" w:color="auto"/>
                      </w:divBdr>
                    </w:div>
                  </w:divsChild>
                </w:div>
                <w:div w:id="1254128110">
                  <w:marLeft w:val="0"/>
                  <w:marRight w:val="0"/>
                  <w:marTop w:val="0"/>
                  <w:marBottom w:val="0"/>
                  <w:divBdr>
                    <w:top w:val="none" w:sz="0" w:space="0" w:color="auto"/>
                    <w:left w:val="none" w:sz="0" w:space="0" w:color="auto"/>
                    <w:bottom w:val="none" w:sz="0" w:space="0" w:color="auto"/>
                    <w:right w:val="none" w:sz="0" w:space="0" w:color="auto"/>
                  </w:divBdr>
                  <w:divsChild>
                    <w:div w:id="654796162">
                      <w:marLeft w:val="0"/>
                      <w:marRight w:val="0"/>
                      <w:marTop w:val="0"/>
                      <w:marBottom w:val="0"/>
                      <w:divBdr>
                        <w:top w:val="none" w:sz="0" w:space="0" w:color="auto"/>
                        <w:left w:val="none" w:sz="0" w:space="0" w:color="auto"/>
                        <w:bottom w:val="none" w:sz="0" w:space="0" w:color="auto"/>
                        <w:right w:val="none" w:sz="0" w:space="0" w:color="auto"/>
                      </w:divBdr>
                    </w:div>
                  </w:divsChild>
                </w:div>
                <w:div w:id="1283611712">
                  <w:marLeft w:val="0"/>
                  <w:marRight w:val="0"/>
                  <w:marTop w:val="0"/>
                  <w:marBottom w:val="0"/>
                  <w:divBdr>
                    <w:top w:val="none" w:sz="0" w:space="0" w:color="auto"/>
                    <w:left w:val="none" w:sz="0" w:space="0" w:color="auto"/>
                    <w:bottom w:val="none" w:sz="0" w:space="0" w:color="auto"/>
                    <w:right w:val="none" w:sz="0" w:space="0" w:color="auto"/>
                  </w:divBdr>
                  <w:divsChild>
                    <w:div w:id="1804228382">
                      <w:marLeft w:val="0"/>
                      <w:marRight w:val="0"/>
                      <w:marTop w:val="0"/>
                      <w:marBottom w:val="0"/>
                      <w:divBdr>
                        <w:top w:val="none" w:sz="0" w:space="0" w:color="auto"/>
                        <w:left w:val="none" w:sz="0" w:space="0" w:color="auto"/>
                        <w:bottom w:val="none" w:sz="0" w:space="0" w:color="auto"/>
                        <w:right w:val="none" w:sz="0" w:space="0" w:color="auto"/>
                      </w:divBdr>
                    </w:div>
                  </w:divsChild>
                </w:div>
                <w:div w:id="1308513212">
                  <w:marLeft w:val="0"/>
                  <w:marRight w:val="0"/>
                  <w:marTop w:val="0"/>
                  <w:marBottom w:val="0"/>
                  <w:divBdr>
                    <w:top w:val="none" w:sz="0" w:space="0" w:color="auto"/>
                    <w:left w:val="none" w:sz="0" w:space="0" w:color="auto"/>
                    <w:bottom w:val="none" w:sz="0" w:space="0" w:color="auto"/>
                    <w:right w:val="none" w:sz="0" w:space="0" w:color="auto"/>
                  </w:divBdr>
                  <w:divsChild>
                    <w:div w:id="1072047706">
                      <w:marLeft w:val="0"/>
                      <w:marRight w:val="0"/>
                      <w:marTop w:val="0"/>
                      <w:marBottom w:val="0"/>
                      <w:divBdr>
                        <w:top w:val="none" w:sz="0" w:space="0" w:color="auto"/>
                        <w:left w:val="none" w:sz="0" w:space="0" w:color="auto"/>
                        <w:bottom w:val="none" w:sz="0" w:space="0" w:color="auto"/>
                        <w:right w:val="none" w:sz="0" w:space="0" w:color="auto"/>
                      </w:divBdr>
                    </w:div>
                  </w:divsChild>
                </w:div>
                <w:div w:id="1342126119">
                  <w:marLeft w:val="0"/>
                  <w:marRight w:val="0"/>
                  <w:marTop w:val="0"/>
                  <w:marBottom w:val="0"/>
                  <w:divBdr>
                    <w:top w:val="none" w:sz="0" w:space="0" w:color="auto"/>
                    <w:left w:val="none" w:sz="0" w:space="0" w:color="auto"/>
                    <w:bottom w:val="none" w:sz="0" w:space="0" w:color="auto"/>
                    <w:right w:val="none" w:sz="0" w:space="0" w:color="auto"/>
                  </w:divBdr>
                  <w:divsChild>
                    <w:div w:id="1420372954">
                      <w:marLeft w:val="0"/>
                      <w:marRight w:val="0"/>
                      <w:marTop w:val="0"/>
                      <w:marBottom w:val="0"/>
                      <w:divBdr>
                        <w:top w:val="none" w:sz="0" w:space="0" w:color="auto"/>
                        <w:left w:val="none" w:sz="0" w:space="0" w:color="auto"/>
                        <w:bottom w:val="none" w:sz="0" w:space="0" w:color="auto"/>
                        <w:right w:val="none" w:sz="0" w:space="0" w:color="auto"/>
                      </w:divBdr>
                    </w:div>
                  </w:divsChild>
                </w:div>
                <w:div w:id="1366055277">
                  <w:marLeft w:val="0"/>
                  <w:marRight w:val="0"/>
                  <w:marTop w:val="0"/>
                  <w:marBottom w:val="0"/>
                  <w:divBdr>
                    <w:top w:val="none" w:sz="0" w:space="0" w:color="auto"/>
                    <w:left w:val="none" w:sz="0" w:space="0" w:color="auto"/>
                    <w:bottom w:val="none" w:sz="0" w:space="0" w:color="auto"/>
                    <w:right w:val="none" w:sz="0" w:space="0" w:color="auto"/>
                  </w:divBdr>
                  <w:divsChild>
                    <w:div w:id="1982080728">
                      <w:marLeft w:val="0"/>
                      <w:marRight w:val="0"/>
                      <w:marTop w:val="0"/>
                      <w:marBottom w:val="0"/>
                      <w:divBdr>
                        <w:top w:val="none" w:sz="0" w:space="0" w:color="auto"/>
                        <w:left w:val="none" w:sz="0" w:space="0" w:color="auto"/>
                        <w:bottom w:val="none" w:sz="0" w:space="0" w:color="auto"/>
                        <w:right w:val="none" w:sz="0" w:space="0" w:color="auto"/>
                      </w:divBdr>
                    </w:div>
                  </w:divsChild>
                </w:div>
                <w:div w:id="1382751381">
                  <w:marLeft w:val="0"/>
                  <w:marRight w:val="0"/>
                  <w:marTop w:val="0"/>
                  <w:marBottom w:val="0"/>
                  <w:divBdr>
                    <w:top w:val="none" w:sz="0" w:space="0" w:color="auto"/>
                    <w:left w:val="none" w:sz="0" w:space="0" w:color="auto"/>
                    <w:bottom w:val="none" w:sz="0" w:space="0" w:color="auto"/>
                    <w:right w:val="none" w:sz="0" w:space="0" w:color="auto"/>
                  </w:divBdr>
                  <w:divsChild>
                    <w:div w:id="801188565">
                      <w:marLeft w:val="0"/>
                      <w:marRight w:val="0"/>
                      <w:marTop w:val="0"/>
                      <w:marBottom w:val="0"/>
                      <w:divBdr>
                        <w:top w:val="none" w:sz="0" w:space="0" w:color="auto"/>
                        <w:left w:val="none" w:sz="0" w:space="0" w:color="auto"/>
                        <w:bottom w:val="none" w:sz="0" w:space="0" w:color="auto"/>
                        <w:right w:val="none" w:sz="0" w:space="0" w:color="auto"/>
                      </w:divBdr>
                    </w:div>
                  </w:divsChild>
                </w:div>
                <w:div w:id="1386023928">
                  <w:marLeft w:val="0"/>
                  <w:marRight w:val="0"/>
                  <w:marTop w:val="0"/>
                  <w:marBottom w:val="0"/>
                  <w:divBdr>
                    <w:top w:val="none" w:sz="0" w:space="0" w:color="auto"/>
                    <w:left w:val="none" w:sz="0" w:space="0" w:color="auto"/>
                    <w:bottom w:val="none" w:sz="0" w:space="0" w:color="auto"/>
                    <w:right w:val="none" w:sz="0" w:space="0" w:color="auto"/>
                  </w:divBdr>
                  <w:divsChild>
                    <w:div w:id="1872109339">
                      <w:marLeft w:val="0"/>
                      <w:marRight w:val="0"/>
                      <w:marTop w:val="0"/>
                      <w:marBottom w:val="0"/>
                      <w:divBdr>
                        <w:top w:val="none" w:sz="0" w:space="0" w:color="auto"/>
                        <w:left w:val="none" w:sz="0" w:space="0" w:color="auto"/>
                        <w:bottom w:val="none" w:sz="0" w:space="0" w:color="auto"/>
                        <w:right w:val="none" w:sz="0" w:space="0" w:color="auto"/>
                      </w:divBdr>
                    </w:div>
                  </w:divsChild>
                </w:div>
                <w:div w:id="1420519081">
                  <w:marLeft w:val="0"/>
                  <w:marRight w:val="0"/>
                  <w:marTop w:val="0"/>
                  <w:marBottom w:val="0"/>
                  <w:divBdr>
                    <w:top w:val="none" w:sz="0" w:space="0" w:color="auto"/>
                    <w:left w:val="none" w:sz="0" w:space="0" w:color="auto"/>
                    <w:bottom w:val="none" w:sz="0" w:space="0" w:color="auto"/>
                    <w:right w:val="none" w:sz="0" w:space="0" w:color="auto"/>
                  </w:divBdr>
                  <w:divsChild>
                    <w:div w:id="100691638">
                      <w:marLeft w:val="0"/>
                      <w:marRight w:val="0"/>
                      <w:marTop w:val="0"/>
                      <w:marBottom w:val="0"/>
                      <w:divBdr>
                        <w:top w:val="none" w:sz="0" w:space="0" w:color="auto"/>
                        <w:left w:val="none" w:sz="0" w:space="0" w:color="auto"/>
                        <w:bottom w:val="none" w:sz="0" w:space="0" w:color="auto"/>
                        <w:right w:val="none" w:sz="0" w:space="0" w:color="auto"/>
                      </w:divBdr>
                    </w:div>
                  </w:divsChild>
                </w:div>
                <w:div w:id="1481313516">
                  <w:marLeft w:val="0"/>
                  <w:marRight w:val="0"/>
                  <w:marTop w:val="0"/>
                  <w:marBottom w:val="0"/>
                  <w:divBdr>
                    <w:top w:val="none" w:sz="0" w:space="0" w:color="auto"/>
                    <w:left w:val="none" w:sz="0" w:space="0" w:color="auto"/>
                    <w:bottom w:val="none" w:sz="0" w:space="0" w:color="auto"/>
                    <w:right w:val="none" w:sz="0" w:space="0" w:color="auto"/>
                  </w:divBdr>
                  <w:divsChild>
                    <w:div w:id="275917402">
                      <w:marLeft w:val="0"/>
                      <w:marRight w:val="0"/>
                      <w:marTop w:val="0"/>
                      <w:marBottom w:val="0"/>
                      <w:divBdr>
                        <w:top w:val="none" w:sz="0" w:space="0" w:color="auto"/>
                        <w:left w:val="none" w:sz="0" w:space="0" w:color="auto"/>
                        <w:bottom w:val="none" w:sz="0" w:space="0" w:color="auto"/>
                        <w:right w:val="none" w:sz="0" w:space="0" w:color="auto"/>
                      </w:divBdr>
                    </w:div>
                  </w:divsChild>
                </w:div>
                <w:div w:id="1515807147">
                  <w:marLeft w:val="0"/>
                  <w:marRight w:val="0"/>
                  <w:marTop w:val="0"/>
                  <w:marBottom w:val="0"/>
                  <w:divBdr>
                    <w:top w:val="none" w:sz="0" w:space="0" w:color="auto"/>
                    <w:left w:val="none" w:sz="0" w:space="0" w:color="auto"/>
                    <w:bottom w:val="none" w:sz="0" w:space="0" w:color="auto"/>
                    <w:right w:val="none" w:sz="0" w:space="0" w:color="auto"/>
                  </w:divBdr>
                  <w:divsChild>
                    <w:div w:id="2016490875">
                      <w:marLeft w:val="0"/>
                      <w:marRight w:val="0"/>
                      <w:marTop w:val="0"/>
                      <w:marBottom w:val="0"/>
                      <w:divBdr>
                        <w:top w:val="none" w:sz="0" w:space="0" w:color="auto"/>
                        <w:left w:val="none" w:sz="0" w:space="0" w:color="auto"/>
                        <w:bottom w:val="none" w:sz="0" w:space="0" w:color="auto"/>
                        <w:right w:val="none" w:sz="0" w:space="0" w:color="auto"/>
                      </w:divBdr>
                    </w:div>
                  </w:divsChild>
                </w:div>
                <w:div w:id="1618104399">
                  <w:marLeft w:val="0"/>
                  <w:marRight w:val="0"/>
                  <w:marTop w:val="0"/>
                  <w:marBottom w:val="0"/>
                  <w:divBdr>
                    <w:top w:val="none" w:sz="0" w:space="0" w:color="auto"/>
                    <w:left w:val="none" w:sz="0" w:space="0" w:color="auto"/>
                    <w:bottom w:val="none" w:sz="0" w:space="0" w:color="auto"/>
                    <w:right w:val="none" w:sz="0" w:space="0" w:color="auto"/>
                  </w:divBdr>
                  <w:divsChild>
                    <w:div w:id="1151630914">
                      <w:marLeft w:val="0"/>
                      <w:marRight w:val="0"/>
                      <w:marTop w:val="0"/>
                      <w:marBottom w:val="0"/>
                      <w:divBdr>
                        <w:top w:val="none" w:sz="0" w:space="0" w:color="auto"/>
                        <w:left w:val="none" w:sz="0" w:space="0" w:color="auto"/>
                        <w:bottom w:val="none" w:sz="0" w:space="0" w:color="auto"/>
                        <w:right w:val="none" w:sz="0" w:space="0" w:color="auto"/>
                      </w:divBdr>
                    </w:div>
                    <w:div w:id="1377003669">
                      <w:marLeft w:val="0"/>
                      <w:marRight w:val="0"/>
                      <w:marTop w:val="0"/>
                      <w:marBottom w:val="0"/>
                      <w:divBdr>
                        <w:top w:val="none" w:sz="0" w:space="0" w:color="auto"/>
                        <w:left w:val="none" w:sz="0" w:space="0" w:color="auto"/>
                        <w:bottom w:val="none" w:sz="0" w:space="0" w:color="auto"/>
                        <w:right w:val="none" w:sz="0" w:space="0" w:color="auto"/>
                      </w:divBdr>
                    </w:div>
                  </w:divsChild>
                </w:div>
                <w:div w:id="1619602478">
                  <w:marLeft w:val="0"/>
                  <w:marRight w:val="0"/>
                  <w:marTop w:val="0"/>
                  <w:marBottom w:val="0"/>
                  <w:divBdr>
                    <w:top w:val="none" w:sz="0" w:space="0" w:color="auto"/>
                    <w:left w:val="none" w:sz="0" w:space="0" w:color="auto"/>
                    <w:bottom w:val="none" w:sz="0" w:space="0" w:color="auto"/>
                    <w:right w:val="none" w:sz="0" w:space="0" w:color="auto"/>
                  </w:divBdr>
                  <w:divsChild>
                    <w:div w:id="1474563085">
                      <w:marLeft w:val="0"/>
                      <w:marRight w:val="0"/>
                      <w:marTop w:val="0"/>
                      <w:marBottom w:val="0"/>
                      <w:divBdr>
                        <w:top w:val="none" w:sz="0" w:space="0" w:color="auto"/>
                        <w:left w:val="none" w:sz="0" w:space="0" w:color="auto"/>
                        <w:bottom w:val="none" w:sz="0" w:space="0" w:color="auto"/>
                        <w:right w:val="none" w:sz="0" w:space="0" w:color="auto"/>
                      </w:divBdr>
                    </w:div>
                  </w:divsChild>
                </w:div>
                <w:div w:id="1638296020">
                  <w:marLeft w:val="0"/>
                  <w:marRight w:val="0"/>
                  <w:marTop w:val="0"/>
                  <w:marBottom w:val="0"/>
                  <w:divBdr>
                    <w:top w:val="none" w:sz="0" w:space="0" w:color="auto"/>
                    <w:left w:val="none" w:sz="0" w:space="0" w:color="auto"/>
                    <w:bottom w:val="none" w:sz="0" w:space="0" w:color="auto"/>
                    <w:right w:val="none" w:sz="0" w:space="0" w:color="auto"/>
                  </w:divBdr>
                  <w:divsChild>
                    <w:div w:id="1478760078">
                      <w:marLeft w:val="0"/>
                      <w:marRight w:val="0"/>
                      <w:marTop w:val="0"/>
                      <w:marBottom w:val="0"/>
                      <w:divBdr>
                        <w:top w:val="none" w:sz="0" w:space="0" w:color="auto"/>
                        <w:left w:val="none" w:sz="0" w:space="0" w:color="auto"/>
                        <w:bottom w:val="none" w:sz="0" w:space="0" w:color="auto"/>
                        <w:right w:val="none" w:sz="0" w:space="0" w:color="auto"/>
                      </w:divBdr>
                    </w:div>
                  </w:divsChild>
                </w:div>
                <w:div w:id="1641112491">
                  <w:marLeft w:val="0"/>
                  <w:marRight w:val="0"/>
                  <w:marTop w:val="0"/>
                  <w:marBottom w:val="0"/>
                  <w:divBdr>
                    <w:top w:val="none" w:sz="0" w:space="0" w:color="auto"/>
                    <w:left w:val="none" w:sz="0" w:space="0" w:color="auto"/>
                    <w:bottom w:val="none" w:sz="0" w:space="0" w:color="auto"/>
                    <w:right w:val="none" w:sz="0" w:space="0" w:color="auto"/>
                  </w:divBdr>
                  <w:divsChild>
                    <w:div w:id="459033728">
                      <w:marLeft w:val="0"/>
                      <w:marRight w:val="0"/>
                      <w:marTop w:val="0"/>
                      <w:marBottom w:val="0"/>
                      <w:divBdr>
                        <w:top w:val="none" w:sz="0" w:space="0" w:color="auto"/>
                        <w:left w:val="none" w:sz="0" w:space="0" w:color="auto"/>
                        <w:bottom w:val="none" w:sz="0" w:space="0" w:color="auto"/>
                        <w:right w:val="none" w:sz="0" w:space="0" w:color="auto"/>
                      </w:divBdr>
                    </w:div>
                    <w:div w:id="1021667241">
                      <w:marLeft w:val="0"/>
                      <w:marRight w:val="0"/>
                      <w:marTop w:val="0"/>
                      <w:marBottom w:val="0"/>
                      <w:divBdr>
                        <w:top w:val="none" w:sz="0" w:space="0" w:color="auto"/>
                        <w:left w:val="none" w:sz="0" w:space="0" w:color="auto"/>
                        <w:bottom w:val="none" w:sz="0" w:space="0" w:color="auto"/>
                        <w:right w:val="none" w:sz="0" w:space="0" w:color="auto"/>
                      </w:divBdr>
                    </w:div>
                    <w:div w:id="2003970319">
                      <w:marLeft w:val="0"/>
                      <w:marRight w:val="0"/>
                      <w:marTop w:val="0"/>
                      <w:marBottom w:val="0"/>
                      <w:divBdr>
                        <w:top w:val="none" w:sz="0" w:space="0" w:color="auto"/>
                        <w:left w:val="none" w:sz="0" w:space="0" w:color="auto"/>
                        <w:bottom w:val="none" w:sz="0" w:space="0" w:color="auto"/>
                        <w:right w:val="none" w:sz="0" w:space="0" w:color="auto"/>
                      </w:divBdr>
                    </w:div>
                  </w:divsChild>
                </w:div>
                <w:div w:id="1652293913">
                  <w:marLeft w:val="0"/>
                  <w:marRight w:val="0"/>
                  <w:marTop w:val="0"/>
                  <w:marBottom w:val="0"/>
                  <w:divBdr>
                    <w:top w:val="none" w:sz="0" w:space="0" w:color="auto"/>
                    <w:left w:val="none" w:sz="0" w:space="0" w:color="auto"/>
                    <w:bottom w:val="none" w:sz="0" w:space="0" w:color="auto"/>
                    <w:right w:val="none" w:sz="0" w:space="0" w:color="auto"/>
                  </w:divBdr>
                  <w:divsChild>
                    <w:div w:id="131753038">
                      <w:marLeft w:val="0"/>
                      <w:marRight w:val="0"/>
                      <w:marTop w:val="0"/>
                      <w:marBottom w:val="0"/>
                      <w:divBdr>
                        <w:top w:val="none" w:sz="0" w:space="0" w:color="auto"/>
                        <w:left w:val="none" w:sz="0" w:space="0" w:color="auto"/>
                        <w:bottom w:val="none" w:sz="0" w:space="0" w:color="auto"/>
                        <w:right w:val="none" w:sz="0" w:space="0" w:color="auto"/>
                      </w:divBdr>
                    </w:div>
                    <w:div w:id="453402790">
                      <w:marLeft w:val="0"/>
                      <w:marRight w:val="0"/>
                      <w:marTop w:val="0"/>
                      <w:marBottom w:val="0"/>
                      <w:divBdr>
                        <w:top w:val="none" w:sz="0" w:space="0" w:color="auto"/>
                        <w:left w:val="none" w:sz="0" w:space="0" w:color="auto"/>
                        <w:bottom w:val="none" w:sz="0" w:space="0" w:color="auto"/>
                        <w:right w:val="none" w:sz="0" w:space="0" w:color="auto"/>
                      </w:divBdr>
                    </w:div>
                    <w:div w:id="1090354598">
                      <w:marLeft w:val="0"/>
                      <w:marRight w:val="0"/>
                      <w:marTop w:val="0"/>
                      <w:marBottom w:val="0"/>
                      <w:divBdr>
                        <w:top w:val="none" w:sz="0" w:space="0" w:color="auto"/>
                        <w:left w:val="none" w:sz="0" w:space="0" w:color="auto"/>
                        <w:bottom w:val="none" w:sz="0" w:space="0" w:color="auto"/>
                        <w:right w:val="none" w:sz="0" w:space="0" w:color="auto"/>
                      </w:divBdr>
                    </w:div>
                  </w:divsChild>
                </w:div>
                <w:div w:id="1659112652">
                  <w:marLeft w:val="0"/>
                  <w:marRight w:val="0"/>
                  <w:marTop w:val="0"/>
                  <w:marBottom w:val="0"/>
                  <w:divBdr>
                    <w:top w:val="none" w:sz="0" w:space="0" w:color="auto"/>
                    <w:left w:val="none" w:sz="0" w:space="0" w:color="auto"/>
                    <w:bottom w:val="none" w:sz="0" w:space="0" w:color="auto"/>
                    <w:right w:val="none" w:sz="0" w:space="0" w:color="auto"/>
                  </w:divBdr>
                  <w:divsChild>
                    <w:div w:id="1353917308">
                      <w:marLeft w:val="0"/>
                      <w:marRight w:val="0"/>
                      <w:marTop w:val="0"/>
                      <w:marBottom w:val="0"/>
                      <w:divBdr>
                        <w:top w:val="none" w:sz="0" w:space="0" w:color="auto"/>
                        <w:left w:val="none" w:sz="0" w:space="0" w:color="auto"/>
                        <w:bottom w:val="none" w:sz="0" w:space="0" w:color="auto"/>
                        <w:right w:val="none" w:sz="0" w:space="0" w:color="auto"/>
                      </w:divBdr>
                    </w:div>
                  </w:divsChild>
                </w:div>
                <w:div w:id="1670254138">
                  <w:marLeft w:val="0"/>
                  <w:marRight w:val="0"/>
                  <w:marTop w:val="0"/>
                  <w:marBottom w:val="0"/>
                  <w:divBdr>
                    <w:top w:val="none" w:sz="0" w:space="0" w:color="auto"/>
                    <w:left w:val="none" w:sz="0" w:space="0" w:color="auto"/>
                    <w:bottom w:val="none" w:sz="0" w:space="0" w:color="auto"/>
                    <w:right w:val="none" w:sz="0" w:space="0" w:color="auto"/>
                  </w:divBdr>
                  <w:divsChild>
                    <w:div w:id="1379281795">
                      <w:marLeft w:val="0"/>
                      <w:marRight w:val="0"/>
                      <w:marTop w:val="0"/>
                      <w:marBottom w:val="0"/>
                      <w:divBdr>
                        <w:top w:val="none" w:sz="0" w:space="0" w:color="auto"/>
                        <w:left w:val="none" w:sz="0" w:space="0" w:color="auto"/>
                        <w:bottom w:val="none" w:sz="0" w:space="0" w:color="auto"/>
                        <w:right w:val="none" w:sz="0" w:space="0" w:color="auto"/>
                      </w:divBdr>
                    </w:div>
                  </w:divsChild>
                </w:div>
                <w:div w:id="1672682290">
                  <w:marLeft w:val="0"/>
                  <w:marRight w:val="0"/>
                  <w:marTop w:val="0"/>
                  <w:marBottom w:val="0"/>
                  <w:divBdr>
                    <w:top w:val="none" w:sz="0" w:space="0" w:color="auto"/>
                    <w:left w:val="none" w:sz="0" w:space="0" w:color="auto"/>
                    <w:bottom w:val="none" w:sz="0" w:space="0" w:color="auto"/>
                    <w:right w:val="none" w:sz="0" w:space="0" w:color="auto"/>
                  </w:divBdr>
                  <w:divsChild>
                    <w:div w:id="756438687">
                      <w:marLeft w:val="0"/>
                      <w:marRight w:val="0"/>
                      <w:marTop w:val="0"/>
                      <w:marBottom w:val="0"/>
                      <w:divBdr>
                        <w:top w:val="none" w:sz="0" w:space="0" w:color="auto"/>
                        <w:left w:val="none" w:sz="0" w:space="0" w:color="auto"/>
                        <w:bottom w:val="none" w:sz="0" w:space="0" w:color="auto"/>
                        <w:right w:val="none" w:sz="0" w:space="0" w:color="auto"/>
                      </w:divBdr>
                    </w:div>
                    <w:div w:id="1093628134">
                      <w:marLeft w:val="0"/>
                      <w:marRight w:val="0"/>
                      <w:marTop w:val="0"/>
                      <w:marBottom w:val="0"/>
                      <w:divBdr>
                        <w:top w:val="none" w:sz="0" w:space="0" w:color="auto"/>
                        <w:left w:val="none" w:sz="0" w:space="0" w:color="auto"/>
                        <w:bottom w:val="none" w:sz="0" w:space="0" w:color="auto"/>
                        <w:right w:val="none" w:sz="0" w:space="0" w:color="auto"/>
                      </w:divBdr>
                    </w:div>
                  </w:divsChild>
                </w:div>
                <w:div w:id="1683630532">
                  <w:marLeft w:val="0"/>
                  <w:marRight w:val="0"/>
                  <w:marTop w:val="0"/>
                  <w:marBottom w:val="0"/>
                  <w:divBdr>
                    <w:top w:val="none" w:sz="0" w:space="0" w:color="auto"/>
                    <w:left w:val="none" w:sz="0" w:space="0" w:color="auto"/>
                    <w:bottom w:val="none" w:sz="0" w:space="0" w:color="auto"/>
                    <w:right w:val="none" w:sz="0" w:space="0" w:color="auto"/>
                  </w:divBdr>
                  <w:divsChild>
                    <w:div w:id="2083092955">
                      <w:marLeft w:val="0"/>
                      <w:marRight w:val="0"/>
                      <w:marTop w:val="0"/>
                      <w:marBottom w:val="0"/>
                      <w:divBdr>
                        <w:top w:val="none" w:sz="0" w:space="0" w:color="auto"/>
                        <w:left w:val="none" w:sz="0" w:space="0" w:color="auto"/>
                        <w:bottom w:val="none" w:sz="0" w:space="0" w:color="auto"/>
                        <w:right w:val="none" w:sz="0" w:space="0" w:color="auto"/>
                      </w:divBdr>
                    </w:div>
                  </w:divsChild>
                </w:div>
                <w:div w:id="1691057572">
                  <w:marLeft w:val="0"/>
                  <w:marRight w:val="0"/>
                  <w:marTop w:val="0"/>
                  <w:marBottom w:val="0"/>
                  <w:divBdr>
                    <w:top w:val="none" w:sz="0" w:space="0" w:color="auto"/>
                    <w:left w:val="none" w:sz="0" w:space="0" w:color="auto"/>
                    <w:bottom w:val="none" w:sz="0" w:space="0" w:color="auto"/>
                    <w:right w:val="none" w:sz="0" w:space="0" w:color="auto"/>
                  </w:divBdr>
                  <w:divsChild>
                    <w:div w:id="383719567">
                      <w:marLeft w:val="0"/>
                      <w:marRight w:val="0"/>
                      <w:marTop w:val="0"/>
                      <w:marBottom w:val="0"/>
                      <w:divBdr>
                        <w:top w:val="none" w:sz="0" w:space="0" w:color="auto"/>
                        <w:left w:val="none" w:sz="0" w:space="0" w:color="auto"/>
                        <w:bottom w:val="none" w:sz="0" w:space="0" w:color="auto"/>
                        <w:right w:val="none" w:sz="0" w:space="0" w:color="auto"/>
                      </w:divBdr>
                    </w:div>
                    <w:div w:id="777139199">
                      <w:marLeft w:val="0"/>
                      <w:marRight w:val="0"/>
                      <w:marTop w:val="0"/>
                      <w:marBottom w:val="0"/>
                      <w:divBdr>
                        <w:top w:val="none" w:sz="0" w:space="0" w:color="auto"/>
                        <w:left w:val="none" w:sz="0" w:space="0" w:color="auto"/>
                        <w:bottom w:val="none" w:sz="0" w:space="0" w:color="auto"/>
                        <w:right w:val="none" w:sz="0" w:space="0" w:color="auto"/>
                      </w:divBdr>
                    </w:div>
                    <w:div w:id="970328812">
                      <w:marLeft w:val="0"/>
                      <w:marRight w:val="0"/>
                      <w:marTop w:val="0"/>
                      <w:marBottom w:val="0"/>
                      <w:divBdr>
                        <w:top w:val="none" w:sz="0" w:space="0" w:color="auto"/>
                        <w:left w:val="none" w:sz="0" w:space="0" w:color="auto"/>
                        <w:bottom w:val="none" w:sz="0" w:space="0" w:color="auto"/>
                        <w:right w:val="none" w:sz="0" w:space="0" w:color="auto"/>
                      </w:divBdr>
                    </w:div>
                  </w:divsChild>
                </w:div>
                <w:div w:id="1716007113">
                  <w:marLeft w:val="0"/>
                  <w:marRight w:val="0"/>
                  <w:marTop w:val="0"/>
                  <w:marBottom w:val="0"/>
                  <w:divBdr>
                    <w:top w:val="none" w:sz="0" w:space="0" w:color="auto"/>
                    <w:left w:val="none" w:sz="0" w:space="0" w:color="auto"/>
                    <w:bottom w:val="none" w:sz="0" w:space="0" w:color="auto"/>
                    <w:right w:val="none" w:sz="0" w:space="0" w:color="auto"/>
                  </w:divBdr>
                  <w:divsChild>
                    <w:div w:id="1234126412">
                      <w:marLeft w:val="0"/>
                      <w:marRight w:val="0"/>
                      <w:marTop w:val="0"/>
                      <w:marBottom w:val="0"/>
                      <w:divBdr>
                        <w:top w:val="none" w:sz="0" w:space="0" w:color="auto"/>
                        <w:left w:val="none" w:sz="0" w:space="0" w:color="auto"/>
                        <w:bottom w:val="none" w:sz="0" w:space="0" w:color="auto"/>
                        <w:right w:val="none" w:sz="0" w:space="0" w:color="auto"/>
                      </w:divBdr>
                    </w:div>
                  </w:divsChild>
                </w:div>
                <w:div w:id="1751807047">
                  <w:marLeft w:val="0"/>
                  <w:marRight w:val="0"/>
                  <w:marTop w:val="0"/>
                  <w:marBottom w:val="0"/>
                  <w:divBdr>
                    <w:top w:val="none" w:sz="0" w:space="0" w:color="auto"/>
                    <w:left w:val="none" w:sz="0" w:space="0" w:color="auto"/>
                    <w:bottom w:val="none" w:sz="0" w:space="0" w:color="auto"/>
                    <w:right w:val="none" w:sz="0" w:space="0" w:color="auto"/>
                  </w:divBdr>
                  <w:divsChild>
                    <w:div w:id="2020810243">
                      <w:marLeft w:val="0"/>
                      <w:marRight w:val="0"/>
                      <w:marTop w:val="0"/>
                      <w:marBottom w:val="0"/>
                      <w:divBdr>
                        <w:top w:val="none" w:sz="0" w:space="0" w:color="auto"/>
                        <w:left w:val="none" w:sz="0" w:space="0" w:color="auto"/>
                        <w:bottom w:val="none" w:sz="0" w:space="0" w:color="auto"/>
                        <w:right w:val="none" w:sz="0" w:space="0" w:color="auto"/>
                      </w:divBdr>
                    </w:div>
                  </w:divsChild>
                </w:div>
                <w:div w:id="1773696246">
                  <w:marLeft w:val="0"/>
                  <w:marRight w:val="0"/>
                  <w:marTop w:val="0"/>
                  <w:marBottom w:val="0"/>
                  <w:divBdr>
                    <w:top w:val="none" w:sz="0" w:space="0" w:color="auto"/>
                    <w:left w:val="none" w:sz="0" w:space="0" w:color="auto"/>
                    <w:bottom w:val="none" w:sz="0" w:space="0" w:color="auto"/>
                    <w:right w:val="none" w:sz="0" w:space="0" w:color="auto"/>
                  </w:divBdr>
                  <w:divsChild>
                    <w:div w:id="218975777">
                      <w:marLeft w:val="0"/>
                      <w:marRight w:val="0"/>
                      <w:marTop w:val="0"/>
                      <w:marBottom w:val="0"/>
                      <w:divBdr>
                        <w:top w:val="none" w:sz="0" w:space="0" w:color="auto"/>
                        <w:left w:val="none" w:sz="0" w:space="0" w:color="auto"/>
                        <w:bottom w:val="none" w:sz="0" w:space="0" w:color="auto"/>
                        <w:right w:val="none" w:sz="0" w:space="0" w:color="auto"/>
                      </w:divBdr>
                    </w:div>
                  </w:divsChild>
                </w:div>
                <w:div w:id="1802730129">
                  <w:marLeft w:val="0"/>
                  <w:marRight w:val="0"/>
                  <w:marTop w:val="0"/>
                  <w:marBottom w:val="0"/>
                  <w:divBdr>
                    <w:top w:val="none" w:sz="0" w:space="0" w:color="auto"/>
                    <w:left w:val="none" w:sz="0" w:space="0" w:color="auto"/>
                    <w:bottom w:val="none" w:sz="0" w:space="0" w:color="auto"/>
                    <w:right w:val="none" w:sz="0" w:space="0" w:color="auto"/>
                  </w:divBdr>
                  <w:divsChild>
                    <w:div w:id="426659553">
                      <w:marLeft w:val="0"/>
                      <w:marRight w:val="0"/>
                      <w:marTop w:val="0"/>
                      <w:marBottom w:val="0"/>
                      <w:divBdr>
                        <w:top w:val="none" w:sz="0" w:space="0" w:color="auto"/>
                        <w:left w:val="none" w:sz="0" w:space="0" w:color="auto"/>
                        <w:bottom w:val="none" w:sz="0" w:space="0" w:color="auto"/>
                        <w:right w:val="none" w:sz="0" w:space="0" w:color="auto"/>
                      </w:divBdr>
                    </w:div>
                    <w:div w:id="726491492">
                      <w:marLeft w:val="0"/>
                      <w:marRight w:val="0"/>
                      <w:marTop w:val="0"/>
                      <w:marBottom w:val="0"/>
                      <w:divBdr>
                        <w:top w:val="none" w:sz="0" w:space="0" w:color="auto"/>
                        <w:left w:val="none" w:sz="0" w:space="0" w:color="auto"/>
                        <w:bottom w:val="none" w:sz="0" w:space="0" w:color="auto"/>
                        <w:right w:val="none" w:sz="0" w:space="0" w:color="auto"/>
                      </w:divBdr>
                    </w:div>
                    <w:div w:id="1569806383">
                      <w:marLeft w:val="0"/>
                      <w:marRight w:val="0"/>
                      <w:marTop w:val="0"/>
                      <w:marBottom w:val="0"/>
                      <w:divBdr>
                        <w:top w:val="none" w:sz="0" w:space="0" w:color="auto"/>
                        <w:left w:val="none" w:sz="0" w:space="0" w:color="auto"/>
                        <w:bottom w:val="none" w:sz="0" w:space="0" w:color="auto"/>
                        <w:right w:val="none" w:sz="0" w:space="0" w:color="auto"/>
                      </w:divBdr>
                    </w:div>
                  </w:divsChild>
                </w:div>
                <w:div w:id="1849250938">
                  <w:marLeft w:val="0"/>
                  <w:marRight w:val="0"/>
                  <w:marTop w:val="0"/>
                  <w:marBottom w:val="0"/>
                  <w:divBdr>
                    <w:top w:val="none" w:sz="0" w:space="0" w:color="auto"/>
                    <w:left w:val="none" w:sz="0" w:space="0" w:color="auto"/>
                    <w:bottom w:val="none" w:sz="0" w:space="0" w:color="auto"/>
                    <w:right w:val="none" w:sz="0" w:space="0" w:color="auto"/>
                  </w:divBdr>
                  <w:divsChild>
                    <w:div w:id="1366255646">
                      <w:marLeft w:val="0"/>
                      <w:marRight w:val="0"/>
                      <w:marTop w:val="0"/>
                      <w:marBottom w:val="0"/>
                      <w:divBdr>
                        <w:top w:val="none" w:sz="0" w:space="0" w:color="auto"/>
                        <w:left w:val="none" w:sz="0" w:space="0" w:color="auto"/>
                        <w:bottom w:val="none" w:sz="0" w:space="0" w:color="auto"/>
                        <w:right w:val="none" w:sz="0" w:space="0" w:color="auto"/>
                      </w:divBdr>
                    </w:div>
                  </w:divsChild>
                </w:div>
                <w:div w:id="1876697025">
                  <w:marLeft w:val="0"/>
                  <w:marRight w:val="0"/>
                  <w:marTop w:val="0"/>
                  <w:marBottom w:val="0"/>
                  <w:divBdr>
                    <w:top w:val="none" w:sz="0" w:space="0" w:color="auto"/>
                    <w:left w:val="none" w:sz="0" w:space="0" w:color="auto"/>
                    <w:bottom w:val="none" w:sz="0" w:space="0" w:color="auto"/>
                    <w:right w:val="none" w:sz="0" w:space="0" w:color="auto"/>
                  </w:divBdr>
                  <w:divsChild>
                    <w:div w:id="2144536212">
                      <w:marLeft w:val="0"/>
                      <w:marRight w:val="0"/>
                      <w:marTop w:val="0"/>
                      <w:marBottom w:val="0"/>
                      <w:divBdr>
                        <w:top w:val="none" w:sz="0" w:space="0" w:color="auto"/>
                        <w:left w:val="none" w:sz="0" w:space="0" w:color="auto"/>
                        <w:bottom w:val="none" w:sz="0" w:space="0" w:color="auto"/>
                        <w:right w:val="none" w:sz="0" w:space="0" w:color="auto"/>
                      </w:divBdr>
                    </w:div>
                  </w:divsChild>
                </w:div>
                <w:div w:id="1911452901">
                  <w:marLeft w:val="0"/>
                  <w:marRight w:val="0"/>
                  <w:marTop w:val="0"/>
                  <w:marBottom w:val="0"/>
                  <w:divBdr>
                    <w:top w:val="none" w:sz="0" w:space="0" w:color="auto"/>
                    <w:left w:val="none" w:sz="0" w:space="0" w:color="auto"/>
                    <w:bottom w:val="none" w:sz="0" w:space="0" w:color="auto"/>
                    <w:right w:val="none" w:sz="0" w:space="0" w:color="auto"/>
                  </w:divBdr>
                  <w:divsChild>
                    <w:div w:id="1095635829">
                      <w:marLeft w:val="0"/>
                      <w:marRight w:val="0"/>
                      <w:marTop w:val="0"/>
                      <w:marBottom w:val="0"/>
                      <w:divBdr>
                        <w:top w:val="none" w:sz="0" w:space="0" w:color="auto"/>
                        <w:left w:val="none" w:sz="0" w:space="0" w:color="auto"/>
                        <w:bottom w:val="none" w:sz="0" w:space="0" w:color="auto"/>
                        <w:right w:val="none" w:sz="0" w:space="0" w:color="auto"/>
                      </w:divBdr>
                    </w:div>
                  </w:divsChild>
                </w:div>
                <w:div w:id="1956668439">
                  <w:marLeft w:val="0"/>
                  <w:marRight w:val="0"/>
                  <w:marTop w:val="0"/>
                  <w:marBottom w:val="0"/>
                  <w:divBdr>
                    <w:top w:val="none" w:sz="0" w:space="0" w:color="auto"/>
                    <w:left w:val="none" w:sz="0" w:space="0" w:color="auto"/>
                    <w:bottom w:val="none" w:sz="0" w:space="0" w:color="auto"/>
                    <w:right w:val="none" w:sz="0" w:space="0" w:color="auto"/>
                  </w:divBdr>
                  <w:divsChild>
                    <w:div w:id="172913939">
                      <w:marLeft w:val="0"/>
                      <w:marRight w:val="0"/>
                      <w:marTop w:val="0"/>
                      <w:marBottom w:val="0"/>
                      <w:divBdr>
                        <w:top w:val="none" w:sz="0" w:space="0" w:color="auto"/>
                        <w:left w:val="none" w:sz="0" w:space="0" w:color="auto"/>
                        <w:bottom w:val="none" w:sz="0" w:space="0" w:color="auto"/>
                        <w:right w:val="none" w:sz="0" w:space="0" w:color="auto"/>
                      </w:divBdr>
                    </w:div>
                    <w:div w:id="202056436">
                      <w:marLeft w:val="0"/>
                      <w:marRight w:val="0"/>
                      <w:marTop w:val="0"/>
                      <w:marBottom w:val="0"/>
                      <w:divBdr>
                        <w:top w:val="none" w:sz="0" w:space="0" w:color="auto"/>
                        <w:left w:val="none" w:sz="0" w:space="0" w:color="auto"/>
                        <w:bottom w:val="none" w:sz="0" w:space="0" w:color="auto"/>
                        <w:right w:val="none" w:sz="0" w:space="0" w:color="auto"/>
                      </w:divBdr>
                    </w:div>
                  </w:divsChild>
                </w:div>
                <w:div w:id="1958944736">
                  <w:marLeft w:val="0"/>
                  <w:marRight w:val="0"/>
                  <w:marTop w:val="0"/>
                  <w:marBottom w:val="0"/>
                  <w:divBdr>
                    <w:top w:val="none" w:sz="0" w:space="0" w:color="auto"/>
                    <w:left w:val="none" w:sz="0" w:space="0" w:color="auto"/>
                    <w:bottom w:val="none" w:sz="0" w:space="0" w:color="auto"/>
                    <w:right w:val="none" w:sz="0" w:space="0" w:color="auto"/>
                  </w:divBdr>
                  <w:divsChild>
                    <w:div w:id="1354107361">
                      <w:marLeft w:val="0"/>
                      <w:marRight w:val="0"/>
                      <w:marTop w:val="0"/>
                      <w:marBottom w:val="0"/>
                      <w:divBdr>
                        <w:top w:val="none" w:sz="0" w:space="0" w:color="auto"/>
                        <w:left w:val="none" w:sz="0" w:space="0" w:color="auto"/>
                        <w:bottom w:val="none" w:sz="0" w:space="0" w:color="auto"/>
                        <w:right w:val="none" w:sz="0" w:space="0" w:color="auto"/>
                      </w:divBdr>
                    </w:div>
                  </w:divsChild>
                </w:div>
                <w:div w:id="1983734638">
                  <w:marLeft w:val="0"/>
                  <w:marRight w:val="0"/>
                  <w:marTop w:val="0"/>
                  <w:marBottom w:val="0"/>
                  <w:divBdr>
                    <w:top w:val="none" w:sz="0" w:space="0" w:color="auto"/>
                    <w:left w:val="none" w:sz="0" w:space="0" w:color="auto"/>
                    <w:bottom w:val="none" w:sz="0" w:space="0" w:color="auto"/>
                    <w:right w:val="none" w:sz="0" w:space="0" w:color="auto"/>
                  </w:divBdr>
                  <w:divsChild>
                    <w:div w:id="324555278">
                      <w:marLeft w:val="0"/>
                      <w:marRight w:val="0"/>
                      <w:marTop w:val="0"/>
                      <w:marBottom w:val="0"/>
                      <w:divBdr>
                        <w:top w:val="none" w:sz="0" w:space="0" w:color="auto"/>
                        <w:left w:val="none" w:sz="0" w:space="0" w:color="auto"/>
                        <w:bottom w:val="none" w:sz="0" w:space="0" w:color="auto"/>
                        <w:right w:val="none" w:sz="0" w:space="0" w:color="auto"/>
                      </w:divBdr>
                    </w:div>
                  </w:divsChild>
                </w:div>
                <w:div w:id="1990554070">
                  <w:marLeft w:val="0"/>
                  <w:marRight w:val="0"/>
                  <w:marTop w:val="0"/>
                  <w:marBottom w:val="0"/>
                  <w:divBdr>
                    <w:top w:val="none" w:sz="0" w:space="0" w:color="auto"/>
                    <w:left w:val="none" w:sz="0" w:space="0" w:color="auto"/>
                    <w:bottom w:val="none" w:sz="0" w:space="0" w:color="auto"/>
                    <w:right w:val="none" w:sz="0" w:space="0" w:color="auto"/>
                  </w:divBdr>
                  <w:divsChild>
                    <w:div w:id="1936471771">
                      <w:marLeft w:val="0"/>
                      <w:marRight w:val="0"/>
                      <w:marTop w:val="0"/>
                      <w:marBottom w:val="0"/>
                      <w:divBdr>
                        <w:top w:val="none" w:sz="0" w:space="0" w:color="auto"/>
                        <w:left w:val="none" w:sz="0" w:space="0" w:color="auto"/>
                        <w:bottom w:val="none" w:sz="0" w:space="0" w:color="auto"/>
                        <w:right w:val="none" w:sz="0" w:space="0" w:color="auto"/>
                      </w:divBdr>
                    </w:div>
                  </w:divsChild>
                </w:div>
                <w:div w:id="1992785529">
                  <w:marLeft w:val="0"/>
                  <w:marRight w:val="0"/>
                  <w:marTop w:val="0"/>
                  <w:marBottom w:val="0"/>
                  <w:divBdr>
                    <w:top w:val="none" w:sz="0" w:space="0" w:color="auto"/>
                    <w:left w:val="none" w:sz="0" w:space="0" w:color="auto"/>
                    <w:bottom w:val="none" w:sz="0" w:space="0" w:color="auto"/>
                    <w:right w:val="none" w:sz="0" w:space="0" w:color="auto"/>
                  </w:divBdr>
                  <w:divsChild>
                    <w:div w:id="1536889847">
                      <w:marLeft w:val="0"/>
                      <w:marRight w:val="0"/>
                      <w:marTop w:val="0"/>
                      <w:marBottom w:val="0"/>
                      <w:divBdr>
                        <w:top w:val="none" w:sz="0" w:space="0" w:color="auto"/>
                        <w:left w:val="none" w:sz="0" w:space="0" w:color="auto"/>
                        <w:bottom w:val="none" w:sz="0" w:space="0" w:color="auto"/>
                        <w:right w:val="none" w:sz="0" w:space="0" w:color="auto"/>
                      </w:divBdr>
                    </w:div>
                  </w:divsChild>
                </w:div>
                <w:div w:id="2027365862">
                  <w:marLeft w:val="0"/>
                  <w:marRight w:val="0"/>
                  <w:marTop w:val="0"/>
                  <w:marBottom w:val="0"/>
                  <w:divBdr>
                    <w:top w:val="none" w:sz="0" w:space="0" w:color="auto"/>
                    <w:left w:val="none" w:sz="0" w:space="0" w:color="auto"/>
                    <w:bottom w:val="none" w:sz="0" w:space="0" w:color="auto"/>
                    <w:right w:val="none" w:sz="0" w:space="0" w:color="auto"/>
                  </w:divBdr>
                  <w:divsChild>
                    <w:div w:id="1830056904">
                      <w:marLeft w:val="0"/>
                      <w:marRight w:val="0"/>
                      <w:marTop w:val="0"/>
                      <w:marBottom w:val="0"/>
                      <w:divBdr>
                        <w:top w:val="none" w:sz="0" w:space="0" w:color="auto"/>
                        <w:left w:val="none" w:sz="0" w:space="0" w:color="auto"/>
                        <w:bottom w:val="none" w:sz="0" w:space="0" w:color="auto"/>
                        <w:right w:val="none" w:sz="0" w:space="0" w:color="auto"/>
                      </w:divBdr>
                    </w:div>
                  </w:divsChild>
                </w:div>
                <w:div w:id="2072269523">
                  <w:marLeft w:val="0"/>
                  <w:marRight w:val="0"/>
                  <w:marTop w:val="0"/>
                  <w:marBottom w:val="0"/>
                  <w:divBdr>
                    <w:top w:val="none" w:sz="0" w:space="0" w:color="auto"/>
                    <w:left w:val="none" w:sz="0" w:space="0" w:color="auto"/>
                    <w:bottom w:val="none" w:sz="0" w:space="0" w:color="auto"/>
                    <w:right w:val="none" w:sz="0" w:space="0" w:color="auto"/>
                  </w:divBdr>
                  <w:divsChild>
                    <w:div w:id="1029142293">
                      <w:marLeft w:val="0"/>
                      <w:marRight w:val="0"/>
                      <w:marTop w:val="0"/>
                      <w:marBottom w:val="0"/>
                      <w:divBdr>
                        <w:top w:val="none" w:sz="0" w:space="0" w:color="auto"/>
                        <w:left w:val="none" w:sz="0" w:space="0" w:color="auto"/>
                        <w:bottom w:val="none" w:sz="0" w:space="0" w:color="auto"/>
                        <w:right w:val="none" w:sz="0" w:space="0" w:color="auto"/>
                      </w:divBdr>
                    </w:div>
                  </w:divsChild>
                </w:div>
                <w:div w:id="2090804034">
                  <w:marLeft w:val="0"/>
                  <w:marRight w:val="0"/>
                  <w:marTop w:val="0"/>
                  <w:marBottom w:val="0"/>
                  <w:divBdr>
                    <w:top w:val="none" w:sz="0" w:space="0" w:color="auto"/>
                    <w:left w:val="none" w:sz="0" w:space="0" w:color="auto"/>
                    <w:bottom w:val="none" w:sz="0" w:space="0" w:color="auto"/>
                    <w:right w:val="none" w:sz="0" w:space="0" w:color="auto"/>
                  </w:divBdr>
                  <w:divsChild>
                    <w:div w:id="1187871295">
                      <w:marLeft w:val="0"/>
                      <w:marRight w:val="0"/>
                      <w:marTop w:val="0"/>
                      <w:marBottom w:val="0"/>
                      <w:divBdr>
                        <w:top w:val="none" w:sz="0" w:space="0" w:color="auto"/>
                        <w:left w:val="none" w:sz="0" w:space="0" w:color="auto"/>
                        <w:bottom w:val="none" w:sz="0" w:space="0" w:color="auto"/>
                        <w:right w:val="none" w:sz="0" w:space="0" w:color="auto"/>
                      </w:divBdr>
                    </w:div>
                  </w:divsChild>
                </w:div>
                <w:div w:id="2102991313">
                  <w:marLeft w:val="0"/>
                  <w:marRight w:val="0"/>
                  <w:marTop w:val="0"/>
                  <w:marBottom w:val="0"/>
                  <w:divBdr>
                    <w:top w:val="none" w:sz="0" w:space="0" w:color="auto"/>
                    <w:left w:val="none" w:sz="0" w:space="0" w:color="auto"/>
                    <w:bottom w:val="none" w:sz="0" w:space="0" w:color="auto"/>
                    <w:right w:val="none" w:sz="0" w:space="0" w:color="auto"/>
                  </w:divBdr>
                  <w:divsChild>
                    <w:div w:id="729809093">
                      <w:marLeft w:val="0"/>
                      <w:marRight w:val="0"/>
                      <w:marTop w:val="0"/>
                      <w:marBottom w:val="0"/>
                      <w:divBdr>
                        <w:top w:val="none" w:sz="0" w:space="0" w:color="auto"/>
                        <w:left w:val="none" w:sz="0" w:space="0" w:color="auto"/>
                        <w:bottom w:val="none" w:sz="0" w:space="0" w:color="auto"/>
                        <w:right w:val="none" w:sz="0" w:space="0" w:color="auto"/>
                      </w:divBdr>
                    </w:div>
                  </w:divsChild>
                </w:div>
                <w:div w:id="2112780088">
                  <w:marLeft w:val="0"/>
                  <w:marRight w:val="0"/>
                  <w:marTop w:val="0"/>
                  <w:marBottom w:val="0"/>
                  <w:divBdr>
                    <w:top w:val="none" w:sz="0" w:space="0" w:color="auto"/>
                    <w:left w:val="none" w:sz="0" w:space="0" w:color="auto"/>
                    <w:bottom w:val="none" w:sz="0" w:space="0" w:color="auto"/>
                    <w:right w:val="none" w:sz="0" w:space="0" w:color="auto"/>
                  </w:divBdr>
                  <w:divsChild>
                    <w:div w:id="1137265018">
                      <w:marLeft w:val="0"/>
                      <w:marRight w:val="0"/>
                      <w:marTop w:val="0"/>
                      <w:marBottom w:val="0"/>
                      <w:divBdr>
                        <w:top w:val="none" w:sz="0" w:space="0" w:color="auto"/>
                        <w:left w:val="none" w:sz="0" w:space="0" w:color="auto"/>
                        <w:bottom w:val="none" w:sz="0" w:space="0" w:color="auto"/>
                        <w:right w:val="none" w:sz="0" w:space="0" w:color="auto"/>
                      </w:divBdr>
                    </w:div>
                  </w:divsChild>
                </w:div>
                <w:div w:id="2127696557">
                  <w:marLeft w:val="0"/>
                  <w:marRight w:val="0"/>
                  <w:marTop w:val="0"/>
                  <w:marBottom w:val="0"/>
                  <w:divBdr>
                    <w:top w:val="none" w:sz="0" w:space="0" w:color="auto"/>
                    <w:left w:val="none" w:sz="0" w:space="0" w:color="auto"/>
                    <w:bottom w:val="none" w:sz="0" w:space="0" w:color="auto"/>
                    <w:right w:val="none" w:sz="0" w:space="0" w:color="auto"/>
                  </w:divBdr>
                  <w:divsChild>
                    <w:div w:id="560212468">
                      <w:marLeft w:val="0"/>
                      <w:marRight w:val="0"/>
                      <w:marTop w:val="0"/>
                      <w:marBottom w:val="0"/>
                      <w:divBdr>
                        <w:top w:val="none" w:sz="0" w:space="0" w:color="auto"/>
                        <w:left w:val="none" w:sz="0" w:space="0" w:color="auto"/>
                        <w:bottom w:val="none" w:sz="0" w:space="0" w:color="auto"/>
                        <w:right w:val="none" w:sz="0" w:space="0" w:color="auto"/>
                      </w:divBdr>
                    </w:div>
                    <w:div w:id="7211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430">
          <w:marLeft w:val="0"/>
          <w:marRight w:val="0"/>
          <w:marTop w:val="0"/>
          <w:marBottom w:val="0"/>
          <w:divBdr>
            <w:top w:val="none" w:sz="0" w:space="0" w:color="auto"/>
            <w:left w:val="none" w:sz="0" w:space="0" w:color="auto"/>
            <w:bottom w:val="none" w:sz="0" w:space="0" w:color="auto"/>
            <w:right w:val="none" w:sz="0" w:space="0" w:color="auto"/>
          </w:divBdr>
        </w:div>
      </w:divsChild>
    </w:div>
    <w:div w:id="1213418683">
      <w:bodyDiv w:val="1"/>
      <w:marLeft w:val="0"/>
      <w:marRight w:val="0"/>
      <w:marTop w:val="0"/>
      <w:marBottom w:val="0"/>
      <w:divBdr>
        <w:top w:val="none" w:sz="0" w:space="0" w:color="auto"/>
        <w:left w:val="none" w:sz="0" w:space="0" w:color="auto"/>
        <w:bottom w:val="none" w:sz="0" w:space="0" w:color="auto"/>
        <w:right w:val="none" w:sz="0" w:space="0" w:color="auto"/>
      </w:divBdr>
    </w:div>
    <w:div w:id="1328023041">
      <w:bodyDiv w:val="1"/>
      <w:marLeft w:val="0"/>
      <w:marRight w:val="0"/>
      <w:marTop w:val="0"/>
      <w:marBottom w:val="0"/>
      <w:divBdr>
        <w:top w:val="none" w:sz="0" w:space="0" w:color="auto"/>
        <w:left w:val="none" w:sz="0" w:space="0" w:color="auto"/>
        <w:bottom w:val="none" w:sz="0" w:space="0" w:color="auto"/>
        <w:right w:val="none" w:sz="0" w:space="0" w:color="auto"/>
      </w:divBdr>
    </w:div>
    <w:div w:id="1359156416">
      <w:bodyDiv w:val="1"/>
      <w:marLeft w:val="0"/>
      <w:marRight w:val="0"/>
      <w:marTop w:val="0"/>
      <w:marBottom w:val="0"/>
      <w:divBdr>
        <w:top w:val="none" w:sz="0" w:space="0" w:color="auto"/>
        <w:left w:val="none" w:sz="0" w:space="0" w:color="auto"/>
        <w:bottom w:val="none" w:sz="0" w:space="0" w:color="auto"/>
        <w:right w:val="none" w:sz="0" w:space="0" w:color="auto"/>
      </w:divBdr>
    </w:div>
    <w:div w:id="1770738438">
      <w:bodyDiv w:val="1"/>
      <w:marLeft w:val="0"/>
      <w:marRight w:val="0"/>
      <w:marTop w:val="0"/>
      <w:marBottom w:val="0"/>
      <w:divBdr>
        <w:top w:val="none" w:sz="0" w:space="0" w:color="auto"/>
        <w:left w:val="none" w:sz="0" w:space="0" w:color="auto"/>
        <w:bottom w:val="none" w:sz="0" w:space="0" w:color="auto"/>
        <w:right w:val="none" w:sz="0" w:space="0" w:color="auto"/>
      </w:divBdr>
    </w:div>
    <w:div w:id="1820463857">
      <w:bodyDiv w:val="1"/>
      <w:marLeft w:val="0"/>
      <w:marRight w:val="0"/>
      <w:marTop w:val="0"/>
      <w:marBottom w:val="0"/>
      <w:divBdr>
        <w:top w:val="none" w:sz="0" w:space="0" w:color="auto"/>
        <w:left w:val="none" w:sz="0" w:space="0" w:color="auto"/>
        <w:bottom w:val="none" w:sz="0" w:space="0" w:color="auto"/>
        <w:right w:val="none" w:sz="0" w:space="0" w:color="auto"/>
      </w:divBdr>
    </w:div>
    <w:div w:id="1829249348">
      <w:bodyDiv w:val="1"/>
      <w:marLeft w:val="0"/>
      <w:marRight w:val="0"/>
      <w:marTop w:val="0"/>
      <w:marBottom w:val="0"/>
      <w:divBdr>
        <w:top w:val="none" w:sz="0" w:space="0" w:color="auto"/>
        <w:left w:val="none" w:sz="0" w:space="0" w:color="auto"/>
        <w:bottom w:val="none" w:sz="0" w:space="0" w:color="auto"/>
        <w:right w:val="none" w:sz="0" w:space="0" w:color="auto"/>
      </w:divBdr>
    </w:div>
    <w:div w:id="1879926741">
      <w:bodyDiv w:val="1"/>
      <w:marLeft w:val="0"/>
      <w:marRight w:val="0"/>
      <w:marTop w:val="0"/>
      <w:marBottom w:val="0"/>
      <w:divBdr>
        <w:top w:val="none" w:sz="0" w:space="0" w:color="auto"/>
        <w:left w:val="none" w:sz="0" w:space="0" w:color="auto"/>
        <w:bottom w:val="none" w:sz="0" w:space="0" w:color="auto"/>
        <w:right w:val="none" w:sz="0" w:space="0" w:color="auto"/>
      </w:divBdr>
    </w:div>
    <w:div w:id="1891185872">
      <w:bodyDiv w:val="1"/>
      <w:marLeft w:val="0"/>
      <w:marRight w:val="0"/>
      <w:marTop w:val="0"/>
      <w:marBottom w:val="0"/>
      <w:divBdr>
        <w:top w:val="none" w:sz="0" w:space="0" w:color="auto"/>
        <w:left w:val="none" w:sz="0" w:space="0" w:color="auto"/>
        <w:bottom w:val="none" w:sz="0" w:space="0" w:color="auto"/>
        <w:right w:val="none" w:sz="0" w:space="0" w:color="auto"/>
      </w:divBdr>
      <w:divsChild>
        <w:div w:id="1390765349">
          <w:marLeft w:val="58"/>
          <w:marRight w:val="0"/>
          <w:marTop w:val="0"/>
          <w:marBottom w:val="0"/>
          <w:divBdr>
            <w:top w:val="none" w:sz="0" w:space="0" w:color="auto"/>
            <w:left w:val="none" w:sz="0" w:space="0" w:color="auto"/>
            <w:bottom w:val="none" w:sz="0" w:space="0" w:color="auto"/>
            <w:right w:val="none" w:sz="0" w:space="0" w:color="auto"/>
          </w:divBdr>
        </w:div>
        <w:div w:id="2006276544">
          <w:marLeft w:val="58"/>
          <w:marRight w:val="0"/>
          <w:marTop w:val="0"/>
          <w:marBottom w:val="0"/>
          <w:divBdr>
            <w:top w:val="none" w:sz="0" w:space="0" w:color="auto"/>
            <w:left w:val="none" w:sz="0" w:space="0" w:color="auto"/>
            <w:bottom w:val="none" w:sz="0" w:space="0" w:color="auto"/>
            <w:right w:val="none" w:sz="0" w:space="0" w:color="auto"/>
          </w:divBdr>
        </w:div>
        <w:div w:id="1172648719">
          <w:marLeft w:val="58"/>
          <w:marRight w:val="0"/>
          <w:marTop w:val="0"/>
          <w:marBottom w:val="0"/>
          <w:divBdr>
            <w:top w:val="none" w:sz="0" w:space="0" w:color="auto"/>
            <w:left w:val="none" w:sz="0" w:space="0" w:color="auto"/>
            <w:bottom w:val="none" w:sz="0" w:space="0" w:color="auto"/>
            <w:right w:val="none" w:sz="0" w:space="0" w:color="auto"/>
          </w:divBdr>
        </w:div>
        <w:div w:id="1206141652">
          <w:marLeft w:val="58"/>
          <w:marRight w:val="0"/>
          <w:marTop w:val="0"/>
          <w:marBottom w:val="0"/>
          <w:divBdr>
            <w:top w:val="none" w:sz="0" w:space="0" w:color="auto"/>
            <w:left w:val="none" w:sz="0" w:space="0" w:color="auto"/>
            <w:bottom w:val="none" w:sz="0" w:space="0" w:color="auto"/>
            <w:right w:val="none" w:sz="0" w:space="0" w:color="auto"/>
          </w:divBdr>
        </w:div>
        <w:div w:id="1380397256">
          <w:marLeft w:val="58"/>
          <w:marRight w:val="0"/>
          <w:marTop w:val="0"/>
          <w:marBottom w:val="0"/>
          <w:divBdr>
            <w:top w:val="none" w:sz="0" w:space="0" w:color="auto"/>
            <w:left w:val="none" w:sz="0" w:space="0" w:color="auto"/>
            <w:bottom w:val="none" w:sz="0" w:space="0" w:color="auto"/>
            <w:right w:val="none" w:sz="0" w:space="0" w:color="auto"/>
          </w:divBdr>
        </w:div>
      </w:divsChild>
    </w:div>
    <w:div w:id="2027630870">
      <w:bodyDiv w:val="1"/>
      <w:marLeft w:val="0"/>
      <w:marRight w:val="0"/>
      <w:marTop w:val="0"/>
      <w:marBottom w:val="0"/>
      <w:divBdr>
        <w:top w:val="none" w:sz="0" w:space="0" w:color="auto"/>
        <w:left w:val="none" w:sz="0" w:space="0" w:color="auto"/>
        <w:bottom w:val="none" w:sz="0" w:space="0" w:color="auto"/>
        <w:right w:val="none" w:sz="0" w:space="0" w:color="auto"/>
      </w:divBdr>
      <w:divsChild>
        <w:div w:id="1632784666">
          <w:marLeft w:val="0"/>
          <w:marRight w:val="0"/>
          <w:marTop w:val="0"/>
          <w:marBottom w:val="0"/>
          <w:divBdr>
            <w:top w:val="none" w:sz="0" w:space="0" w:color="auto"/>
            <w:left w:val="none" w:sz="0" w:space="0" w:color="auto"/>
            <w:bottom w:val="none" w:sz="0" w:space="0" w:color="auto"/>
            <w:right w:val="none" w:sz="0" w:space="0" w:color="auto"/>
          </w:divBdr>
          <w:divsChild>
            <w:div w:id="12758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3465">
      <w:bodyDiv w:val="1"/>
      <w:marLeft w:val="0"/>
      <w:marRight w:val="0"/>
      <w:marTop w:val="0"/>
      <w:marBottom w:val="0"/>
      <w:divBdr>
        <w:top w:val="none" w:sz="0" w:space="0" w:color="auto"/>
        <w:left w:val="none" w:sz="0" w:space="0" w:color="auto"/>
        <w:bottom w:val="none" w:sz="0" w:space="0" w:color="auto"/>
        <w:right w:val="none" w:sz="0" w:space="0" w:color="auto"/>
      </w:divBdr>
    </w:div>
    <w:div w:id="20915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2025/2019.10.105.000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ic-norfol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wareham@mrc-epid.cam.ac.uk"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c8e5b122-4b2b-489c-adbc-8ed8e7909528">
      <UserInfo>
        <DisplayName/>
        <AccountId xsi:nil="true"/>
        <AccountType/>
      </UserInfo>
    </Teachers>
    <Student_Groups xmlns="c8e5b122-4b2b-489c-adbc-8ed8e7909528">
      <UserInfo>
        <DisplayName/>
        <AccountId xsi:nil="true"/>
        <AccountType/>
      </UserInfo>
    </Student_Groups>
    <Math_Settings xmlns="c8e5b122-4b2b-489c-adbc-8ed8e7909528" xsi:nil="true"/>
    <LMS_Mappings xmlns="c8e5b122-4b2b-489c-adbc-8ed8e7909528" xsi:nil="true"/>
    <IsNotebookLocked xmlns="c8e5b122-4b2b-489c-adbc-8ed8e7909528" xsi:nil="true"/>
    <Students xmlns="c8e5b122-4b2b-489c-adbc-8ed8e7909528">
      <UserInfo>
        <DisplayName/>
        <AccountId xsi:nil="true"/>
        <AccountType/>
      </UserInfo>
    </Students>
    <Has_Teacher_Only_SectionGroup xmlns="c8e5b122-4b2b-489c-adbc-8ed8e7909528" xsi:nil="true"/>
    <Templates xmlns="c8e5b122-4b2b-489c-adbc-8ed8e7909528" xsi:nil="true"/>
    <Self_Registration_Enabled xmlns="c8e5b122-4b2b-489c-adbc-8ed8e7909528" xsi:nil="true"/>
    <AppVersion xmlns="c8e5b122-4b2b-489c-adbc-8ed8e7909528" xsi:nil="true"/>
    <Invited_Teachers xmlns="c8e5b122-4b2b-489c-adbc-8ed8e7909528" xsi:nil="true"/>
    <NotebookType xmlns="c8e5b122-4b2b-489c-adbc-8ed8e7909528" xsi:nil="true"/>
    <Distribution_Groups xmlns="c8e5b122-4b2b-489c-adbc-8ed8e7909528" xsi:nil="true"/>
    <DefaultSectionNames xmlns="c8e5b122-4b2b-489c-adbc-8ed8e7909528" xsi:nil="true"/>
    <Is_Collaboration_Space_Locked xmlns="c8e5b122-4b2b-489c-adbc-8ed8e7909528" xsi:nil="true"/>
    <TeamsChannelId xmlns="c8e5b122-4b2b-489c-adbc-8ed8e7909528" xsi:nil="true"/>
    <FolderType xmlns="c8e5b122-4b2b-489c-adbc-8ed8e7909528" xsi:nil="true"/>
    <CultureName xmlns="c8e5b122-4b2b-489c-adbc-8ed8e7909528" xsi:nil="true"/>
    <Owner xmlns="c8e5b122-4b2b-489c-adbc-8ed8e7909528">
      <UserInfo>
        <DisplayName/>
        <AccountId xsi:nil="true"/>
        <AccountType/>
      </UserInfo>
    </Owner>
    <Invited_Students xmlns="c8e5b122-4b2b-489c-adbc-8ed8e79095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A75D75D7CA9408166B4B9815F75C7" ma:contentTypeVersion="33" ma:contentTypeDescription="Create a new document." ma:contentTypeScope="" ma:versionID="94151daa81eef02eee398885e9305357">
  <xsd:schema xmlns:xsd="http://www.w3.org/2001/XMLSchema" xmlns:xs="http://www.w3.org/2001/XMLSchema" xmlns:p="http://schemas.microsoft.com/office/2006/metadata/properties" xmlns:ns3="c8e5b122-4b2b-489c-adbc-8ed8e7909528" xmlns:ns4="1e44f718-486f-44f2-b4b9-74b0f0276902" targetNamespace="http://schemas.microsoft.com/office/2006/metadata/properties" ma:root="true" ma:fieldsID="315d5ea99b2d732040faad2b838662f9" ns3:_="" ns4:_="">
    <xsd:import namespace="c8e5b122-4b2b-489c-adbc-8ed8e7909528"/>
    <xsd:import namespace="1e44f718-486f-44f2-b4b9-74b0f027690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5b122-4b2b-489c-adbc-8ed8e7909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4f718-486f-44f2-b4b9-74b0f02769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3626-BDE2-48CC-83B7-FE00023A6CE3}">
  <ds:schemaRefs>
    <ds:schemaRef ds:uri="http://schemas.microsoft.com/office/2006/metadata/properties"/>
    <ds:schemaRef ds:uri="http://schemas.microsoft.com/office/infopath/2007/PartnerControls"/>
    <ds:schemaRef ds:uri="c8e5b122-4b2b-489c-adbc-8ed8e7909528"/>
  </ds:schemaRefs>
</ds:datastoreItem>
</file>

<file path=customXml/itemProps2.xml><?xml version="1.0" encoding="utf-8"?>
<ds:datastoreItem xmlns:ds="http://schemas.openxmlformats.org/officeDocument/2006/customXml" ds:itemID="{327AFB5D-A279-4E20-93D4-F561A153B3E9}">
  <ds:schemaRefs>
    <ds:schemaRef ds:uri="http://schemas.microsoft.com/sharepoint/v3/contenttype/forms"/>
  </ds:schemaRefs>
</ds:datastoreItem>
</file>

<file path=customXml/itemProps3.xml><?xml version="1.0" encoding="utf-8"?>
<ds:datastoreItem xmlns:ds="http://schemas.openxmlformats.org/officeDocument/2006/customXml" ds:itemID="{4207F7D4-BD80-458A-8FEB-2511489A7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5b122-4b2b-489c-adbc-8ed8e7909528"/>
    <ds:schemaRef ds:uri="1e44f718-486f-44f2-b4b9-74b0f0276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ADC7B-9F88-49E2-9944-CF2B5510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43802</Words>
  <Characters>249676</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292893</CharactersWithSpaces>
  <SharedDoc>false</SharedDoc>
  <HLinks>
    <vt:vector size="24" baseType="variant">
      <vt:variant>
        <vt:i4>327709</vt:i4>
      </vt:variant>
      <vt:variant>
        <vt:i4>45</vt:i4>
      </vt:variant>
      <vt:variant>
        <vt:i4>0</vt:i4>
      </vt:variant>
      <vt:variant>
        <vt:i4>5</vt:i4>
      </vt:variant>
      <vt:variant>
        <vt:lpwstr>https://doi.org/10.1007/s11306-007-0082-2</vt:lpwstr>
      </vt:variant>
      <vt:variant>
        <vt:lpwstr/>
      </vt:variant>
      <vt:variant>
        <vt:i4>3670071</vt:i4>
      </vt:variant>
      <vt:variant>
        <vt:i4>33</vt:i4>
      </vt:variant>
      <vt:variant>
        <vt:i4>0</vt:i4>
      </vt:variant>
      <vt:variant>
        <vt:i4>5</vt:i4>
      </vt:variant>
      <vt:variant>
        <vt:lpwstr>https://doi.org/10.1093/ajcn/nqz222</vt:lpwstr>
      </vt:variant>
      <vt:variant>
        <vt:lpwstr/>
      </vt:variant>
      <vt:variant>
        <vt:i4>3670071</vt:i4>
      </vt:variant>
      <vt:variant>
        <vt:i4>30</vt:i4>
      </vt:variant>
      <vt:variant>
        <vt:i4>0</vt:i4>
      </vt:variant>
      <vt:variant>
        <vt:i4>5</vt:i4>
      </vt:variant>
      <vt:variant>
        <vt:lpwstr>https://doi.org/10.1093/ajcn/nqz222</vt:lpwstr>
      </vt:variant>
      <vt:variant>
        <vt:lpwstr/>
      </vt:variant>
      <vt:variant>
        <vt:i4>3670071</vt:i4>
      </vt:variant>
      <vt:variant>
        <vt:i4>27</vt:i4>
      </vt:variant>
      <vt:variant>
        <vt:i4>0</vt:i4>
      </vt:variant>
      <vt:variant>
        <vt:i4>5</vt:i4>
      </vt:variant>
      <vt:variant>
        <vt:lpwstr>https://doi.org/10.1093/ajcn/nqz222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2022-03-29T09:51:00Z</dcterms:created>
  <dcterms:modified xsi:type="dcterms:W3CDTF">2022-03-29T10:53:00Z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0x010100E70A75D75D7CA9408166B4B9815F75C7</vt:lpwstr>
  </property>
  <property fmtid="{D5CDD505-2E9C-101B-9397-08002B2CF9AE}" pid="3" name="Mendeley Document_1">
    <vt:lpwstr>True</vt:lpwstr>
  </property>
  <property fmtid="{D5CDD505-2E9C-101B-9397-08002B2CF9AE}" pid="4" name="Mendeley Unique User Id_1">
    <vt:lpwstr>1945e001-04b2-3ae6-9b4d-16a1dcb70ccb</vt:lpwstr>
  </property>
  <property fmtid="{D5CDD505-2E9C-101B-9397-08002B2CF9AE}" pid="5" name="Mendeley Citation Style_1">
    <vt:lpwstr>https://csl.mendeley.com/styles/601498051/nutri1-2</vt:lpwstr>
  </property>
  <property fmtid="{D5CDD505-2E9C-101B-9397-08002B2CF9AE}" pid="6" name="Mendeley Recent Style Id 0_1">
    <vt:lpwstr>http://csl.mendeley.com/styles/601498051/journal-of-nutrition</vt:lpwstr>
  </property>
  <property fmtid="{D5CDD505-2E9C-101B-9397-08002B2CF9AE}" pid="7" name="Mendeley Recent Style Name 0_1">
    <vt:lpwstr>AJCN-CL</vt:lpwstr>
  </property>
  <property fmtid="{D5CDD505-2E9C-101B-9397-08002B2CF9AE}" pid="8" name="Mendeley Recent Style Id 1_1">
    <vt:lpwstr>https://csl.mendeley.com/styles/601498051/journal-of-nutrition</vt:lpwstr>
  </property>
  <property fmtid="{D5CDD505-2E9C-101B-9397-08002B2CF9AE}" pid="9" name="Mendeley Recent Style Name 1_1">
    <vt:lpwstr>AJCN-CL</vt:lpwstr>
  </property>
  <property fmtid="{D5CDD505-2E9C-101B-9397-08002B2CF9AE}" pid="10" name="Mendeley Recent Style Id 2_1">
    <vt:lpwstr>https://csl.mendeley.com/styles/601498051/AJCN-CXL-2</vt:lpwstr>
  </property>
  <property fmtid="{D5CDD505-2E9C-101B-9397-08002B2CF9AE}" pid="11" name="Mendeley Recent Style Name 2_1">
    <vt:lpwstr>AJCN-CXL</vt:lpwstr>
  </property>
  <property fmtid="{D5CDD505-2E9C-101B-9397-08002B2CF9AE}" pid="12" name="Mendeley Recent Style Id 3_1">
    <vt:lpwstr>https://csl.mendeley.com/styles/601498051/american-medical-association</vt:lpwstr>
  </property>
  <property fmtid="{D5CDD505-2E9C-101B-9397-08002B2CF9AE}" pid="13" name="Mendeley Recent Style Name 3_1">
    <vt:lpwstr>AJCN-NEW</vt:lpwstr>
  </property>
  <property fmtid="{D5CDD505-2E9C-101B-9397-08002B2CF9AE}" pid="14" name="Mendeley Recent Style Id 4_1">
    <vt:lpwstr>http://csl.mendeley.com/styles/601498051/nutri1</vt:lpwstr>
  </property>
  <property fmtid="{D5CDD505-2E9C-101B-9397-08002B2CF9AE}" pid="15" name="Mendeley Recent Style Name 4_1">
    <vt:lpwstr>AJCN-V1</vt:lpwstr>
  </property>
  <property fmtid="{D5CDD505-2E9C-101B-9397-08002B2CF9AE}" pid="16" name="Mendeley Recent Style Id 5_1">
    <vt:lpwstr>http://csl.mendeley.com/styles/601498051/nutri1-2</vt:lpwstr>
  </property>
  <property fmtid="{D5CDD505-2E9C-101B-9397-08002B2CF9AE}" pid="17" name="Mendeley Recent Style Name 5_1">
    <vt:lpwstr>AJCN-V1 - Chunxiao Li</vt:lpwstr>
  </property>
  <property fmtid="{D5CDD505-2E9C-101B-9397-08002B2CF9AE}" pid="18" name="Mendeley Recent Style Id 6_1">
    <vt:lpwstr>https://csl.mendeley.com/styles/601498051/nutri1-2</vt:lpwstr>
  </property>
  <property fmtid="{D5CDD505-2E9C-101B-9397-08002B2CF9AE}" pid="19" name="Mendeley Recent Style Name 6_1">
    <vt:lpwstr>AJCN-V2</vt:lpwstr>
  </property>
  <property fmtid="{D5CDD505-2E9C-101B-9397-08002B2CF9AE}" pid="20" name="Mendeley Recent Style Id 7_1">
    <vt:lpwstr>http://www.zotero.org/styles/apa</vt:lpwstr>
  </property>
  <property fmtid="{D5CDD505-2E9C-101B-9397-08002B2CF9AE}" pid="21" name="Mendeley Recent Style Name 7_1">
    <vt:lpwstr>American Psychological Association 7th edition</vt:lpwstr>
  </property>
  <property fmtid="{D5CDD505-2E9C-101B-9397-08002B2CF9AE}" pid="22" name="Mendeley Recent Style Id 8_1">
    <vt:lpwstr>http://csl.mendeley.com/styles/601498051/AJCN-CXL</vt:lpwstr>
  </property>
  <property fmtid="{D5CDD505-2E9C-101B-9397-08002B2CF9AE}" pid="23" name="Mendeley Recent Style Name 8_1">
    <vt:lpwstr>Journal of Nutrition - Chunxiao Li</vt:lpwstr>
  </property>
  <property fmtid="{D5CDD505-2E9C-101B-9397-08002B2CF9AE}" pid="24" name="Mendeley Recent Style Id 9_1">
    <vt:lpwstr>http://www.zotero.org/styles/the-american-journal-of-clinical-nutrition</vt:lpwstr>
  </property>
  <property fmtid="{D5CDD505-2E9C-101B-9397-08002B2CF9AE}" pid="25" name="Mendeley Recent Style Name 9_1">
    <vt:lpwstr>The American Journal of Clinical Nutrition</vt:lpwstr>
  </property>
</Properties>
</file>