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06DB0" w14:textId="77777777" w:rsidR="002B1FA2" w:rsidRDefault="002B1FA2" w:rsidP="00CA0363">
      <w:pPr>
        <w:jc w:val="both"/>
        <w:rPr>
          <w:rFonts w:cstheme="minorHAnsi"/>
          <w:b/>
          <w:sz w:val="28"/>
          <w:szCs w:val="28"/>
        </w:rPr>
      </w:pPr>
    </w:p>
    <w:p w14:paraId="2ECFD53B" w14:textId="23AA4277" w:rsidR="00CA0363" w:rsidRPr="00951F0F" w:rsidRDefault="00CA0363" w:rsidP="00CA0363">
      <w:pPr>
        <w:jc w:val="both"/>
        <w:rPr>
          <w:rFonts w:cstheme="minorHAnsi"/>
          <w:b/>
          <w:sz w:val="28"/>
          <w:szCs w:val="28"/>
        </w:rPr>
      </w:pPr>
      <w:r w:rsidRPr="008A3EFD">
        <w:rPr>
          <w:rFonts w:cstheme="minorHAnsi"/>
          <w:b/>
          <w:sz w:val="28"/>
          <w:szCs w:val="28"/>
        </w:rPr>
        <w:t>Integrated ozone depletion</w:t>
      </w:r>
      <w:r w:rsidR="008B509A" w:rsidRPr="008A3EFD">
        <w:rPr>
          <w:rFonts w:cstheme="minorHAnsi"/>
          <w:b/>
          <w:sz w:val="28"/>
          <w:szCs w:val="28"/>
        </w:rPr>
        <w:t xml:space="preserve"> as</w:t>
      </w:r>
      <w:r w:rsidRPr="008A3EFD">
        <w:rPr>
          <w:rFonts w:cstheme="minorHAnsi"/>
          <w:b/>
          <w:sz w:val="28"/>
          <w:szCs w:val="28"/>
        </w:rPr>
        <w:t xml:space="preserve"> a metric for ozone recovery</w:t>
      </w:r>
    </w:p>
    <w:p w14:paraId="76340FF2" w14:textId="77777777" w:rsidR="00CA0363" w:rsidRPr="00951F0F" w:rsidRDefault="00CA0363" w:rsidP="00CA0363">
      <w:pPr>
        <w:jc w:val="both"/>
        <w:rPr>
          <w:rFonts w:cstheme="minorHAnsi"/>
          <w:b/>
          <w:sz w:val="28"/>
          <w:szCs w:val="28"/>
        </w:rPr>
      </w:pPr>
    </w:p>
    <w:p w14:paraId="4654BD1C" w14:textId="77777777" w:rsidR="00CA0363" w:rsidRPr="00951F0F" w:rsidRDefault="00CA0363" w:rsidP="00CA0363">
      <w:pPr>
        <w:jc w:val="both"/>
        <w:rPr>
          <w:rFonts w:cstheme="minorHAnsi"/>
        </w:rPr>
      </w:pPr>
      <w:r w:rsidRPr="00951F0F">
        <w:rPr>
          <w:rFonts w:cstheme="minorHAnsi"/>
        </w:rPr>
        <w:t>John A Pyle</w:t>
      </w:r>
      <w:r w:rsidRPr="00951F0F">
        <w:rPr>
          <w:rFonts w:cstheme="minorHAnsi"/>
          <w:vertAlign w:val="superscript"/>
        </w:rPr>
        <w:t>1,2*</w:t>
      </w:r>
      <w:r w:rsidRPr="00951F0F">
        <w:rPr>
          <w:rFonts w:cstheme="minorHAnsi"/>
        </w:rPr>
        <w:t>, James Keeble</w:t>
      </w:r>
      <w:r w:rsidRPr="00951F0F">
        <w:rPr>
          <w:rFonts w:cstheme="minorHAnsi"/>
          <w:vertAlign w:val="superscript"/>
        </w:rPr>
        <w:t>1,2*</w:t>
      </w:r>
      <w:r w:rsidRPr="00951F0F">
        <w:rPr>
          <w:rFonts w:cstheme="minorHAnsi"/>
        </w:rPr>
        <w:t>, Nathan Luke Abraham</w:t>
      </w:r>
      <w:r w:rsidRPr="00951F0F">
        <w:rPr>
          <w:rFonts w:cstheme="minorHAnsi"/>
          <w:vertAlign w:val="superscript"/>
        </w:rPr>
        <w:t>1,2</w:t>
      </w:r>
      <w:r w:rsidRPr="00951F0F">
        <w:rPr>
          <w:rFonts w:cstheme="minorHAnsi"/>
        </w:rPr>
        <w:t>, Martyn P Chipperfield</w:t>
      </w:r>
      <w:r w:rsidRPr="00951F0F">
        <w:rPr>
          <w:rFonts w:cstheme="minorHAnsi"/>
          <w:vertAlign w:val="superscript"/>
        </w:rPr>
        <w:t>3,4</w:t>
      </w:r>
      <w:r w:rsidRPr="00951F0F">
        <w:rPr>
          <w:rFonts w:cstheme="minorHAnsi"/>
        </w:rPr>
        <w:t xml:space="preserve">, </w:t>
      </w:r>
      <w:r w:rsidRPr="00951F0F">
        <w:rPr>
          <w:rFonts w:cstheme="minorHAnsi"/>
        </w:rPr>
        <w:br/>
        <w:t>Paul T Griffiths</w:t>
      </w:r>
      <w:r w:rsidRPr="00951F0F">
        <w:rPr>
          <w:rFonts w:cstheme="minorHAnsi"/>
          <w:vertAlign w:val="superscript"/>
        </w:rPr>
        <w:t>1,2</w:t>
      </w:r>
    </w:p>
    <w:p w14:paraId="3BE7C14D" w14:textId="77777777" w:rsidR="00CA0363" w:rsidRPr="00951F0F" w:rsidRDefault="00CA0363" w:rsidP="00CA0363">
      <w:pPr>
        <w:jc w:val="both"/>
        <w:rPr>
          <w:rFonts w:cstheme="minorHAnsi"/>
        </w:rPr>
      </w:pPr>
      <w:r w:rsidRPr="00951F0F">
        <w:rPr>
          <w:rFonts w:cstheme="minorHAnsi"/>
        </w:rPr>
        <w:t>1. Department of Chemistry, University of Cambridge, Cambridge, CB2 1EW, UK</w:t>
      </w:r>
    </w:p>
    <w:p w14:paraId="44EF708D" w14:textId="77777777" w:rsidR="00CA0363" w:rsidRPr="00951F0F" w:rsidRDefault="00CA0363" w:rsidP="00CA0363">
      <w:pPr>
        <w:jc w:val="both"/>
        <w:rPr>
          <w:rFonts w:cstheme="minorHAnsi"/>
        </w:rPr>
      </w:pPr>
      <w:r w:rsidRPr="00951F0F">
        <w:rPr>
          <w:rFonts w:cstheme="minorHAnsi"/>
        </w:rPr>
        <w:t>2. National Centre for Atmospheric Science (NCAS), University of Cambridge, UK</w:t>
      </w:r>
    </w:p>
    <w:p w14:paraId="30BDB94D" w14:textId="77777777" w:rsidR="00CA0363" w:rsidRPr="00951F0F" w:rsidRDefault="00CA0363" w:rsidP="00CA0363">
      <w:pPr>
        <w:jc w:val="both"/>
        <w:rPr>
          <w:rFonts w:cstheme="minorHAnsi"/>
        </w:rPr>
      </w:pPr>
      <w:r w:rsidRPr="00951F0F">
        <w:rPr>
          <w:rFonts w:cstheme="minorHAnsi"/>
        </w:rPr>
        <w:t>3. School of Earth and Environment, University of Leeds, Leeds, LS2 9JT, UK</w:t>
      </w:r>
    </w:p>
    <w:p w14:paraId="797A7DE9" w14:textId="77777777" w:rsidR="00CA0363" w:rsidRPr="00951F0F" w:rsidRDefault="00CA0363" w:rsidP="00CA0363">
      <w:pPr>
        <w:jc w:val="both"/>
        <w:rPr>
          <w:rFonts w:cstheme="minorHAnsi"/>
        </w:rPr>
      </w:pPr>
      <w:r w:rsidRPr="00951F0F">
        <w:rPr>
          <w:rFonts w:cstheme="minorHAnsi"/>
        </w:rPr>
        <w:t>4. National Centre for Earth Observation (NCEO), University of Leeds, Leeds, LS2 9JT, UK</w:t>
      </w:r>
    </w:p>
    <w:p w14:paraId="6B3D43A9" w14:textId="77777777" w:rsidR="00CA0363" w:rsidRPr="00951F0F" w:rsidRDefault="00CA0363" w:rsidP="00CA0363">
      <w:pPr>
        <w:jc w:val="both"/>
        <w:rPr>
          <w:rFonts w:cstheme="minorHAnsi"/>
        </w:rPr>
      </w:pPr>
    </w:p>
    <w:p w14:paraId="28599984" w14:textId="77777777" w:rsidR="00CA0363" w:rsidRPr="00951F0F" w:rsidRDefault="00CA0363" w:rsidP="00CA0363">
      <w:pPr>
        <w:jc w:val="both"/>
        <w:rPr>
          <w:rFonts w:cstheme="minorHAnsi"/>
        </w:rPr>
      </w:pPr>
    </w:p>
    <w:p w14:paraId="10631ED1" w14:textId="5E76BC8F" w:rsidR="00CA0363" w:rsidRPr="00951F0F" w:rsidRDefault="00CA0363" w:rsidP="00CA0363">
      <w:pPr>
        <w:spacing w:after="240" w:line="480" w:lineRule="auto"/>
        <w:jc w:val="both"/>
        <w:rPr>
          <w:rFonts w:cstheme="minorHAnsi"/>
          <w:b/>
        </w:rPr>
      </w:pPr>
      <w:r w:rsidRPr="00951F0F">
        <w:rPr>
          <w:rFonts w:cstheme="minorHAnsi"/>
          <w:b/>
        </w:rPr>
        <w:t>The Montreal Protocol is successfully protecting the ozone layer. The main halogen gases responsible for stratospheric ozone depletion have been regulated under the Protocol, their combined atmospheric abundances are declining and ozone is increasing in some parts of the atmosphere</w:t>
      </w:r>
      <w:r w:rsidRPr="00951F0F">
        <w:rPr>
          <w:rFonts w:cstheme="minorHAnsi"/>
          <w:b/>
          <w:vertAlign w:val="superscript"/>
        </w:rPr>
        <w:t>1</w:t>
      </w:r>
      <w:r w:rsidRPr="00951F0F">
        <w:rPr>
          <w:rFonts w:cstheme="minorHAnsi"/>
          <w:b/>
        </w:rPr>
        <w:t>. Ozone depletion potentials (ODPs)</w:t>
      </w:r>
      <w:r w:rsidRPr="00951F0F">
        <w:rPr>
          <w:rFonts w:cstheme="minorHAnsi"/>
          <w:b/>
          <w:vertAlign w:val="superscript"/>
        </w:rPr>
        <w:t>2,3,4</w:t>
      </w:r>
      <w:r w:rsidRPr="00951F0F">
        <w:rPr>
          <w:rFonts w:cstheme="minorHAnsi"/>
          <w:b/>
        </w:rPr>
        <w:t>, relative measures of compounds’ abilities to deplete stratospheric ozone, have been a key regulatory component of the Protocol in successfully guiding the phase out in manufacture of the most highly depleting substances. However, this latest, recovery phase in monitoring the success of the Protocol calls for additional metrics. The ‘delay in ozone return’ has been widely used to indicate the effect of different emissions or phase-down strategies, but we argue here that it can sometimes be ambiguous or even of no use. Instead, we propose the use of an integrated ozone depletion (IOD) metric to indicate the impact of any new emission. The IOD measures the time-integrated column ozone depletion and depends only on the emission strength and the whole atmosphere and stratospheric lifetimes of the species considered. It provides a useful complementary metric of the impact of specific emissions of an ODS for both the scientific and policy communities</w:t>
      </w:r>
      <w:r w:rsidR="00236810" w:rsidRPr="00951F0F">
        <w:rPr>
          <w:rFonts w:cstheme="minorHAnsi"/>
          <w:b/>
        </w:rPr>
        <w:t>.</w:t>
      </w:r>
    </w:p>
    <w:p w14:paraId="45A204CD" w14:textId="2D3428AA" w:rsidR="00CA0363" w:rsidRPr="00951F0F" w:rsidRDefault="00CA0363" w:rsidP="00CA0363">
      <w:pPr>
        <w:spacing w:after="240" w:line="480" w:lineRule="auto"/>
        <w:jc w:val="both"/>
        <w:rPr>
          <w:rFonts w:cstheme="minorHAnsi"/>
        </w:rPr>
      </w:pPr>
      <w:r w:rsidRPr="00951F0F">
        <w:rPr>
          <w:rFonts w:cstheme="minorHAnsi"/>
        </w:rPr>
        <w:t xml:space="preserve">Ozone depletion potentials have been a key metric for the Montreal Protocol, guiding control measures for the protection of the ozone layer. Following the success of the Protocol in the phasing out of potent ozone depleting substances (ODS) and the subsequent decline in the </w:t>
      </w:r>
      <w:r w:rsidRPr="00951F0F">
        <w:rPr>
          <w:rFonts w:cstheme="minorHAnsi"/>
        </w:rPr>
        <w:lastRenderedPageBreak/>
        <w:t>aggregated stratospheric levels of both chlorinated and brominated ODS, which started around the turn of the century, there are now indications of positive trends in ozone, at least in particular locations, so that we are now into a new phase, monitoring the recovery of the ozone layer</w:t>
      </w:r>
      <w:r w:rsidRPr="00951F0F">
        <w:rPr>
          <w:rFonts w:cstheme="minorHAnsi"/>
          <w:vertAlign w:val="superscript"/>
        </w:rPr>
        <w:t>5,6,7,8,9</w:t>
      </w:r>
      <w:r w:rsidRPr="00951F0F">
        <w:rPr>
          <w:rFonts w:cstheme="minorHAnsi"/>
        </w:rPr>
        <w:t>. Threats to the ozone layer now come from either illegal breaches of the Protocol</w:t>
      </w:r>
      <w:r w:rsidRPr="00951F0F">
        <w:rPr>
          <w:rFonts w:cstheme="minorHAnsi"/>
          <w:vertAlign w:val="superscript"/>
        </w:rPr>
        <w:t xml:space="preserve">10,11 </w:t>
      </w:r>
      <w:r w:rsidRPr="00951F0F">
        <w:rPr>
          <w:rFonts w:cstheme="minorHAnsi"/>
        </w:rPr>
        <w:t>or from emissions of unregulated short-lived substances of anthropogenic origin</w:t>
      </w:r>
      <w:r w:rsidRPr="00951F0F">
        <w:rPr>
          <w:rFonts w:cstheme="minorHAnsi"/>
          <w:vertAlign w:val="superscript"/>
        </w:rPr>
        <w:t>12,13</w:t>
      </w:r>
      <w:r w:rsidRPr="00951F0F">
        <w:rPr>
          <w:rFonts w:cstheme="minorHAnsi"/>
        </w:rPr>
        <w:t>. We believe this new phase calls for a new metric, the integrated ozone depletion, described below. The impact of these new threats has so far been addressed largely by consider</w:t>
      </w:r>
      <w:r w:rsidR="00A15871">
        <w:rPr>
          <w:rFonts w:cstheme="minorHAnsi"/>
        </w:rPr>
        <w:t xml:space="preserve">ing for </w:t>
      </w:r>
      <w:r w:rsidRPr="00951F0F">
        <w:rPr>
          <w:rFonts w:cstheme="minorHAnsi"/>
        </w:rPr>
        <w:t xml:space="preserve">how long they might delay the time for return of column ozone, globally or regionally, to some </w:t>
      </w:r>
      <w:r w:rsidR="00A15871">
        <w:rPr>
          <w:rFonts w:cstheme="minorHAnsi"/>
        </w:rPr>
        <w:t xml:space="preserve">previous </w:t>
      </w:r>
      <w:r w:rsidRPr="00951F0F">
        <w:rPr>
          <w:rFonts w:cstheme="minorHAnsi"/>
        </w:rPr>
        <w:t>value</w:t>
      </w:r>
      <w:r w:rsidR="00A15871">
        <w:rPr>
          <w:rFonts w:cstheme="minorHAnsi"/>
        </w:rPr>
        <w:t xml:space="preserve">, </w:t>
      </w:r>
      <w:r w:rsidRPr="00951F0F">
        <w:rPr>
          <w:rFonts w:cstheme="minorHAnsi"/>
        </w:rPr>
        <w:t>often taken to be the 1980 value</w:t>
      </w:r>
      <w:r w:rsidRPr="00951F0F">
        <w:rPr>
          <w:rFonts w:cstheme="minorHAnsi"/>
          <w:vertAlign w:val="superscript"/>
        </w:rPr>
        <w:t xml:space="preserve">14,15,16 </w:t>
      </w:r>
      <w:r w:rsidRPr="00951F0F">
        <w:rPr>
          <w:rFonts w:cstheme="minorHAnsi"/>
        </w:rPr>
        <w:t>(although the build-up of anthropogenic ODS in the atmosphere was already well established by then). However, we argue here that return to a particular value is not necessarily the best, or most useful, metric.</w:t>
      </w:r>
    </w:p>
    <w:p w14:paraId="739F143F" w14:textId="58EEB3B3" w:rsidR="00CA0363" w:rsidRPr="00951F0F" w:rsidRDefault="00CA0363" w:rsidP="00CA0363">
      <w:pPr>
        <w:spacing w:after="240" w:line="480" w:lineRule="auto"/>
        <w:jc w:val="both"/>
        <w:rPr>
          <w:rFonts w:cstheme="minorHAnsi"/>
        </w:rPr>
      </w:pPr>
      <w:r w:rsidRPr="00951F0F">
        <w:rPr>
          <w:rFonts w:cstheme="minorHAnsi"/>
        </w:rPr>
        <w:t xml:space="preserve">Figure 1 is a schematic illustration of possible future ozone trajectories under a range of different future emissions of long and short-lived gases, based on integrations discussed later. The black line in Figure 1 is the anticipated projection of global mean column ozone levels assuming full compliance with the Montreal Protocol; in this example return to the historic threshold value (taken here as ~1960, before which time ODS emissions into the atmosphere were small, and given by the horizontal dashed line) occurs sometime in the </w:t>
      </w:r>
      <w:r w:rsidR="00262138" w:rsidRPr="00951F0F">
        <w:rPr>
          <w:rFonts w:cstheme="minorHAnsi"/>
        </w:rPr>
        <w:t xml:space="preserve">mid </w:t>
      </w:r>
      <w:r w:rsidRPr="00951F0F">
        <w:rPr>
          <w:rFonts w:cstheme="minorHAnsi"/>
        </w:rPr>
        <w:t>2070s. Increasing levels of CO</w:t>
      </w:r>
      <w:r w:rsidRPr="00951F0F">
        <w:rPr>
          <w:rFonts w:cstheme="minorHAnsi"/>
          <w:vertAlign w:val="subscript"/>
        </w:rPr>
        <w:t>2</w:t>
      </w:r>
      <w:r w:rsidRPr="00951F0F">
        <w:rPr>
          <w:rFonts w:cstheme="minorHAnsi"/>
        </w:rPr>
        <w:t xml:space="preserve"> will cool the stratosphere and tend to increase global stratospheric ozone concentrations so that ozone will likely exceed the 1960 value later this century. Clearly, the black line will depend on the particular evolution of both the ODS and greenhouse gas (GHG) concentrations. The blue line is the ozone trajectory assuming the same </w:t>
      </w:r>
      <w:r w:rsidR="003E2119" w:rsidRPr="00951F0F">
        <w:rPr>
          <w:rFonts w:cstheme="minorHAnsi"/>
        </w:rPr>
        <w:t>GHG</w:t>
      </w:r>
      <w:r w:rsidRPr="00951F0F">
        <w:rPr>
          <w:rFonts w:cstheme="minorHAnsi"/>
        </w:rPr>
        <w:t xml:space="preserve"> scenario but that some additional long-lived halocarbons, either unregulated or not </w:t>
      </w:r>
      <w:r w:rsidRPr="00951F0F">
        <w:rPr>
          <w:rFonts w:cstheme="minorHAnsi"/>
        </w:rPr>
        <w:lastRenderedPageBreak/>
        <w:t>compliant with the Montreal Protocol, are emitted for a few years and reach the stratosphere, in which case the return to the 1960 value is delayed to the early 2080s</w:t>
      </w:r>
      <w:r w:rsidR="00236810" w:rsidRPr="00951F0F">
        <w:rPr>
          <w:rFonts w:cstheme="minorHAnsi"/>
        </w:rPr>
        <w:t>.</w:t>
      </w:r>
    </w:p>
    <w:p w14:paraId="38D8A4AE" w14:textId="7ACC8E2C" w:rsidR="00CA0363" w:rsidRPr="00951F0F" w:rsidRDefault="00CA0363" w:rsidP="00CA0363">
      <w:pPr>
        <w:spacing w:after="240" w:line="480" w:lineRule="auto"/>
        <w:jc w:val="both"/>
        <w:rPr>
          <w:rFonts w:cstheme="minorHAnsi"/>
        </w:rPr>
      </w:pPr>
      <w:r w:rsidRPr="00951F0F">
        <w:rPr>
          <w:rFonts w:cstheme="minorHAnsi"/>
        </w:rPr>
        <w:t>But is giving the delay in a return date useful? There are several reasons why it is not. If the new (blue) recovery line has a gradient with time which is very close to zero (i.e., close to the horizontal dashed line in Figure 1), then the delay will be long but the actual ozone depletion during the delay may be very small. A key point here is that ozone would not return to its past value in a single instant. Instead, there could be a long period of time in which total column ozone is within the natural variability of past periods, constantly rising above and falling below the chosen threshold value for periods of years to decades</w:t>
      </w:r>
      <w:r w:rsidRPr="00951F0F">
        <w:rPr>
          <w:rFonts w:cstheme="minorHAnsi"/>
          <w:vertAlign w:val="superscript"/>
        </w:rPr>
        <w:t>16</w:t>
      </w:r>
      <w:r w:rsidRPr="00951F0F">
        <w:rPr>
          <w:rFonts w:cstheme="minorHAnsi"/>
        </w:rPr>
        <w:t>. Furthermore, if the stratosphere is subjected to emissions of a very short-lived halogenated substance, there may be significant ozone depletion of short duration (e.g., the red line in Figure 1) but with no delay in the time for ozone to return to a previous, historic value. Having a metric which provides information along the full pathway to recovery may better reflect total column ozone changes associated with short-lived species. Finally, assessing the time delay before the return date</w:t>
      </w:r>
      <w:r w:rsidR="002B1FA2" w:rsidRPr="00951F0F">
        <w:rPr>
          <w:rFonts w:cstheme="minorHAnsi"/>
        </w:rPr>
        <w:t xml:space="preserve"> is </w:t>
      </w:r>
      <w:r w:rsidRPr="00951F0F">
        <w:rPr>
          <w:rFonts w:cstheme="minorHAnsi"/>
        </w:rPr>
        <w:t>reached requires a detailed calculation, usually performed using a computationally expensive 3D model (a chemical transport model or a chemistry-climate model). This metric is not simple, requires the detailed calculation for every possible compound and its emission scenario, and would be subject to inter-model variability. For all the above reasons, we argue that a new, complementary metric is required now that we are in this new phase of ozone recovery. The metric should (</w:t>
      </w:r>
      <w:proofErr w:type="spellStart"/>
      <w:r w:rsidRPr="00951F0F">
        <w:rPr>
          <w:rFonts w:cstheme="minorHAnsi"/>
        </w:rPr>
        <w:t>i</w:t>
      </w:r>
      <w:proofErr w:type="spellEnd"/>
      <w:r w:rsidRPr="00951F0F">
        <w:rPr>
          <w:rFonts w:cstheme="minorHAnsi"/>
        </w:rPr>
        <w:t>) provide more information about the pathway to recovery than the return date, (ii) allow the assessment of the impact of a range of emissions of an ODS and (ii</w:t>
      </w:r>
      <w:r w:rsidR="00515DB7">
        <w:rPr>
          <w:rFonts w:cstheme="minorHAnsi"/>
        </w:rPr>
        <w:t>i</w:t>
      </w:r>
      <w:r w:rsidRPr="00951F0F">
        <w:rPr>
          <w:rFonts w:cstheme="minorHAnsi"/>
        </w:rPr>
        <w:t>) be accessible without repeated 3D model calculations.</w:t>
      </w:r>
    </w:p>
    <w:p w14:paraId="6A328159" w14:textId="786609A9" w:rsidR="00CA0363" w:rsidRPr="00951F0F" w:rsidRDefault="00CA0363" w:rsidP="00CA0363">
      <w:pPr>
        <w:spacing w:after="240" w:line="480" w:lineRule="auto"/>
        <w:jc w:val="both"/>
        <w:rPr>
          <w:rFonts w:cstheme="minorHAnsi"/>
        </w:rPr>
      </w:pPr>
      <w:r w:rsidRPr="00951F0F">
        <w:rPr>
          <w:rFonts w:cstheme="minorHAnsi"/>
        </w:rPr>
        <w:lastRenderedPageBreak/>
        <w:t>We have explored a metric which satisfies these criteria. We argue that an important measure of the impact of any new emissions for policy is the cumulative additional ozone depletion consequent on those emissions. For the hypothetical ozone depletion by additional emissions of a long-lived ODS in Figure 1, the cumulative additional ozone loss (hereafter, the Integrated Ozone Depletion, IOD) would be the integral between the blue and black lines (the blue shaded area) or, for the hypothetical depletion by a short-lived substance, the integral between the red and black lines (the red shaded area). The time period over which these scenarios differ from one another is controlled by the duration of the additional emission</w:t>
      </w:r>
      <w:r w:rsidR="002B1FA2" w:rsidRPr="00951F0F">
        <w:rPr>
          <w:rFonts w:cstheme="minorHAnsi"/>
        </w:rPr>
        <w:t xml:space="preserve">, the </w:t>
      </w:r>
      <w:r w:rsidRPr="00951F0F">
        <w:rPr>
          <w:rFonts w:cstheme="minorHAnsi"/>
        </w:rPr>
        <w:t>lifetime of the species</w:t>
      </w:r>
      <w:r w:rsidR="002B1FA2" w:rsidRPr="00951F0F">
        <w:rPr>
          <w:rFonts w:cstheme="minorHAnsi"/>
        </w:rPr>
        <w:t xml:space="preserve"> and the subsequent</w:t>
      </w:r>
      <w:r w:rsidR="00D703C2" w:rsidRPr="00951F0F">
        <w:rPr>
          <w:rFonts w:cstheme="minorHAnsi"/>
        </w:rPr>
        <w:t xml:space="preserve"> r</w:t>
      </w:r>
      <w:r w:rsidR="002B1FA2" w:rsidRPr="00951F0F">
        <w:rPr>
          <w:rFonts w:cstheme="minorHAnsi"/>
        </w:rPr>
        <w:t>emoval of active halogen from the stratosphere</w:t>
      </w:r>
      <w:r w:rsidRPr="00951F0F">
        <w:rPr>
          <w:rFonts w:cstheme="minorHAnsi"/>
        </w:rPr>
        <w:t>. Dividing the IOD by the time period of the perturbation provides some estimate of the annual average ozone loss. Alternatively, IODs could be used to determine the percentage increase in additional ozone loss by comparing the time integrals for this additional loss (e.g., the red and blue shaded areas) with ozone loss that should occur under full compliance with the Protocol until some recovery measure is reached (the yellow shaded area in Figure 1).</w:t>
      </w:r>
    </w:p>
    <w:p w14:paraId="2E9920E1" w14:textId="739FB455" w:rsidR="00CA0363" w:rsidRPr="00951F0F" w:rsidRDefault="00CA0363" w:rsidP="00CA0363">
      <w:pPr>
        <w:spacing w:after="240" w:line="480" w:lineRule="auto"/>
        <w:jc w:val="both"/>
      </w:pPr>
      <w:r w:rsidRPr="00951F0F">
        <w:rPr>
          <w:rFonts w:cstheme="minorHAnsi"/>
        </w:rPr>
        <w:t>We have investigated ozone projections, return dates and the new IOD metric using our chemistry-climate model, UM-UKCA, with a range of integrations representing several different scenarios. A description of the model and all the scenarios used is provided in the Methods</w:t>
      </w:r>
      <w:r w:rsidR="001F3A29">
        <w:rPr>
          <w:rFonts w:cstheme="minorHAnsi"/>
        </w:rPr>
        <w:t>; Table 1 lists the scenarios</w:t>
      </w:r>
      <w:r w:rsidRPr="00951F0F">
        <w:rPr>
          <w:rFonts w:cstheme="minorHAnsi"/>
        </w:rPr>
        <w:t xml:space="preserve">. </w:t>
      </w:r>
      <w:r w:rsidRPr="00951F0F">
        <w:t>Some of these integrations look at the impact of new emissions of CFC-11, aimed at addressing the recent emissions detected in contravention of the Montreal Protocol</w:t>
      </w:r>
      <w:r w:rsidRPr="00951F0F">
        <w:rPr>
          <w:vertAlign w:val="superscript"/>
        </w:rPr>
        <w:t>10,11,17</w:t>
      </w:r>
      <w:r w:rsidRPr="00951F0F">
        <w:t xml:space="preserve">. </w:t>
      </w:r>
      <w:r w:rsidRPr="00951F0F">
        <w:rPr>
          <w:rFonts w:cstheme="minorHAnsi"/>
        </w:rPr>
        <w:t>CFC-11 has an atmospheric lifetime of about 55 years, but recent observations have also documented an increase in the atmospheric concentrations of a number of unregulated short-lived halogenated substances (dichloromethane (DCM), chloroform, dichloroethane (DCE), etc)</w:t>
      </w:r>
      <w:r w:rsidRPr="00951F0F">
        <w:rPr>
          <w:rFonts w:cstheme="minorHAnsi"/>
          <w:vertAlign w:val="superscript"/>
        </w:rPr>
        <w:t>12,13,18</w:t>
      </w:r>
      <w:r w:rsidRPr="00951F0F">
        <w:rPr>
          <w:rFonts w:cstheme="minorHAnsi"/>
        </w:rPr>
        <w:t xml:space="preserve"> which could also have an impact on the pathway </w:t>
      </w:r>
      <w:r w:rsidRPr="00951F0F">
        <w:rPr>
          <w:rFonts w:cstheme="minorHAnsi"/>
        </w:rPr>
        <w:lastRenderedPageBreak/>
        <w:t>of ozone recovery. Accordingly, we have also explored the impact of a range of hypothetical emissions of gases with shorter atmospheric lifetimes than CFC-11. These integrations were not designed to simulate the impact of any particular gas but instead to explore a range of emissions and lifetimes to allow some general conclusions to be drawn. We have taken CH</w:t>
      </w:r>
      <w:r w:rsidRPr="00951F0F">
        <w:rPr>
          <w:rFonts w:cstheme="minorHAnsi"/>
          <w:vertAlign w:val="subscript"/>
        </w:rPr>
        <w:t>3</w:t>
      </w:r>
      <w:r w:rsidRPr="00951F0F">
        <w:rPr>
          <w:rFonts w:cstheme="minorHAnsi"/>
        </w:rPr>
        <w:t>CCl</w:t>
      </w:r>
      <w:r w:rsidRPr="00951F0F">
        <w:rPr>
          <w:rFonts w:cstheme="minorHAnsi"/>
          <w:vertAlign w:val="subscript"/>
        </w:rPr>
        <w:t xml:space="preserve">3 </w:t>
      </w:r>
      <w:r w:rsidRPr="00951F0F">
        <w:rPr>
          <w:rFonts w:cstheme="minorHAnsi"/>
        </w:rPr>
        <w:t>(methyl chloroform, MCF), CH</w:t>
      </w:r>
      <w:r w:rsidRPr="00951F0F">
        <w:rPr>
          <w:rFonts w:cstheme="minorHAnsi"/>
          <w:vertAlign w:val="subscript"/>
        </w:rPr>
        <w:t>3</w:t>
      </w:r>
      <w:r w:rsidRPr="00951F0F">
        <w:rPr>
          <w:rFonts w:cstheme="minorHAnsi"/>
        </w:rPr>
        <w:t>Cl and CH</w:t>
      </w:r>
      <w:r w:rsidRPr="00951F0F">
        <w:rPr>
          <w:rFonts w:cstheme="minorHAnsi"/>
          <w:vertAlign w:val="subscript"/>
        </w:rPr>
        <w:t>3</w:t>
      </w:r>
      <w:r w:rsidRPr="00951F0F">
        <w:rPr>
          <w:rFonts w:cstheme="minorHAnsi"/>
        </w:rPr>
        <w:t>Br as examples, with whole atmosphere lifetimes of 5</w:t>
      </w:r>
      <w:r w:rsidR="00CC4D31">
        <w:rPr>
          <w:rFonts w:cstheme="minorHAnsi"/>
        </w:rPr>
        <w:t>.0</w:t>
      </w:r>
      <w:r w:rsidRPr="00951F0F">
        <w:rPr>
          <w:rFonts w:cstheme="minorHAnsi"/>
        </w:rPr>
        <w:t>, 0.9 and 0.8 years, respectively</w:t>
      </w:r>
      <w:r w:rsidRPr="00951F0F">
        <w:rPr>
          <w:rFonts w:cstheme="minorHAnsi"/>
          <w:vertAlign w:val="superscript"/>
        </w:rPr>
        <w:t>1</w:t>
      </w:r>
      <w:r w:rsidR="001D60E9">
        <w:rPr>
          <w:rFonts w:cstheme="minorHAnsi"/>
        </w:rPr>
        <w:t>.</w:t>
      </w:r>
      <w:r w:rsidRPr="00951F0F">
        <w:rPr>
          <w:rFonts w:cstheme="minorHAnsi"/>
        </w:rPr>
        <w:t xml:space="preserve"> </w:t>
      </w:r>
      <w:r w:rsidR="002B1FA2" w:rsidRPr="00951F0F">
        <w:rPr>
          <w:rFonts w:cstheme="minorHAnsi"/>
        </w:rPr>
        <w:t>(</w:t>
      </w:r>
      <w:r w:rsidR="001D60E9">
        <w:rPr>
          <w:rFonts w:cstheme="minorHAnsi"/>
        </w:rPr>
        <w:t>L</w:t>
      </w:r>
      <w:r w:rsidR="002B1FA2" w:rsidRPr="00951F0F">
        <w:rPr>
          <w:rFonts w:cstheme="minorHAnsi"/>
        </w:rPr>
        <w:t xml:space="preserve">ifetimes </w:t>
      </w:r>
      <w:r w:rsidR="008A762C" w:rsidRPr="00951F0F">
        <w:rPr>
          <w:rFonts w:cstheme="minorHAnsi"/>
        </w:rPr>
        <w:t xml:space="preserve">taken </w:t>
      </w:r>
      <w:r w:rsidR="002B1FA2" w:rsidRPr="00951F0F">
        <w:rPr>
          <w:rFonts w:cstheme="minorHAnsi"/>
        </w:rPr>
        <w:t xml:space="preserve">from the literature and </w:t>
      </w:r>
      <w:r w:rsidR="008A762C" w:rsidRPr="00951F0F">
        <w:rPr>
          <w:rFonts w:cstheme="minorHAnsi"/>
        </w:rPr>
        <w:t xml:space="preserve">calculated </w:t>
      </w:r>
      <w:r w:rsidR="002B1FA2" w:rsidRPr="00951F0F">
        <w:rPr>
          <w:rFonts w:cstheme="minorHAnsi"/>
        </w:rPr>
        <w:t>from UM-U</w:t>
      </w:r>
      <w:r w:rsidR="00D703C2" w:rsidRPr="00951F0F">
        <w:rPr>
          <w:rFonts w:cstheme="minorHAnsi"/>
        </w:rPr>
        <w:t>K</w:t>
      </w:r>
      <w:r w:rsidR="002B1FA2" w:rsidRPr="00951F0F">
        <w:rPr>
          <w:rFonts w:cstheme="minorHAnsi"/>
        </w:rPr>
        <w:t xml:space="preserve">CA </w:t>
      </w:r>
      <w:r w:rsidR="008A762C" w:rsidRPr="00951F0F">
        <w:rPr>
          <w:rFonts w:cstheme="minorHAnsi"/>
        </w:rPr>
        <w:t xml:space="preserve">simulations </w:t>
      </w:r>
      <w:r w:rsidR="002B1FA2" w:rsidRPr="00951F0F">
        <w:rPr>
          <w:rFonts w:cstheme="minorHAnsi"/>
        </w:rPr>
        <w:t xml:space="preserve">are given in Table </w:t>
      </w:r>
      <w:r w:rsidR="001F3A29">
        <w:rPr>
          <w:rFonts w:cstheme="minorHAnsi"/>
        </w:rPr>
        <w:t>2</w:t>
      </w:r>
      <w:r w:rsidR="002B1FA2" w:rsidRPr="00951F0F">
        <w:rPr>
          <w:rFonts w:cstheme="minorHAnsi"/>
        </w:rPr>
        <w:t>)</w:t>
      </w:r>
      <w:r w:rsidR="008A762C" w:rsidRPr="00951F0F">
        <w:rPr>
          <w:rFonts w:cstheme="minorHAnsi"/>
        </w:rPr>
        <w:t>.</w:t>
      </w:r>
      <w:r w:rsidR="002B1FA2" w:rsidRPr="00951F0F">
        <w:rPr>
          <w:rFonts w:cstheme="minorHAnsi"/>
        </w:rPr>
        <w:t xml:space="preserve"> </w:t>
      </w:r>
      <w:r w:rsidRPr="00951F0F">
        <w:rPr>
          <w:rFonts w:cstheme="minorHAnsi"/>
        </w:rPr>
        <w:t xml:space="preserve">They have shorter atmospheric lifetimes than CFC-11 but somewhat longer atmospheric lifetimes than many short-lived gases, so any increase in their emissions would likely have a larger, more long-lasting impact than for the shortest-lived gases. We have followed this approach because emissions of DCM, DCE, etc. are poorly known, with projections of future trends even </w:t>
      </w:r>
      <w:r w:rsidR="00A15871">
        <w:rPr>
          <w:rFonts w:cstheme="minorHAnsi"/>
        </w:rPr>
        <w:t>more</w:t>
      </w:r>
      <w:r w:rsidR="00A15871" w:rsidRPr="00951F0F">
        <w:rPr>
          <w:rFonts w:cstheme="minorHAnsi"/>
        </w:rPr>
        <w:t xml:space="preserve"> </w:t>
      </w:r>
      <w:r w:rsidRPr="00951F0F">
        <w:rPr>
          <w:rFonts w:cstheme="minorHAnsi"/>
        </w:rPr>
        <w:t>so. So, in addition to a Base integration, which followed WMO 2018, and the CFC calculations mentioned above, we carried out additional integrations considering a very large range of emissions of MCF, CH</w:t>
      </w:r>
      <w:r w:rsidRPr="00951F0F">
        <w:rPr>
          <w:rFonts w:cstheme="minorHAnsi"/>
          <w:vertAlign w:val="subscript"/>
        </w:rPr>
        <w:t>3</w:t>
      </w:r>
      <w:r w:rsidRPr="00951F0F">
        <w:rPr>
          <w:rFonts w:cstheme="minorHAnsi"/>
        </w:rPr>
        <w:t>Cl and CH</w:t>
      </w:r>
      <w:r w:rsidRPr="00951F0F">
        <w:rPr>
          <w:rFonts w:cstheme="minorHAnsi"/>
          <w:vertAlign w:val="subscript"/>
        </w:rPr>
        <w:t>3</w:t>
      </w:r>
      <w:r w:rsidRPr="00951F0F">
        <w:rPr>
          <w:rFonts w:cstheme="minorHAnsi"/>
        </w:rPr>
        <w:t>Br. Together these integrations allow us to study the new metric over a very wide range of conditions.</w:t>
      </w:r>
    </w:p>
    <w:p w14:paraId="438F20A5" w14:textId="3D4DA797" w:rsidR="00CA0363" w:rsidRPr="00951F0F" w:rsidRDefault="00CA0363" w:rsidP="00CA0363">
      <w:pPr>
        <w:spacing w:after="240" w:line="480" w:lineRule="auto"/>
        <w:jc w:val="both"/>
        <w:rPr>
          <w:rFonts w:cstheme="minorHAnsi"/>
        </w:rPr>
      </w:pPr>
      <w:r w:rsidRPr="00951F0F">
        <w:rPr>
          <w:rFonts w:cstheme="minorHAnsi"/>
        </w:rPr>
        <w:t>Figure 2 shows timeseries of global mean, annual mean total column ozone from one selected emission scenario for each of CFC-11, MCF and CH</w:t>
      </w:r>
      <w:r w:rsidRPr="00951F0F">
        <w:rPr>
          <w:rFonts w:cstheme="minorHAnsi"/>
          <w:vertAlign w:val="subscript"/>
        </w:rPr>
        <w:t>3</w:t>
      </w:r>
      <w:r w:rsidRPr="00951F0F">
        <w:rPr>
          <w:rFonts w:cstheme="minorHAnsi"/>
        </w:rPr>
        <w:t xml:space="preserve">Br (the evolution of global column ozone for all the scenarios explored in this study is shown in </w:t>
      </w:r>
      <w:r w:rsidR="00C04682">
        <w:rPr>
          <w:rFonts w:cstheme="minorHAnsi"/>
        </w:rPr>
        <w:t xml:space="preserve">Extended Data </w:t>
      </w:r>
      <w:r w:rsidRPr="00951F0F">
        <w:rPr>
          <w:rFonts w:cstheme="minorHAnsi"/>
        </w:rPr>
        <w:t xml:space="preserve">Figure </w:t>
      </w:r>
      <w:r w:rsidR="00C04682">
        <w:rPr>
          <w:rFonts w:cstheme="minorHAnsi"/>
        </w:rPr>
        <w:t>1</w:t>
      </w:r>
      <w:r w:rsidRPr="00951F0F">
        <w:rPr>
          <w:rFonts w:cstheme="minorHAnsi"/>
        </w:rPr>
        <w:t>). The calculated trajectory of recovery for the CFC-11 emission case (Scenario 6</w:t>
      </w:r>
      <w:r w:rsidR="003E2119" w:rsidRPr="00951F0F">
        <w:rPr>
          <w:rFonts w:cstheme="minorHAnsi"/>
        </w:rPr>
        <w:t xml:space="preserve">, Table </w:t>
      </w:r>
      <w:r w:rsidR="001F3A29">
        <w:rPr>
          <w:rFonts w:cstheme="minorHAnsi"/>
        </w:rPr>
        <w:t>1</w:t>
      </w:r>
      <w:r w:rsidRPr="00951F0F">
        <w:rPr>
          <w:rFonts w:cstheme="minorHAnsi"/>
        </w:rPr>
        <w:t xml:space="preserve">) resembles the case exemplified by the hatched blue area in Figure 1 where, although a delay is modelled, the magnitude of the depletion during the delay period is comparable with the natural variability of the global mean, which we have estimated as about ±1.5% or about 5 DU, based on </w:t>
      </w:r>
      <w:proofErr w:type="spellStart"/>
      <w:r w:rsidRPr="00951F0F">
        <w:rPr>
          <w:rFonts w:cstheme="minorHAnsi"/>
        </w:rPr>
        <w:t>Fioletov</w:t>
      </w:r>
      <w:proofErr w:type="spellEnd"/>
      <w:r w:rsidRPr="00951F0F">
        <w:rPr>
          <w:rFonts w:cstheme="minorHAnsi"/>
        </w:rPr>
        <w:t xml:space="preserve"> et al.</w:t>
      </w:r>
      <w:r w:rsidRPr="00951F0F">
        <w:rPr>
          <w:rFonts w:cstheme="minorHAnsi"/>
          <w:vertAlign w:val="superscript"/>
        </w:rPr>
        <w:t>19</w:t>
      </w:r>
      <w:r w:rsidRPr="00951F0F">
        <w:rPr>
          <w:rFonts w:cstheme="minorHAnsi"/>
        </w:rPr>
        <w:t xml:space="preserve"> and similar to the model variability seen in our ensemble of integrations. This </w:t>
      </w:r>
      <w:r w:rsidRPr="00951F0F">
        <w:rPr>
          <w:rFonts w:cstheme="minorHAnsi"/>
        </w:rPr>
        <w:lastRenderedPageBreak/>
        <w:t>particular scenario assumes that while part of the produced CFC-11 is emitted directly to the atmosphere, the majority enters a bank and is emitted at a slower rate over the course of the 21</w:t>
      </w:r>
      <w:r w:rsidRPr="00951F0F">
        <w:rPr>
          <w:rFonts w:cstheme="minorHAnsi"/>
          <w:vertAlign w:val="superscript"/>
        </w:rPr>
        <w:t>st</w:t>
      </w:r>
      <w:r w:rsidRPr="00951F0F">
        <w:rPr>
          <w:rFonts w:cstheme="minorHAnsi"/>
        </w:rPr>
        <w:t xml:space="preserve"> century. For MCF the largest departures from the Base occur, as expected, in the integrations with the largest additional cumulative emissions (1000 Gg yr</w:t>
      </w:r>
      <w:r w:rsidRPr="00951F0F">
        <w:rPr>
          <w:rFonts w:cstheme="minorHAnsi"/>
          <w:vertAlign w:val="superscript"/>
        </w:rPr>
        <w:t>-1</w:t>
      </w:r>
      <w:r w:rsidRPr="00951F0F">
        <w:rPr>
          <w:rFonts w:cstheme="minorHAnsi"/>
        </w:rPr>
        <w:t xml:space="preserve"> for 10 years, pale blue curve). Return to the 1960 value occurs in the Base run in about 2075, a return date which is indistinguishable from </w:t>
      </w:r>
      <w:r w:rsidR="00A15871">
        <w:rPr>
          <w:rFonts w:cstheme="minorHAnsi"/>
        </w:rPr>
        <w:t xml:space="preserve">that in </w:t>
      </w:r>
      <w:r w:rsidRPr="00951F0F">
        <w:rPr>
          <w:rFonts w:cstheme="minorHAnsi"/>
        </w:rPr>
        <w:t>the MCF integrations including these large, additional emissions. This resembles the case illustrated schematically by the red line in Figure 1. This is demonstrated even more clearly for the CH</w:t>
      </w:r>
      <w:r w:rsidRPr="00951F0F">
        <w:rPr>
          <w:rFonts w:cstheme="minorHAnsi"/>
          <w:vertAlign w:val="subscript"/>
        </w:rPr>
        <w:t>3</w:t>
      </w:r>
      <w:r w:rsidRPr="00951F0F">
        <w:rPr>
          <w:rFonts w:cstheme="minorHAnsi"/>
        </w:rPr>
        <w:t>Br emissions. The huge emissions modelled here (380 Gg yr</w:t>
      </w:r>
      <w:r w:rsidRPr="00951F0F">
        <w:rPr>
          <w:rFonts w:cstheme="minorHAnsi"/>
          <w:vertAlign w:val="superscript"/>
        </w:rPr>
        <w:t>-1</w:t>
      </w:r>
      <w:r w:rsidRPr="00951F0F">
        <w:rPr>
          <w:rFonts w:cstheme="minorHAnsi"/>
        </w:rPr>
        <w:t xml:space="preserve"> for 5 years which should be compared with annual anthropogenic emissions</w:t>
      </w:r>
      <w:r w:rsidRPr="00951F0F">
        <w:rPr>
          <w:rFonts w:cstheme="minorHAnsi"/>
          <w:vertAlign w:val="superscript"/>
        </w:rPr>
        <w:t>1</w:t>
      </w:r>
      <w:r w:rsidRPr="00951F0F">
        <w:rPr>
          <w:rFonts w:cstheme="minorHAnsi"/>
        </w:rPr>
        <w:t xml:space="preserve"> for quarantine and pre-shipment (QPS) and other anthropogenic uses peaking during the late 1990s at about 50 Gg yr</w:t>
      </w:r>
      <w:r w:rsidRPr="00951F0F">
        <w:rPr>
          <w:rFonts w:cstheme="minorHAnsi"/>
          <w:vertAlign w:val="superscript"/>
        </w:rPr>
        <w:t>-1</w:t>
      </w:r>
      <w:r w:rsidRPr="00951F0F">
        <w:rPr>
          <w:rFonts w:cstheme="minorHAnsi"/>
        </w:rPr>
        <w:t>) lead to a very substantial mean global ozone depletion of about 20 DU soon after the emissions occur but with absolutely no change in return date. Clearly in this case (and, by extrapolation, the case of large emissions of short duration for other short-lived gases), and despite a substantial ozone loss, there is no difference in return dates for global ozone; the return date is clearly demonstrated in this case not to be a useful metric either for environmental impact or for policy.</w:t>
      </w:r>
    </w:p>
    <w:p w14:paraId="64E429AA" w14:textId="2E4BA145" w:rsidR="00CA0363" w:rsidRPr="00951F0F" w:rsidRDefault="00CA0363" w:rsidP="00CA0363">
      <w:pPr>
        <w:spacing w:after="240" w:line="480" w:lineRule="auto"/>
        <w:jc w:val="both"/>
        <w:rPr>
          <w:rFonts w:cstheme="minorHAnsi"/>
        </w:rPr>
      </w:pPr>
      <w:r w:rsidRPr="00951F0F">
        <w:rPr>
          <w:rFonts w:cstheme="minorHAnsi"/>
        </w:rPr>
        <w:t>A more useful metric would be the time-integrated ozone depletion</w:t>
      </w:r>
      <w:r w:rsidR="001D60E9">
        <w:rPr>
          <w:rFonts w:cstheme="minorHAnsi"/>
        </w:rPr>
        <w:t xml:space="preserve"> arising from new emissions</w:t>
      </w:r>
      <w:r w:rsidRPr="00951F0F">
        <w:rPr>
          <w:rFonts w:cstheme="minorHAnsi"/>
        </w:rPr>
        <w:t>, additional to the depletion in the Base run</w:t>
      </w:r>
      <w:r w:rsidR="00A15871">
        <w:rPr>
          <w:rFonts w:cstheme="minorHAnsi"/>
        </w:rPr>
        <w:t xml:space="preserve"> in which </w:t>
      </w:r>
      <w:r w:rsidRPr="00951F0F">
        <w:rPr>
          <w:rFonts w:cstheme="minorHAnsi"/>
        </w:rPr>
        <w:t>full compliance with the Montreal Protocol</w:t>
      </w:r>
      <w:r w:rsidR="00A15871">
        <w:rPr>
          <w:rFonts w:cstheme="minorHAnsi"/>
        </w:rPr>
        <w:t xml:space="preserve"> is assumed.</w:t>
      </w:r>
      <w:r w:rsidRPr="00951F0F">
        <w:rPr>
          <w:rFonts w:cstheme="minorHAnsi"/>
        </w:rPr>
        <w:t xml:space="preserve"> Under clear sky conditions, this additional ozone loss could be related to an increase in UV at the surface (assuming that cloudiness, etc., remains constant) and, using the appropriate action spectrum, to the impact, for example, on erythema or DNA damage, where a 1% decrease in ozone translates roughly into a 1-2% increase in UV dose in those two cases</w:t>
      </w:r>
      <w:r w:rsidRPr="00951F0F">
        <w:rPr>
          <w:rFonts w:cstheme="minorHAnsi"/>
          <w:vertAlign w:val="superscript"/>
        </w:rPr>
        <w:t>20</w:t>
      </w:r>
      <w:r w:rsidRPr="00951F0F">
        <w:rPr>
          <w:rFonts w:cstheme="minorHAnsi"/>
        </w:rPr>
        <w:t xml:space="preserve">. </w:t>
      </w:r>
    </w:p>
    <w:p w14:paraId="59E088B2" w14:textId="4A24F436" w:rsidR="006466C7" w:rsidRPr="00951F0F" w:rsidRDefault="00CA0363" w:rsidP="00BD4D2F">
      <w:pPr>
        <w:spacing w:after="240" w:line="480" w:lineRule="auto"/>
        <w:jc w:val="both"/>
        <w:rPr>
          <w:rFonts w:cstheme="minorHAnsi"/>
        </w:rPr>
      </w:pPr>
      <w:r w:rsidRPr="00951F0F">
        <w:rPr>
          <w:rFonts w:cstheme="minorHAnsi"/>
        </w:rPr>
        <w:lastRenderedPageBreak/>
        <w:t xml:space="preserve">The impact of any halogenated source gas on stratospheric ozone depletion will depend on the total emission of the gas and the fraction of that emission that is transported into and reacts in the stratosphere to liberate inorganic halogens, </w:t>
      </w:r>
      <w:proofErr w:type="gramStart"/>
      <w:r w:rsidRPr="00951F0F">
        <w:rPr>
          <w:rFonts w:cstheme="minorHAnsi"/>
        </w:rPr>
        <w:t>i.e.</w:t>
      </w:r>
      <w:proofErr w:type="gramEnd"/>
      <w:r w:rsidRPr="00951F0F">
        <w:rPr>
          <w:rFonts w:cstheme="minorHAnsi"/>
        </w:rPr>
        <w:t xml:space="preserve"> the fraction of emitted halogen that is available to take part in stratospheric ozone depletion reactions. This fraction is dependent on a number of complex atmospheric processes but can be calculated simply as the whole </w:t>
      </w:r>
      <w:r w:rsidR="00262138" w:rsidRPr="00951F0F">
        <w:rPr>
          <w:rFonts w:cstheme="minorHAnsi"/>
        </w:rPr>
        <w:t xml:space="preserve">atmosphere </w:t>
      </w:r>
      <w:r w:rsidRPr="00951F0F">
        <w:rPr>
          <w:rFonts w:cstheme="minorHAnsi"/>
        </w:rPr>
        <w:t>lifetime (</w:t>
      </w:r>
      <w:r w:rsidRPr="00951F0F">
        <w:rPr>
          <w:rFonts w:cstheme="minorHAnsi"/>
        </w:rPr>
        <w:sym w:font="Symbol" w:char="F074"/>
      </w:r>
      <w:proofErr w:type="spellStart"/>
      <w:r w:rsidRPr="00951F0F">
        <w:rPr>
          <w:rFonts w:cstheme="minorHAnsi"/>
          <w:vertAlign w:val="subscript"/>
        </w:rPr>
        <w:t>atmos</w:t>
      </w:r>
      <w:proofErr w:type="spellEnd"/>
      <w:r w:rsidRPr="00951F0F">
        <w:rPr>
          <w:rFonts w:cstheme="minorHAnsi"/>
        </w:rPr>
        <w:t>) of a species divided by its stratospheric lifetime (</w:t>
      </w:r>
      <w:r w:rsidRPr="00951F0F">
        <w:rPr>
          <w:rFonts w:cstheme="minorHAnsi"/>
        </w:rPr>
        <w:sym w:font="Symbol" w:char="F074"/>
      </w:r>
      <w:proofErr w:type="spellStart"/>
      <w:r w:rsidRPr="00951F0F">
        <w:rPr>
          <w:rFonts w:cstheme="minorHAnsi"/>
          <w:vertAlign w:val="subscript"/>
        </w:rPr>
        <w:t>strat</w:t>
      </w:r>
      <w:proofErr w:type="spellEnd"/>
      <w:r w:rsidR="00140207" w:rsidRPr="00951F0F">
        <w:rPr>
          <w:rFonts w:cstheme="minorHAnsi"/>
        </w:rPr>
        <w:t>) (s</w:t>
      </w:r>
      <w:r w:rsidRPr="00951F0F">
        <w:rPr>
          <w:rFonts w:cstheme="minorHAnsi"/>
        </w:rPr>
        <w:t>ee</w:t>
      </w:r>
      <w:r w:rsidR="00140207" w:rsidRPr="00951F0F">
        <w:rPr>
          <w:rFonts w:cstheme="minorHAnsi"/>
        </w:rPr>
        <w:t xml:space="preserve"> </w:t>
      </w:r>
      <w:r w:rsidR="002B1FA2" w:rsidRPr="00951F0F">
        <w:rPr>
          <w:rFonts w:cstheme="minorHAnsi"/>
        </w:rPr>
        <w:t>M</w:t>
      </w:r>
      <w:r w:rsidR="00140207" w:rsidRPr="00951F0F">
        <w:rPr>
          <w:rFonts w:cstheme="minorHAnsi"/>
        </w:rPr>
        <w:t>ethods for further details).</w:t>
      </w:r>
      <w:r w:rsidR="00BD4D2F" w:rsidRPr="00BD4D2F">
        <w:rPr>
          <w:rFonts w:cstheme="minorHAnsi"/>
        </w:rPr>
        <w:t xml:space="preserve"> </w:t>
      </w:r>
      <w:r w:rsidR="00BD4D2F" w:rsidRPr="00951F0F">
        <w:rPr>
          <w:rFonts w:cstheme="minorHAnsi"/>
        </w:rPr>
        <w:t xml:space="preserve">How much of an ODS degrades in the stratosphere is, of course, recognised in the definition of the </w:t>
      </w:r>
      <w:proofErr w:type="gramStart"/>
      <w:r w:rsidR="00BD4D2F" w:rsidRPr="00951F0F">
        <w:rPr>
          <w:rFonts w:cstheme="minorHAnsi"/>
        </w:rPr>
        <w:t>ODP</w:t>
      </w:r>
      <w:r w:rsidR="00BD4D2F" w:rsidRPr="00951F0F">
        <w:rPr>
          <w:rFonts w:cstheme="minorHAnsi"/>
          <w:vertAlign w:val="superscript"/>
        </w:rPr>
        <w:t>4</w:t>
      </w:r>
      <w:r w:rsidR="00BD4D2F" w:rsidRPr="00951F0F">
        <w:rPr>
          <w:rFonts w:cstheme="minorHAnsi"/>
        </w:rPr>
        <w:t>.</w:t>
      </w:r>
      <w:proofErr w:type="gramEnd"/>
      <w:r w:rsidR="00BD4D2F" w:rsidRPr="00951F0F">
        <w:rPr>
          <w:rFonts w:cstheme="minorHAnsi"/>
        </w:rPr>
        <w:t xml:space="preserve"> </w:t>
      </w:r>
    </w:p>
    <w:p w14:paraId="6A5205AA" w14:textId="7498BC7C" w:rsidR="00CA0363" w:rsidRPr="00951F0F" w:rsidRDefault="00CA0363" w:rsidP="00CA0363">
      <w:pPr>
        <w:spacing w:after="240" w:line="480" w:lineRule="auto"/>
        <w:jc w:val="both"/>
        <w:rPr>
          <w:rFonts w:cstheme="minorHAnsi"/>
        </w:rPr>
      </w:pPr>
      <w:r w:rsidRPr="00951F0F">
        <w:rPr>
          <w:rFonts w:cstheme="minorHAnsi"/>
        </w:rPr>
        <w:t xml:space="preserve">Consider a long-lived gas like CFC-11 which has no significant tropospheric loss so that all of its emissions will eventually be destroyed </w:t>
      </w:r>
      <w:r w:rsidR="00262138" w:rsidRPr="00951F0F">
        <w:rPr>
          <w:rFonts w:cstheme="minorHAnsi"/>
        </w:rPr>
        <w:t xml:space="preserve">chemically </w:t>
      </w:r>
      <w:r w:rsidRPr="00951F0F">
        <w:rPr>
          <w:rFonts w:cstheme="minorHAnsi"/>
        </w:rPr>
        <w:t xml:space="preserve">in the stratosphere. In that case, for CFC-11 (and other species with negligible tropospheric loss), </w:t>
      </w:r>
      <w:r w:rsidRPr="00951F0F">
        <w:rPr>
          <w:rFonts w:cstheme="minorHAnsi"/>
        </w:rPr>
        <w:sym w:font="Symbol" w:char="F074"/>
      </w:r>
      <w:proofErr w:type="spellStart"/>
      <w:r w:rsidRPr="00951F0F">
        <w:rPr>
          <w:rFonts w:cstheme="minorHAnsi"/>
          <w:vertAlign w:val="subscript"/>
        </w:rPr>
        <w:t>atmos</w:t>
      </w:r>
      <w:proofErr w:type="spellEnd"/>
      <w:r w:rsidRPr="00951F0F">
        <w:rPr>
          <w:rFonts w:cstheme="minorHAnsi"/>
        </w:rPr>
        <w:t>/</w:t>
      </w:r>
      <w:r w:rsidRPr="00951F0F">
        <w:rPr>
          <w:rFonts w:cstheme="minorHAnsi"/>
        </w:rPr>
        <w:sym w:font="Symbol" w:char="F074"/>
      </w:r>
      <w:proofErr w:type="spellStart"/>
      <w:r w:rsidRPr="00951F0F">
        <w:rPr>
          <w:rFonts w:cstheme="minorHAnsi"/>
          <w:vertAlign w:val="subscript"/>
        </w:rPr>
        <w:t>strat</w:t>
      </w:r>
      <w:proofErr w:type="spellEnd"/>
      <w:r w:rsidRPr="00951F0F">
        <w:rPr>
          <w:rFonts w:cstheme="minorHAnsi"/>
        </w:rPr>
        <w:t xml:space="preserve"> = 1, and all the chlorine emitted is </w:t>
      </w:r>
      <w:r w:rsidR="00140207" w:rsidRPr="00951F0F">
        <w:rPr>
          <w:rFonts w:cstheme="minorHAnsi"/>
        </w:rPr>
        <w:t xml:space="preserve">ultimately </w:t>
      </w:r>
      <w:r w:rsidRPr="00951F0F">
        <w:rPr>
          <w:rFonts w:cstheme="minorHAnsi"/>
        </w:rPr>
        <w:t>available for ozone depletion. In contrast, for shorter lived species which undergo significant destruction in the troposphere (</w:t>
      </w:r>
      <w:proofErr w:type="gramStart"/>
      <w:r w:rsidRPr="00951F0F">
        <w:rPr>
          <w:rFonts w:cstheme="minorHAnsi"/>
        </w:rPr>
        <w:t>e.g.</w:t>
      </w:r>
      <w:proofErr w:type="gramEnd"/>
      <w:r w:rsidRPr="00951F0F">
        <w:rPr>
          <w:rFonts w:cstheme="minorHAnsi"/>
        </w:rPr>
        <w:t xml:space="preserve"> MCF with tropospheric and stratospheric lifetimes of respectively ~5 years and ~40 years) </w:t>
      </w:r>
      <w:r w:rsidRPr="00951F0F">
        <w:rPr>
          <w:rFonts w:cstheme="minorHAnsi"/>
        </w:rPr>
        <w:sym w:font="Symbol" w:char="F074"/>
      </w:r>
      <w:proofErr w:type="spellStart"/>
      <w:r w:rsidRPr="00951F0F">
        <w:rPr>
          <w:rFonts w:cstheme="minorHAnsi"/>
          <w:vertAlign w:val="subscript"/>
        </w:rPr>
        <w:t>atmos</w:t>
      </w:r>
      <w:proofErr w:type="spellEnd"/>
      <w:r w:rsidRPr="00951F0F">
        <w:rPr>
          <w:rFonts w:cstheme="minorHAnsi"/>
        </w:rPr>
        <w:t>/</w:t>
      </w:r>
      <w:r w:rsidRPr="00951F0F">
        <w:rPr>
          <w:rFonts w:cstheme="minorHAnsi"/>
        </w:rPr>
        <w:sym w:font="Symbol" w:char="F074"/>
      </w:r>
      <w:proofErr w:type="spellStart"/>
      <w:r w:rsidRPr="00951F0F">
        <w:rPr>
          <w:rFonts w:cstheme="minorHAnsi"/>
          <w:vertAlign w:val="subscript"/>
        </w:rPr>
        <w:t>strat</w:t>
      </w:r>
      <w:proofErr w:type="spellEnd"/>
      <w:r w:rsidRPr="00951F0F">
        <w:rPr>
          <w:rFonts w:cstheme="minorHAnsi"/>
        </w:rPr>
        <w:t xml:space="preserve"> &lt;</w:t>
      </w:r>
      <w:r w:rsidR="008D4E55" w:rsidRPr="00951F0F">
        <w:rPr>
          <w:rFonts w:cstheme="minorHAnsi"/>
        </w:rPr>
        <w:t>&lt;</w:t>
      </w:r>
      <w:r w:rsidRPr="00951F0F">
        <w:rPr>
          <w:rFonts w:cstheme="minorHAnsi"/>
        </w:rPr>
        <w:t xml:space="preserve"> 1 and only a fraction of the emitted chlorine is available for stratospheric ozone depletion. The tropospheric lifetimes of very short-lived halocarbons, and therefore </w:t>
      </w:r>
      <w:r w:rsidR="008D4E55" w:rsidRPr="00951F0F">
        <w:rPr>
          <w:rFonts w:cstheme="minorHAnsi"/>
        </w:rPr>
        <w:t>the amount of the</w:t>
      </w:r>
      <w:r w:rsidRPr="00951F0F">
        <w:rPr>
          <w:rFonts w:cstheme="minorHAnsi"/>
        </w:rPr>
        <w:t xml:space="preserve"> emission</w:t>
      </w:r>
      <w:r w:rsidR="008D4E55" w:rsidRPr="00951F0F">
        <w:rPr>
          <w:rFonts w:cstheme="minorHAnsi"/>
        </w:rPr>
        <w:t xml:space="preserve"> that degrades in the stratosphere,</w:t>
      </w:r>
      <w:r w:rsidRPr="00951F0F">
        <w:rPr>
          <w:rFonts w:cstheme="minorHAnsi"/>
        </w:rPr>
        <w:t xml:space="preserve"> are </w:t>
      </w:r>
      <w:r w:rsidR="0058530D">
        <w:rPr>
          <w:rFonts w:cstheme="minorHAnsi"/>
        </w:rPr>
        <w:t>uncertain</w:t>
      </w:r>
      <w:r w:rsidR="0058530D" w:rsidRPr="00951F0F">
        <w:rPr>
          <w:rFonts w:cstheme="minorHAnsi"/>
        </w:rPr>
        <w:t xml:space="preserve"> </w:t>
      </w:r>
      <w:r w:rsidR="0058530D">
        <w:rPr>
          <w:rFonts w:cstheme="minorHAnsi"/>
        </w:rPr>
        <w:t>with</w:t>
      </w:r>
      <w:r w:rsidRPr="00951F0F">
        <w:rPr>
          <w:rFonts w:cstheme="minorHAnsi"/>
        </w:rPr>
        <w:t xml:space="preserve"> </w:t>
      </w:r>
      <w:r w:rsidR="006466C7">
        <w:rPr>
          <w:rFonts w:cstheme="minorHAnsi"/>
        </w:rPr>
        <w:t>variabilit</w:t>
      </w:r>
      <w:r w:rsidR="006466C7" w:rsidRPr="00951F0F">
        <w:rPr>
          <w:rFonts w:cstheme="minorHAnsi"/>
        </w:rPr>
        <w:t xml:space="preserve">y </w:t>
      </w:r>
      <w:r w:rsidRPr="00951F0F">
        <w:rPr>
          <w:rFonts w:cstheme="minorHAnsi"/>
        </w:rPr>
        <w:t>aris</w:t>
      </w:r>
      <w:r w:rsidR="0058530D">
        <w:rPr>
          <w:rFonts w:cstheme="minorHAnsi"/>
        </w:rPr>
        <w:t>ing</w:t>
      </w:r>
      <w:r w:rsidRPr="00951F0F">
        <w:rPr>
          <w:rFonts w:cstheme="minorHAnsi"/>
        </w:rPr>
        <w:t xml:space="preserve"> from the location and season of the emissions and the variability, on many timescales, in atmospheric transport. </w:t>
      </w:r>
    </w:p>
    <w:p w14:paraId="05AF2B2B" w14:textId="67231A87" w:rsidR="00A33D46" w:rsidRPr="00951F0F" w:rsidRDefault="00CA0363" w:rsidP="00CA0363">
      <w:pPr>
        <w:spacing w:after="240" w:line="480" w:lineRule="auto"/>
        <w:jc w:val="both"/>
        <w:rPr>
          <w:rFonts w:cstheme="minorHAnsi"/>
        </w:rPr>
      </w:pPr>
      <w:r w:rsidRPr="00951F0F">
        <w:rPr>
          <w:rFonts w:cstheme="minorHAnsi"/>
        </w:rPr>
        <w:t xml:space="preserve">Figure 3 shows the integrated ozone depletion (IOD) for the various emission scenarios of the different gases plotted against the total halogen emission in </w:t>
      </w:r>
      <w:proofErr w:type="spellStart"/>
      <w:r w:rsidRPr="00951F0F">
        <w:rPr>
          <w:rFonts w:cstheme="minorHAnsi"/>
        </w:rPr>
        <w:t>Tg</w:t>
      </w:r>
      <w:proofErr w:type="spellEnd"/>
      <w:r w:rsidRPr="00951F0F">
        <w:rPr>
          <w:rFonts w:cstheme="minorHAnsi"/>
        </w:rPr>
        <w:t xml:space="preserve"> Cl, </w:t>
      </w:r>
      <w:proofErr w:type="spellStart"/>
      <w:r w:rsidRPr="00951F0F">
        <w:rPr>
          <w:rFonts w:cstheme="minorHAnsi"/>
        </w:rPr>
        <w:t>E</w:t>
      </w:r>
      <w:r w:rsidR="00140207" w:rsidRPr="00951F0F">
        <w:rPr>
          <w:rFonts w:cstheme="minorHAnsi"/>
          <w:vertAlign w:val="subscript"/>
        </w:rPr>
        <w:t>Eq</w:t>
      </w:r>
      <w:proofErr w:type="spellEnd"/>
      <w:r w:rsidRPr="00951F0F">
        <w:rPr>
          <w:rFonts w:cstheme="minorHAnsi"/>
        </w:rPr>
        <w:t xml:space="preserve">, multiplied by the ratio of the whole atmosphere lifetime of the particular gas to its stratospheric lifetime, </w:t>
      </w:r>
      <w:r w:rsidRPr="00951F0F">
        <w:rPr>
          <w:rFonts w:cstheme="minorHAnsi"/>
        </w:rPr>
        <w:sym w:font="Symbol" w:char="F074"/>
      </w:r>
      <w:proofErr w:type="spellStart"/>
      <w:r w:rsidRPr="00951F0F">
        <w:rPr>
          <w:rFonts w:cstheme="minorHAnsi"/>
          <w:vertAlign w:val="subscript"/>
        </w:rPr>
        <w:t>atmos</w:t>
      </w:r>
      <w:proofErr w:type="spellEnd"/>
      <w:r w:rsidRPr="00951F0F">
        <w:rPr>
          <w:rFonts w:cstheme="minorHAnsi"/>
        </w:rPr>
        <w:t>/</w:t>
      </w:r>
      <w:r w:rsidRPr="00951F0F">
        <w:rPr>
          <w:rFonts w:cstheme="minorHAnsi"/>
        </w:rPr>
        <w:sym w:font="Symbol" w:char="F074"/>
      </w:r>
      <w:proofErr w:type="spellStart"/>
      <w:r w:rsidRPr="00951F0F">
        <w:rPr>
          <w:rFonts w:cstheme="minorHAnsi"/>
          <w:vertAlign w:val="subscript"/>
        </w:rPr>
        <w:t>strat</w:t>
      </w:r>
      <w:proofErr w:type="spellEnd"/>
      <w:r w:rsidRPr="00951F0F">
        <w:rPr>
          <w:rFonts w:cstheme="minorHAnsi"/>
        </w:rPr>
        <w:t xml:space="preserve">. </w:t>
      </w:r>
      <w:r w:rsidRPr="00CD2E21">
        <w:rPr>
          <w:rFonts w:cstheme="minorHAnsi"/>
        </w:rPr>
        <w:t xml:space="preserve">We have used a bromine efficiency factor of 60 in the calculation of </w:t>
      </w:r>
      <w:proofErr w:type="spellStart"/>
      <w:r w:rsidRPr="00CD2E21">
        <w:rPr>
          <w:rFonts w:cstheme="minorHAnsi"/>
        </w:rPr>
        <w:t>E</w:t>
      </w:r>
      <w:r w:rsidR="00140207" w:rsidRPr="00CD2E21">
        <w:rPr>
          <w:rFonts w:cstheme="minorHAnsi"/>
          <w:vertAlign w:val="subscript"/>
        </w:rPr>
        <w:t>Eq</w:t>
      </w:r>
      <w:proofErr w:type="spellEnd"/>
      <w:r w:rsidRPr="00CD2E21">
        <w:rPr>
          <w:rFonts w:cstheme="minorHAnsi"/>
        </w:rPr>
        <w:t xml:space="preserve"> for brominated </w:t>
      </w:r>
      <w:r w:rsidRPr="00CD2E21">
        <w:rPr>
          <w:rFonts w:cstheme="minorHAnsi"/>
        </w:rPr>
        <w:lastRenderedPageBreak/>
        <w:t>species, only slightly lower than some recent suggestions</w:t>
      </w:r>
      <w:r w:rsidRPr="00CD2E21">
        <w:rPr>
          <w:rFonts w:cstheme="minorHAnsi"/>
          <w:vertAlign w:val="superscript"/>
        </w:rPr>
        <w:t>21</w:t>
      </w:r>
      <w:r w:rsidRPr="00CD2E21">
        <w:rPr>
          <w:rFonts w:cstheme="minorHAnsi"/>
        </w:rPr>
        <w:t>. To a very good approximation, all the data points sit on a straight line with deviations arising from the variability in meteorology inherent in our use of a chemistry-climate model</w:t>
      </w:r>
      <w:r w:rsidR="00A33D46" w:rsidRPr="00CD2E21">
        <w:rPr>
          <w:rFonts w:cstheme="minorHAnsi"/>
        </w:rPr>
        <w:t>.</w:t>
      </w:r>
      <w:r w:rsidRPr="00CD2E21">
        <w:rPr>
          <w:rFonts w:cstheme="minorHAnsi"/>
        </w:rPr>
        <w:t xml:space="preserve"> </w:t>
      </w:r>
      <w:r w:rsidR="008D4E55" w:rsidRPr="00CD2E21">
        <w:t>The IOD in Figure 3 is calculated over the entire period of the integration</w:t>
      </w:r>
      <w:r w:rsidR="009751A7" w:rsidRPr="00CD2E21">
        <w:t>, although once the halogen emitted from the short-lived gas has been removed from the stratosphere there should be no further depletion</w:t>
      </w:r>
      <w:r w:rsidR="00CF1E38" w:rsidRPr="00CD2E21">
        <w:t xml:space="preserve">.  </w:t>
      </w:r>
      <w:r w:rsidR="00FF30A2" w:rsidRPr="00CD2E21">
        <w:t xml:space="preserve">Due to our use of a chemistry-climate model, we did find some contributions to IOD well beyond the expected period of the perturbation. When the IOD was calculated over a </w:t>
      </w:r>
      <w:r w:rsidR="00515DB7" w:rsidRPr="00CD2E21">
        <w:t xml:space="preserve">perturbation </w:t>
      </w:r>
      <w:r w:rsidR="00FF30A2" w:rsidRPr="00CD2E21">
        <w:t>period that depends on the atmospheric lifetime of the species of interest and an estimate of the stratospheric residence time</w:t>
      </w:r>
      <w:r w:rsidR="00FF30A2" w:rsidRPr="00CD2E21">
        <w:rPr>
          <w:vertAlign w:val="superscript"/>
        </w:rPr>
        <w:t>22,23</w:t>
      </w:r>
      <w:r w:rsidR="00FF30A2" w:rsidRPr="00CD2E21">
        <w:t xml:space="preserve"> w</w:t>
      </w:r>
      <w:r w:rsidR="00CF1E38" w:rsidRPr="00CD2E21">
        <w:t xml:space="preserve">e obtained </w:t>
      </w:r>
      <w:r w:rsidR="00FF30A2" w:rsidRPr="00CD2E21">
        <w:t xml:space="preserve">very similar </w:t>
      </w:r>
      <w:r w:rsidR="00CF1E38" w:rsidRPr="00CD2E21">
        <w:t>results</w:t>
      </w:r>
      <w:r w:rsidR="00FF30A2" w:rsidRPr="00CD2E21">
        <w:t xml:space="preserve"> </w:t>
      </w:r>
      <w:r w:rsidR="00474B1B" w:rsidRPr="00CD2E21">
        <w:t>to those in Figure 3</w:t>
      </w:r>
      <w:r w:rsidR="008A514E" w:rsidRPr="00CD2E21">
        <w:t xml:space="preserve">, with an identical gradient </w:t>
      </w:r>
      <w:r w:rsidR="00515DB7" w:rsidRPr="00CD2E21">
        <w:t>but a</w:t>
      </w:r>
      <w:r w:rsidR="008A514E" w:rsidRPr="00CD2E21">
        <w:t xml:space="preserve"> better correlation coefficient</w:t>
      </w:r>
      <w:r w:rsidR="009751A7" w:rsidRPr="00CD2E21">
        <w:t xml:space="preserve"> (</w:t>
      </w:r>
      <w:r w:rsidR="00C04682">
        <w:t xml:space="preserve">Extended </w:t>
      </w:r>
      <w:r w:rsidR="002B0343">
        <w:t>D</w:t>
      </w:r>
      <w:r w:rsidR="00C04682">
        <w:t>ata Figure</w:t>
      </w:r>
      <w:r w:rsidR="002B0343">
        <w:t xml:space="preserve"> 2</w:t>
      </w:r>
      <w:r w:rsidR="009751A7" w:rsidRPr="00CD2E21">
        <w:t>).</w:t>
      </w:r>
      <w:r w:rsidR="009751A7">
        <w:t xml:space="preserve"> </w:t>
      </w:r>
      <w:r w:rsidR="00CF1E38">
        <w:t xml:space="preserve"> </w:t>
      </w:r>
    </w:p>
    <w:p w14:paraId="67B03321" w14:textId="6546927C" w:rsidR="00CA0363" w:rsidRPr="00951F0F" w:rsidRDefault="00CA0363" w:rsidP="00CA0363">
      <w:pPr>
        <w:spacing w:after="240" w:line="480" w:lineRule="auto"/>
        <w:jc w:val="both"/>
        <w:rPr>
          <w:rFonts w:cstheme="minorHAnsi"/>
        </w:rPr>
      </w:pPr>
      <w:r w:rsidRPr="00951F0F">
        <w:rPr>
          <w:rFonts w:cstheme="minorHAnsi"/>
        </w:rPr>
        <w:t xml:space="preserve">Given the linear relationship shown in Figure 3, we can write </w:t>
      </w:r>
    </w:p>
    <w:p w14:paraId="6DA67A2A" w14:textId="68CA73DE" w:rsidR="00CA0363" w:rsidRPr="00951F0F" w:rsidRDefault="00367665" w:rsidP="00CA0363">
      <w:pPr>
        <w:spacing w:after="60" w:line="480" w:lineRule="auto"/>
        <w:jc w:val="right"/>
        <w:rPr>
          <w:rFonts w:cstheme="minorHAnsi"/>
        </w:rPr>
      </w:pPr>
      <m:oMath>
        <m:r>
          <w:rPr>
            <w:rFonts w:ascii="Cambria Math" w:hAnsi="Cambria Math" w:cstheme="minorHAnsi"/>
          </w:rPr>
          <m:t xml:space="preserve">IOD=K </m:t>
        </m:r>
        <m:sSub>
          <m:sSubPr>
            <m:ctrlPr>
              <w:rPr>
                <w:rFonts w:ascii="Cambria Math" w:hAnsi="Cambria Math" w:cstheme="minorHAnsi"/>
                <w:i/>
              </w:rPr>
            </m:ctrlPr>
          </m:sSubPr>
          <m:e>
            <m:r>
              <w:rPr>
                <w:rFonts w:ascii="Cambria Math" w:hAnsi="Cambria Math" w:cstheme="minorHAnsi"/>
              </w:rPr>
              <m:t>E</m:t>
            </m:r>
          </m:e>
          <m:sub>
            <m:r>
              <w:rPr>
                <w:rFonts w:ascii="Cambria Math" w:hAnsi="Cambria Math" w:cstheme="minorHAnsi"/>
              </w:rPr>
              <m:t>Eq</m:t>
            </m:r>
          </m:sub>
        </m:sSub>
        <m:r>
          <w:rPr>
            <w:rFonts w:ascii="Cambria Math" w:hAnsi="Cambria Math" w:cstheme="minorHAnsi"/>
          </w:rPr>
          <m:t xml:space="preserve"> </m:t>
        </m:r>
        <m:d>
          <m:dPr>
            <m:ctrlPr>
              <w:rPr>
                <w:rFonts w:ascii="Cambria Math" w:hAnsi="Cambria Math" w:cstheme="minorHAnsi"/>
                <w:i/>
              </w:rPr>
            </m:ctrlPr>
          </m:dPr>
          <m:e>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τ</m:t>
                    </m:r>
                  </m:e>
                  <m:sub>
                    <m:r>
                      <w:rPr>
                        <w:rFonts w:ascii="Cambria Math" w:hAnsi="Cambria Math" w:cstheme="minorHAnsi"/>
                      </w:rPr>
                      <m:t>atmos</m:t>
                    </m:r>
                  </m:sub>
                </m:sSub>
              </m:num>
              <m:den>
                <m:sSub>
                  <m:sSubPr>
                    <m:ctrlPr>
                      <w:rPr>
                        <w:rFonts w:ascii="Cambria Math" w:hAnsi="Cambria Math" w:cstheme="minorHAnsi"/>
                        <w:i/>
                      </w:rPr>
                    </m:ctrlPr>
                  </m:sSubPr>
                  <m:e>
                    <m:r>
                      <w:rPr>
                        <w:rFonts w:ascii="Cambria Math" w:hAnsi="Cambria Math" w:cstheme="minorHAnsi"/>
                      </w:rPr>
                      <m:t>τ</m:t>
                    </m:r>
                  </m:e>
                  <m:sub>
                    <m:r>
                      <w:rPr>
                        <w:rFonts w:ascii="Cambria Math" w:hAnsi="Cambria Math" w:cstheme="minorHAnsi"/>
                      </w:rPr>
                      <m:t>strat</m:t>
                    </m:r>
                  </m:sub>
                </m:sSub>
              </m:den>
            </m:f>
          </m:e>
        </m:d>
        <m:r>
          <w:rPr>
            <w:rFonts w:ascii="Cambria Math" w:hAnsi="Cambria Math" w:cstheme="minorHAnsi"/>
          </w:rPr>
          <m:t xml:space="preserve">  </m:t>
        </m:r>
      </m:oMath>
      <w:r w:rsidR="00CA0363" w:rsidRPr="00951F0F">
        <w:rPr>
          <w:rFonts w:eastAsiaTheme="minorEastAsia" w:cstheme="minorHAnsi"/>
        </w:rPr>
        <w:t xml:space="preserve">                                                               Equation (1)</w:t>
      </w:r>
    </w:p>
    <w:p w14:paraId="4E0D21FF" w14:textId="40CEAEE3" w:rsidR="00CF1E38" w:rsidRDefault="00CA0363" w:rsidP="00CA0363">
      <w:pPr>
        <w:spacing w:after="240" w:line="480" w:lineRule="auto"/>
        <w:jc w:val="both"/>
        <w:rPr>
          <w:rFonts w:cstheme="minorHAnsi"/>
        </w:rPr>
      </w:pPr>
      <w:r w:rsidRPr="00951F0F">
        <w:rPr>
          <w:rFonts w:cstheme="minorHAnsi"/>
        </w:rPr>
        <w:t xml:space="preserve">where </w:t>
      </w:r>
      <w:r w:rsidRPr="00951F0F">
        <w:rPr>
          <w:rFonts w:cstheme="minorHAnsi"/>
          <w:i/>
        </w:rPr>
        <w:t>K</w:t>
      </w:r>
      <w:r w:rsidRPr="00951F0F">
        <w:rPr>
          <w:rFonts w:cstheme="minorHAnsi"/>
        </w:rPr>
        <w:t xml:space="preserve"> = 100</w:t>
      </w:r>
      <w:r w:rsidRPr="00951F0F">
        <w:rPr>
          <w:rFonts w:ascii="Calibri" w:hAnsi="Calibri" w:cs="Calibri"/>
        </w:rPr>
        <w:t>±</w:t>
      </w:r>
      <w:r w:rsidRPr="00951F0F">
        <w:rPr>
          <w:rFonts w:cstheme="minorHAnsi"/>
        </w:rPr>
        <w:t>1</w:t>
      </w:r>
      <w:r w:rsidR="00435EEF" w:rsidRPr="00951F0F">
        <w:rPr>
          <w:rFonts w:cstheme="minorHAnsi"/>
        </w:rPr>
        <w:t>6</w:t>
      </w:r>
      <w:r w:rsidRPr="00951F0F">
        <w:rPr>
          <w:rFonts w:cstheme="minorHAnsi"/>
        </w:rPr>
        <w:t xml:space="preserve"> DU</w:t>
      </w:r>
      <w:r w:rsidR="00334723">
        <w:rPr>
          <w:rFonts w:cstheme="minorHAnsi"/>
        </w:rPr>
        <w:t xml:space="preserve"> years</w:t>
      </w:r>
      <w:r w:rsidRPr="00951F0F">
        <w:rPr>
          <w:rFonts w:cstheme="minorHAnsi"/>
        </w:rPr>
        <w:t>/</w:t>
      </w:r>
      <w:proofErr w:type="spellStart"/>
      <w:proofErr w:type="gramStart"/>
      <w:r w:rsidRPr="00951F0F">
        <w:rPr>
          <w:rFonts w:cstheme="minorHAnsi"/>
        </w:rPr>
        <w:t>Tg</w:t>
      </w:r>
      <w:proofErr w:type="spellEnd"/>
      <w:r w:rsidRPr="00951F0F">
        <w:rPr>
          <w:rFonts w:cstheme="minorHAnsi"/>
        </w:rPr>
        <w:t>(</w:t>
      </w:r>
      <w:proofErr w:type="gramEnd"/>
      <w:r w:rsidRPr="00951F0F">
        <w:rPr>
          <w:rFonts w:cstheme="minorHAnsi"/>
        </w:rPr>
        <w:t xml:space="preserve">Cl). The equation thus allows the impact on global ozone of any emission of a </w:t>
      </w:r>
      <w:r w:rsidR="003E2119" w:rsidRPr="00951F0F">
        <w:rPr>
          <w:rFonts w:cstheme="minorHAnsi"/>
        </w:rPr>
        <w:t xml:space="preserve">halogenated </w:t>
      </w:r>
      <w:r w:rsidRPr="00951F0F">
        <w:rPr>
          <w:rFonts w:cstheme="minorHAnsi"/>
        </w:rPr>
        <w:t xml:space="preserve">gas of known lifetimes to be assessed in a simple fashion. The IOD could be compared with the expected integrated ozone depletion arising from full compliance with the Protocol (equivalent to the yellow shaded area in Figure 1, which for our Base calculation is 1440 DU years) to indicate the additional depletion relative to the Base case. </w:t>
      </w:r>
    </w:p>
    <w:p w14:paraId="4F254200" w14:textId="48BDA29B" w:rsidR="00CA0363" w:rsidRPr="00951F0F" w:rsidRDefault="00CA0363" w:rsidP="00CA0363">
      <w:pPr>
        <w:spacing w:after="240" w:line="480" w:lineRule="auto"/>
        <w:jc w:val="both"/>
        <w:rPr>
          <w:rFonts w:cstheme="minorHAnsi"/>
        </w:rPr>
      </w:pPr>
      <w:r w:rsidRPr="00951F0F">
        <w:rPr>
          <w:rFonts w:cstheme="minorHAnsi"/>
        </w:rPr>
        <w:t>The metric could also be used to provide a very approximate estimate of the annual average ozone depletion arising from the emissions if IOD is divided by the length of the perturbation (or the integration length in the case of very long-lived gases).</w:t>
      </w:r>
      <w:r w:rsidR="00CF1E38">
        <w:rPr>
          <w:rFonts w:cstheme="minorHAnsi"/>
        </w:rPr>
        <w:t xml:space="preserve">  </w:t>
      </w:r>
      <w:r w:rsidRPr="00951F0F">
        <w:rPr>
          <w:rFonts w:cstheme="minorHAnsi"/>
        </w:rPr>
        <w:t xml:space="preserve">There is a large range of IODs in Figure 3, commensurate with the wide range of emissions of the various species </w:t>
      </w:r>
      <w:r w:rsidRPr="00951F0F">
        <w:rPr>
          <w:rFonts w:cstheme="minorHAnsi"/>
        </w:rPr>
        <w:lastRenderedPageBreak/>
        <w:t xml:space="preserve">considered. The maximum IOD modelled from emissions of CFC-11, </w:t>
      </w:r>
      <w:r w:rsidR="008D4E55" w:rsidRPr="00951F0F">
        <w:rPr>
          <w:rFonts w:cstheme="minorHAnsi"/>
        </w:rPr>
        <w:t xml:space="preserve">which </w:t>
      </w:r>
      <w:r w:rsidRPr="00951F0F">
        <w:rPr>
          <w:rFonts w:cstheme="minorHAnsi"/>
        </w:rPr>
        <w:t>includ</w:t>
      </w:r>
      <w:r w:rsidR="008D4E55" w:rsidRPr="00951F0F">
        <w:rPr>
          <w:rFonts w:cstheme="minorHAnsi"/>
        </w:rPr>
        <w:t>es</w:t>
      </w:r>
      <w:r w:rsidRPr="00951F0F">
        <w:rPr>
          <w:rFonts w:cstheme="minorHAnsi"/>
        </w:rPr>
        <w:t xml:space="preserve"> increase</w:t>
      </w:r>
      <w:r w:rsidR="009E2A8E" w:rsidRPr="00951F0F">
        <w:rPr>
          <w:rFonts w:cstheme="minorHAnsi"/>
        </w:rPr>
        <w:t>s</w:t>
      </w:r>
      <w:r w:rsidR="00C6627F">
        <w:rPr>
          <w:rFonts w:cstheme="minorHAnsi"/>
        </w:rPr>
        <w:t xml:space="preserve"> in the banks and subsequent release</w:t>
      </w:r>
      <w:r w:rsidRPr="00951F0F">
        <w:rPr>
          <w:rFonts w:cstheme="minorHAnsi"/>
        </w:rPr>
        <w:t xml:space="preserve">, is about </w:t>
      </w:r>
      <w:r w:rsidR="009C59A4" w:rsidRPr="00951F0F">
        <w:rPr>
          <w:rFonts w:cstheme="minorHAnsi"/>
        </w:rPr>
        <w:t>230</w:t>
      </w:r>
      <w:r w:rsidRPr="00951F0F">
        <w:rPr>
          <w:rFonts w:cstheme="minorHAnsi"/>
        </w:rPr>
        <w:t xml:space="preserve"> DU years (Figure 3</w:t>
      </w:r>
      <w:r w:rsidR="00262138" w:rsidRPr="00951F0F">
        <w:rPr>
          <w:rFonts w:cstheme="minorHAnsi"/>
        </w:rPr>
        <w:t xml:space="preserve">; see also Table </w:t>
      </w:r>
      <w:r w:rsidR="001F3A29">
        <w:rPr>
          <w:rFonts w:cstheme="minorHAnsi"/>
        </w:rPr>
        <w:t>1</w:t>
      </w:r>
      <w:r w:rsidR="00C04682" w:rsidRPr="00951F0F">
        <w:rPr>
          <w:rFonts w:cstheme="minorHAnsi"/>
        </w:rPr>
        <w:t xml:space="preserve"> </w:t>
      </w:r>
      <w:r w:rsidR="00262138" w:rsidRPr="00951F0F">
        <w:rPr>
          <w:rFonts w:cstheme="minorHAnsi"/>
        </w:rPr>
        <w:t>for all the modelled IOD values</w:t>
      </w:r>
      <w:r w:rsidRPr="00951F0F">
        <w:rPr>
          <w:rFonts w:cstheme="minorHAnsi"/>
        </w:rPr>
        <w:t xml:space="preserve">) which, when divided by the integration length, corresponds to an average ozone depletion of about 3 DU, similar to the value seen in Figure 2. The largest average ozone depletion of around </w:t>
      </w:r>
      <w:r w:rsidR="009E2A8E" w:rsidRPr="00951F0F">
        <w:rPr>
          <w:rFonts w:cstheme="minorHAnsi"/>
        </w:rPr>
        <w:t xml:space="preserve">15 </w:t>
      </w:r>
      <w:r w:rsidRPr="00951F0F">
        <w:rPr>
          <w:rFonts w:cstheme="minorHAnsi"/>
        </w:rPr>
        <w:t>DU is found for the case with the large CH</w:t>
      </w:r>
      <w:r w:rsidRPr="00951F0F">
        <w:rPr>
          <w:rFonts w:cstheme="minorHAnsi"/>
          <w:vertAlign w:val="subscript"/>
        </w:rPr>
        <w:t>3</w:t>
      </w:r>
      <w:r w:rsidRPr="00951F0F">
        <w:rPr>
          <w:rFonts w:cstheme="minorHAnsi"/>
        </w:rPr>
        <w:t xml:space="preserve">Br emissions (which has an IOD of </w:t>
      </w:r>
      <w:r w:rsidR="00435EEF" w:rsidRPr="00951F0F">
        <w:rPr>
          <w:rFonts w:cstheme="minorHAnsi"/>
        </w:rPr>
        <w:t xml:space="preserve">276 </w:t>
      </w:r>
      <w:r w:rsidRPr="00951F0F">
        <w:rPr>
          <w:rFonts w:cstheme="minorHAnsi"/>
        </w:rPr>
        <w:t>DU year</w:t>
      </w:r>
      <w:r w:rsidR="00435EEF" w:rsidRPr="00951F0F">
        <w:rPr>
          <w:rFonts w:cstheme="minorHAnsi"/>
        </w:rPr>
        <w:t>s</w:t>
      </w:r>
      <w:r w:rsidR="009E2A8E" w:rsidRPr="00951F0F">
        <w:rPr>
          <w:rFonts w:cstheme="minorHAnsi"/>
        </w:rPr>
        <w:t xml:space="preserve"> over a perturbation of about 16 years</w:t>
      </w:r>
      <w:r w:rsidR="00262138" w:rsidRPr="00951F0F">
        <w:rPr>
          <w:rFonts w:cstheme="minorHAnsi"/>
        </w:rPr>
        <w:t xml:space="preserve"> duration</w:t>
      </w:r>
      <w:r w:rsidRPr="00951F0F">
        <w:rPr>
          <w:rFonts w:cstheme="minorHAnsi"/>
        </w:rPr>
        <w:t>). This value</w:t>
      </w:r>
      <w:r w:rsidR="009E2A8E" w:rsidRPr="00951F0F">
        <w:rPr>
          <w:rFonts w:cstheme="minorHAnsi"/>
        </w:rPr>
        <w:t xml:space="preserve"> </w:t>
      </w:r>
      <w:r w:rsidRPr="00951F0F">
        <w:rPr>
          <w:rFonts w:cstheme="minorHAnsi"/>
        </w:rPr>
        <w:t>is again consistent with our results in Figure 2 where the short duration of the large average depletion arising from this short-lived halocarbon is evident.</w:t>
      </w:r>
    </w:p>
    <w:p w14:paraId="6361D410" w14:textId="4D9B59DD" w:rsidR="00CA0363" w:rsidRPr="00951F0F" w:rsidRDefault="00CA0363" w:rsidP="00CA0363">
      <w:pPr>
        <w:spacing w:after="240" w:line="480" w:lineRule="auto"/>
        <w:jc w:val="both"/>
        <w:rPr>
          <w:rFonts w:cstheme="minorHAnsi"/>
        </w:rPr>
      </w:pPr>
      <w:r w:rsidRPr="00951F0F">
        <w:rPr>
          <w:rFonts w:cstheme="minorHAnsi"/>
        </w:rPr>
        <w:t xml:space="preserve">To </w:t>
      </w:r>
      <w:r w:rsidR="00797D99">
        <w:rPr>
          <w:rFonts w:cstheme="minorHAnsi"/>
        </w:rPr>
        <w:t>illustrate</w:t>
      </w:r>
      <w:r w:rsidR="00797D99" w:rsidRPr="00951F0F">
        <w:rPr>
          <w:rFonts w:cstheme="minorHAnsi"/>
        </w:rPr>
        <w:t xml:space="preserve"> </w:t>
      </w:r>
      <w:r w:rsidRPr="00951F0F">
        <w:rPr>
          <w:rFonts w:cstheme="minorHAnsi"/>
        </w:rPr>
        <w:t>the advantage of IOD over the return date metric</w:t>
      </w:r>
      <w:r w:rsidRPr="00951F0F" w:rsidDel="007B6260">
        <w:rPr>
          <w:rFonts w:cstheme="minorHAnsi"/>
        </w:rPr>
        <w:t xml:space="preserve"> </w:t>
      </w:r>
      <w:r w:rsidRPr="00951F0F">
        <w:rPr>
          <w:rFonts w:cstheme="minorHAnsi"/>
        </w:rPr>
        <w:t>we look further at our integrations which study the impact of hypothetical illegal CFC-11 emissions. Nine different integrations explored increased CFC-11 (and possible CFC-12) emissions</w:t>
      </w:r>
      <w:r w:rsidRPr="00951F0F">
        <w:rPr>
          <w:rFonts w:cstheme="minorHAnsi"/>
          <w:vertAlign w:val="superscript"/>
        </w:rPr>
        <w:t>2</w:t>
      </w:r>
      <w:r w:rsidR="006A2846" w:rsidRPr="00951F0F">
        <w:rPr>
          <w:rFonts w:cstheme="minorHAnsi"/>
          <w:vertAlign w:val="superscript"/>
        </w:rPr>
        <w:t>4</w:t>
      </w:r>
      <w:r w:rsidRPr="00951F0F">
        <w:rPr>
          <w:rFonts w:cstheme="minorHAnsi"/>
        </w:rPr>
        <w:t>. When an additional 35 Gg yr</w:t>
      </w:r>
      <w:r w:rsidRPr="00951F0F">
        <w:rPr>
          <w:rFonts w:cstheme="minorHAnsi"/>
          <w:vertAlign w:val="superscript"/>
        </w:rPr>
        <w:t>-1</w:t>
      </w:r>
      <w:r w:rsidRPr="00951F0F">
        <w:rPr>
          <w:rFonts w:cstheme="minorHAnsi"/>
        </w:rPr>
        <w:t xml:space="preserve"> of CFC-11 are emitted over 7 years (Scenario 1, Table </w:t>
      </w:r>
      <w:r w:rsidR="001F3A29">
        <w:rPr>
          <w:rFonts w:cstheme="minorHAnsi"/>
        </w:rPr>
        <w:t>1</w:t>
      </w:r>
      <w:r w:rsidRPr="00951F0F">
        <w:rPr>
          <w:rFonts w:cstheme="minorHAnsi"/>
        </w:rPr>
        <w:t xml:space="preserve">), the IOD is </w:t>
      </w:r>
      <w:r w:rsidR="00515DB7">
        <w:rPr>
          <w:rFonts w:cstheme="minorHAnsi"/>
        </w:rPr>
        <w:t xml:space="preserve">about </w:t>
      </w:r>
      <w:r w:rsidR="009C59A4" w:rsidRPr="00951F0F">
        <w:rPr>
          <w:rFonts w:cstheme="minorHAnsi"/>
        </w:rPr>
        <w:t>29</w:t>
      </w:r>
      <w:r w:rsidR="00515DB7">
        <w:rPr>
          <w:rFonts w:cstheme="minorHAnsi"/>
        </w:rPr>
        <w:t xml:space="preserve"> </w:t>
      </w:r>
      <w:r w:rsidRPr="00951F0F">
        <w:rPr>
          <w:rFonts w:cstheme="minorHAnsi"/>
        </w:rPr>
        <w:t>DU y</w:t>
      </w:r>
      <w:r w:rsidR="00435EEF" w:rsidRPr="00951F0F">
        <w:rPr>
          <w:rFonts w:cstheme="minorHAnsi"/>
        </w:rPr>
        <w:t>ea</w:t>
      </w:r>
      <w:r w:rsidRPr="00951F0F">
        <w:rPr>
          <w:rFonts w:cstheme="minorHAnsi"/>
        </w:rPr>
        <w:t>r</w:t>
      </w:r>
      <w:r w:rsidR="00435EEF" w:rsidRPr="00951F0F">
        <w:rPr>
          <w:rFonts w:cstheme="minorHAnsi"/>
        </w:rPr>
        <w:t>s</w:t>
      </w:r>
      <w:r w:rsidRPr="00951F0F">
        <w:rPr>
          <w:rFonts w:cstheme="minorHAnsi"/>
        </w:rPr>
        <w:t xml:space="preserve">, with a global average loss of less than 1 DU and no discernible lengthening of the recovery period. The IOD, expressed as additional ozone loss above that calculated in the Base integration, is </w:t>
      </w:r>
      <w:r w:rsidR="00435EEF" w:rsidRPr="00951F0F">
        <w:rPr>
          <w:rFonts w:cstheme="minorHAnsi"/>
        </w:rPr>
        <w:t>~</w:t>
      </w:r>
      <w:r w:rsidRPr="00951F0F">
        <w:rPr>
          <w:rFonts w:cstheme="minorHAnsi"/>
        </w:rPr>
        <w:t>2</w:t>
      </w:r>
      <w:r w:rsidR="00435EEF" w:rsidRPr="00951F0F">
        <w:rPr>
          <w:rFonts w:cstheme="minorHAnsi"/>
        </w:rPr>
        <w:t>%</w:t>
      </w:r>
      <w:r w:rsidRPr="00951F0F">
        <w:rPr>
          <w:rFonts w:cstheme="minorHAnsi"/>
        </w:rPr>
        <w:t>. So, while the delay in recovery is essentially zero, consistent with other model studies considering the recently observed CFC-11 emission increases</w:t>
      </w:r>
      <w:r w:rsidRPr="00951F0F">
        <w:rPr>
          <w:rFonts w:cstheme="minorHAnsi"/>
          <w:vertAlign w:val="superscript"/>
        </w:rPr>
        <w:t>2</w:t>
      </w:r>
      <w:r w:rsidR="0027502E" w:rsidRPr="00951F0F">
        <w:rPr>
          <w:rFonts w:cstheme="minorHAnsi"/>
          <w:vertAlign w:val="superscript"/>
        </w:rPr>
        <w:t>4</w:t>
      </w:r>
      <w:r w:rsidRPr="00951F0F">
        <w:rPr>
          <w:rFonts w:cstheme="minorHAnsi"/>
          <w:vertAlign w:val="superscript"/>
        </w:rPr>
        <w:t>,2</w:t>
      </w:r>
      <w:r w:rsidR="0027502E" w:rsidRPr="00951F0F">
        <w:rPr>
          <w:rFonts w:cstheme="minorHAnsi"/>
          <w:vertAlign w:val="superscript"/>
        </w:rPr>
        <w:t>5</w:t>
      </w:r>
      <w:r w:rsidRPr="00951F0F">
        <w:rPr>
          <w:rFonts w:cstheme="minorHAnsi"/>
          <w:vertAlign w:val="superscript"/>
        </w:rPr>
        <w:t>,2</w:t>
      </w:r>
      <w:r w:rsidR="0027502E" w:rsidRPr="00951F0F">
        <w:rPr>
          <w:rFonts w:cstheme="minorHAnsi"/>
          <w:vertAlign w:val="superscript"/>
        </w:rPr>
        <w:t>6</w:t>
      </w:r>
      <w:r w:rsidRPr="00951F0F">
        <w:rPr>
          <w:rFonts w:cstheme="minorHAnsi"/>
        </w:rPr>
        <w:t xml:space="preserve">, the IOD does quantify the small increase in ozone depletion. In </w:t>
      </w:r>
      <w:r w:rsidR="00797D99">
        <w:rPr>
          <w:rFonts w:cstheme="minorHAnsi"/>
        </w:rPr>
        <w:t>a second</w:t>
      </w:r>
      <w:r w:rsidRPr="00951F0F">
        <w:rPr>
          <w:rFonts w:cstheme="minorHAnsi"/>
        </w:rPr>
        <w:t xml:space="preserve"> scenario with annual emissions more than twice the current values </w:t>
      </w:r>
      <w:r w:rsidR="00797D99">
        <w:rPr>
          <w:rFonts w:cstheme="minorHAnsi"/>
        </w:rPr>
        <w:t xml:space="preserve">for </w:t>
      </w:r>
      <w:r w:rsidRPr="00951F0F">
        <w:rPr>
          <w:rFonts w:cstheme="minorHAnsi"/>
        </w:rPr>
        <w:t xml:space="preserve">30 years (Scenario 9, Table </w:t>
      </w:r>
      <w:r w:rsidR="001F3A29">
        <w:rPr>
          <w:rFonts w:cstheme="minorHAnsi"/>
        </w:rPr>
        <w:t>1</w:t>
      </w:r>
      <w:r w:rsidRPr="00951F0F">
        <w:rPr>
          <w:rFonts w:cstheme="minorHAnsi"/>
        </w:rPr>
        <w:t>), the IOD is 348 DU y</w:t>
      </w:r>
      <w:r w:rsidR="00435EEF" w:rsidRPr="00951F0F">
        <w:rPr>
          <w:rFonts w:cstheme="minorHAnsi"/>
        </w:rPr>
        <w:t>ears</w:t>
      </w:r>
      <w:r w:rsidRPr="00951F0F">
        <w:rPr>
          <w:rFonts w:cstheme="minorHAnsi"/>
        </w:rPr>
        <w:t xml:space="preserve">, the global average loss is about 5 DU and the delay calculated in </w:t>
      </w:r>
      <w:r w:rsidR="00A06957">
        <w:rPr>
          <w:rFonts w:cstheme="minorHAnsi"/>
        </w:rPr>
        <w:t>return date</w:t>
      </w:r>
      <w:r w:rsidRPr="00951F0F">
        <w:rPr>
          <w:rFonts w:cstheme="minorHAnsi"/>
        </w:rPr>
        <w:t xml:space="preserve"> is about 10 years. </w:t>
      </w:r>
      <w:r w:rsidR="00797D99">
        <w:rPr>
          <w:rFonts w:cstheme="minorHAnsi"/>
        </w:rPr>
        <w:t>In this scenario, b</w:t>
      </w:r>
      <w:r w:rsidR="00797D99" w:rsidRPr="00951F0F">
        <w:rPr>
          <w:rFonts w:cstheme="minorHAnsi"/>
        </w:rPr>
        <w:t xml:space="preserve">oth </w:t>
      </w:r>
      <w:r w:rsidRPr="00951F0F">
        <w:rPr>
          <w:rFonts w:cstheme="minorHAnsi"/>
        </w:rPr>
        <w:t xml:space="preserve">metrics (IOD or </w:t>
      </w:r>
      <w:r w:rsidR="00A06957" w:rsidRPr="00951F0F">
        <w:rPr>
          <w:rFonts w:cstheme="minorHAnsi"/>
        </w:rPr>
        <w:t>re</w:t>
      </w:r>
      <w:r w:rsidR="00A06957">
        <w:rPr>
          <w:rFonts w:cstheme="minorHAnsi"/>
        </w:rPr>
        <w:t>turn</w:t>
      </w:r>
      <w:r w:rsidR="00A06957" w:rsidRPr="00951F0F">
        <w:rPr>
          <w:rFonts w:cstheme="minorHAnsi"/>
        </w:rPr>
        <w:t xml:space="preserve"> </w:t>
      </w:r>
      <w:r w:rsidRPr="00951F0F">
        <w:rPr>
          <w:rFonts w:cstheme="minorHAnsi"/>
        </w:rPr>
        <w:t xml:space="preserve">date) </w:t>
      </w:r>
      <w:r w:rsidR="00797D99">
        <w:rPr>
          <w:rFonts w:cstheme="minorHAnsi"/>
        </w:rPr>
        <w:t xml:space="preserve">do </w:t>
      </w:r>
      <w:r w:rsidRPr="00951F0F">
        <w:rPr>
          <w:rFonts w:cstheme="minorHAnsi"/>
        </w:rPr>
        <w:t>indicate the severity of the loss that would follow such emissions</w:t>
      </w:r>
      <w:r w:rsidR="00474B1B">
        <w:rPr>
          <w:rFonts w:cstheme="minorHAnsi"/>
        </w:rPr>
        <w:t xml:space="preserve">. </w:t>
      </w:r>
      <w:r w:rsidRPr="00951F0F">
        <w:rPr>
          <w:rFonts w:cstheme="minorHAnsi"/>
        </w:rPr>
        <w:t xml:space="preserve">Finally, turning to </w:t>
      </w:r>
      <w:r w:rsidR="00797D99">
        <w:rPr>
          <w:rFonts w:cstheme="minorHAnsi"/>
        </w:rPr>
        <w:t>a</w:t>
      </w:r>
      <w:r w:rsidR="00824E9D">
        <w:rPr>
          <w:rFonts w:cstheme="minorHAnsi"/>
        </w:rPr>
        <w:t xml:space="preserve"> </w:t>
      </w:r>
      <w:r w:rsidRPr="00951F0F">
        <w:rPr>
          <w:rFonts w:cstheme="minorHAnsi"/>
        </w:rPr>
        <w:t>scenario with 380 Gg yr</w:t>
      </w:r>
      <w:r w:rsidRPr="00951F0F">
        <w:rPr>
          <w:rFonts w:cstheme="minorHAnsi"/>
          <w:vertAlign w:val="superscript"/>
        </w:rPr>
        <w:t>-1</w:t>
      </w:r>
      <w:r w:rsidRPr="00951F0F">
        <w:rPr>
          <w:rFonts w:cstheme="minorHAnsi"/>
        </w:rPr>
        <w:t xml:space="preserve"> of CH</w:t>
      </w:r>
      <w:r w:rsidRPr="00951F0F">
        <w:rPr>
          <w:rFonts w:cstheme="minorHAnsi"/>
          <w:vertAlign w:val="subscript"/>
        </w:rPr>
        <w:t>3</w:t>
      </w:r>
      <w:r w:rsidRPr="00951F0F">
        <w:rPr>
          <w:rFonts w:cstheme="minorHAnsi"/>
        </w:rPr>
        <w:t xml:space="preserve">Br emissions over 5 years, we calculate an IOD of </w:t>
      </w:r>
      <w:r w:rsidR="009C59A4" w:rsidRPr="00951F0F">
        <w:rPr>
          <w:rFonts w:cstheme="minorHAnsi"/>
        </w:rPr>
        <w:t>233</w:t>
      </w:r>
      <w:r w:rsidRPr="00951F0F">
        <w:rPr>
          <w:rFonts w:cstheme="minorHAnsi"/>
        </w:rPr>
        <w:t xml:space="preserve"> DU y</w:t>
      </w:r>
      <w:r w:rsidR="00435EEF" w:rsidRPr="00951F0F">
        <w:rPr>
          <w:rFonts w:cstheme="minorHAnsi"/>
        </w:rPr>
        <w:t>ea</w:t>
      </w:r>
      <w:r w:rsidRPr="00951F0F">
        <w:rPr>
          <w:rFonts w:cstheme="minorHAnsi"/>
        </w:rPr>
        <w:t>r</w:t>
      </w:r>
      <w:r w:rsidR="00435EEF" w:rsidRPr="00951F0F">
        <w:rPr>
          <w:rFonts w:cstheme="minorHAnsi"/>
        </w:rPr>
        <w:t>s</w:t>
      </w:r>
      <w:r w:rsidRPr="00951F0F">
        <w:rPr>
          <w:rFonts w:cstheme="minorHAnsi"/>
        </w:rPr>
        <w:t xml:space="preserve"> and an average loss of about 1</w:t>
      </w:r>
      <w:r w:rsidR="00435EEF" w:rsidRPr="00951F0F">
        <w:rPr>
          <w:rFonts w:cstheme="minorHAnsi"/>
        </w:rPr>
        <w:t>7</w:t>
      </w:r>
      <w:r w:rsidRPr="00951F0F">
        <w:rPr>
          <w:rFonts w:cstheme="minorHAnsi"/>
        </w:rPr>
        <w:t xml:space="preserve"> DU but there is no delay in </w:t>
      </w:r>
      <w:r w:rsidR="00A06957">
        <w:rPr>
          <w:rFonts w:cstheme="minorHAnsi"/>
        </w:rPr>
        <w:t>the return date</w:t>
      </w:r>
      <w:r w:rsidRPr="00951F0F">
        <w:rPr>
          <w:rFonts w:cstheme="minorHAnsi"/>
        </w:rPr>
        <w:t xml:space="preserve">. </w:t>
      </w:r>
      <w:r w:rsidR="00605599">
        <w:rPr>
          <w:rFonts w:cstheme="minorHAnsi"/>
        </w:rPr>
        <w:t>In this case, the</w:t>
      </w:r>
      <w:r w:rsidRPr="00951F0F">
        <w:rPr>
          <w:rFonts w:cstheme="minorHAnsi"/>
        </w:rPr>
        <w:t xml:space="preserve"> IOD is </w:t>
      </w:r>
      <w:r w:rsidR="00435EEF" w:rsidRPr="00951F0F">
        <w:rPr>
          <w:rFonts w:cstheme="minorHAnsi"/>
        </w:rPr>
        <w:t>16</w:t>
      </w:r>
      <w:r w:rsidRPr="00951F0F">
        <w:rPr>
          <w:rFonts w:cstheme="minorHAnsi"/>
        </w:rPr>
        <w:t xml:space="preserve">% of the Base, </w:t>
      </w:r>
      <w:r w:rsidRPr="00951F0F">
        <w:rPr>
          <w:rFonts w:cstheme="minorHAnsi"/>
        </w:rPr>
        <w:lastRenderedPageBreak/>
        <w:t>representing a severe impact</w:t>
      </w:r>
      <w:r w:rsidR="00262138" w:rsidRPr="00951F0F">
        <w:rPr>
          <w:rFonts w:cstheme="minorHAnsi"/>
        </w:rPr>
        <w:t>,</w:t>
      </w:r>
      <w:r w:rsidR="00435EEF" w:rsidRPr="00951F0F">
        <w:rPr>
          <w:rFonts w:cstheme="minorHAnsi"/>
        </w:rPr>
        <w:t xml:space="preserve"> close to</w:t>
      </w:r>
      <w:r w:rsidRPr="00951F0F">
        <w:rPr>
          <w:rFonts w:cstheme="minorHAnsi"/>
        </w:rPr>
        <w:t xml:space="preserve"> that of the extreme CFC-11 scenario</w:t>
      </w:r>
      <w:r w:rsidR="00262138" w:rsidRPr="00951F0F">
        <w:rPr>
          <w:rFonts w:cstheme="minorHAnsi"/>
        </w:rPr>
        <w:t>,</w:t>
      </w:r>
      <w:r w:rsidRPr="00951F0F">
        <w:rPr>
          <w:rFonts w:cstheme="minorHAnsi"/>
        </w:rPr>
        <w:t xml:space="preserve"> despite there being no delay in recovery</w:t>
      </w:r>
      <w:r w:rsidR="00605599">
        <w:rPr>
          <w:rFonts w:cstheme="minorHAnsi"/>
        </w:rPr>
        <w:t xml:space="preserve"> showing that t</w:t>
      </w:r>
      <w:r w:rsidRPr="00951F0F">
        <w:rPr>
          <w:rFonts w:cstheme="minorHAnsi"/>
        </w:rPr>
        <w:t xml:space="preserve">he </w:t>
      </w:r>
      <w:r w:rsidR="00FA765F" w:rsidRPr="00951F0F">
        <w:rPr>
          <w:rFonts w:cstheme="minorHAnsi"/>
        </w:rPr>
        <w:t xml:space="preserve">return date </w:t>
      </w:r>
      <w:r w:rsidRPr="00951F0F">
        <w:rPr>
          <w:rFonts w:cstheme="minorHAnsi"/>
        </w:rPr>
        <w:t>metric fails completely to demonstrate the threat posed by such large CH</w:t>
      </w:r>
      <w:r w:rsidRPr="00951F0F">
        <w:rPr>
          <w:rFonts w:cstheme="minorHAnsi"/>
          <w:vertAlign w:val="subscript"/>
        </w:rPr>
        <w:t>3</w:t>
      </w:r>
      <w:r w:rsidRPr="00951F0F">
        <w:rPr>
          <w:rFonts w:cstheme="minorHAnsi"/>
        </w:rPr>
        <w:t xml:space="preserve">Br emissions, which is </w:t>
      </w:r>
      <w:r w:rsidR="00605599">
        <w:rPr>
          <w:rFonts w:cstheme="minorHAnsi"/>
        </w:rPr>
        <w:t xml:space="preserve">however </w:t>
      </w:r>
      <w:r w:rsidRPr="00951F0F">
        <w:rPr>
          <w:rFonts w:cstheme="minorHAnsi"/>
        </w:rPr>
        <w:t>captured starkly by IOD.</w:t>
      </w:r>
    </w:p>
    <w:p w14:paraId="36E0E26B" w14:textId="347A4960" w:rsidR="00C926D3" w:rsidRPr="00951F0F" w:rsidRDefault="00435EEF" w:rsidP="00C926D3">
      <w:pPr>
        <w:spacing w:after="240" w:line="480" w:lineRule="auto"/>
        <w:jc w:val="both"/>
        <w:rPr>
          <w:rFonts w:cstheme="minorHAnsi"/>
        </w:rPr>
      </w:pPr>
      <w:r w:rsidRPr="00951F0F">
        <w:rPr>
          <w:rFonts w:cstheme="minorHAnsi"/>
        </w:rPr>
        <w:t xml:space="preserve">The IOD and ODP metrics </w:t>
      </w:r>
      <w:r w:rsidR="00F46B8E" w:rsidRPr="00951F0F">
        <w:rPr>
          <w:rFonts w:cstheme="minorHAnsi"/>
        </w:rPr>
        <w:t xml:space="preserve">both depend on estimating ozone depletion due to a specified emission of an ODS. </w:t>
      </w:r>
      <w:r w:rsidRPr="00951F0F">
        <w:rPr>
          <w:rFonts w:cstheme="minorHAnsi"/>
        </w:rPr>
        <w:t>Unlike ODP,</w:t>
      </w:r>
      <w:r w:rsidR="00605599">
        <w:rPr>
          <w:rFonts w:cstheme="minorHAnsi"/>
        </w:rPr>
        <w:t xml:space="preserve"> however,</w:t>
      </w:r>
      <w:r w:rsidRPr="00951F0F">
        <w:rPr>
          <w:rFonts w:cstheme="minorHAnsi"/>
        </w:rPr>
        <w:t xml:space="preserve"> </w:t>
      </w:r>
      <w:r w:rsidR="00CA0363" w:rsidRPr="00951F0F">
        <w:rPr>
          <w:rFonts w:cstheme="minorHAnsi"/>
        </w:rPr>
        <w:t>IOD is an absolute measure of impact (</w:t>
      </w:r>
      <w:r w:rsidR="00F46B8E" w:rsidRPr="00951F0F">
        <w:rPr>
          <w:rFonts w:cstheme="minorHAnsi"/>
        </w:rPr>
        <w:t>like the delay in return date)</w:t>
      </w:r>
      <w:r w:rsidR="00605599">
        <w:rPr>
          <w:rFonts w:cstheme="minorHAnsi"/>
        </w:rPr>
        <w:t xml:space="preserve">.  </w:t>
      </w:r>
      <w:r w:rsidR="00605599" w:rsidRPr="00951F0F">
        <w:rPr>
          <w:rFonts w:cstheme="minorHAnsi"/>
        </w:rPr>
        <w:t>ODP is a measure of a species’ impact on ozone, relative to CFC-11</w:t>
      </w:r>
      <w:r w:rsidR="00605599">
        <w:rPr>
          <w:rFonts w:cstheme="minorHAnsi"/>
        </w:rPr>
        <w:t xml:space="preserve">, and </w:t>
      </w:r>
      <w:r w:rsidR="00CA0363" w:rsidRPr="00951F0F">
        <w:rPr>
          <w:rFonts w:cstheme="minorHAnsi"/>
        </w:rPr>
        <w:t>IOD</w:t>
      </w:r>
      <w:r w:rsidR="00605599">
        <w:rPr>
          <w:rFonts w:cstheme="minorHAnsi"/>
        </w:rPr>
        <w:t xml:space="preserve">, </w:t>
      </w:r>
      <w:r w:rsidR="00CA0363" w:rsidRPr="00951F0F">
        <w:rPr>
          <w:rFonts w:cstheme="minorHAnsi"/>
        </w:rPr>
        <w:t>as a percentage of Base</w:t>
      </w:r>
      <w:r w:rsidR="00605599">
        <w:rPr>
          <w:rFonts w:cstheme="minorHAnsi"/>
        </w:rPr>
        <w:t>,</w:t>
      </w:r>
      <w:r w:rsidR="00CA0363" w:rsidRPr="00951F0F">
        <w:rPr>
          <w:rFonts w:cstheme="minorHAnsi"/>
        </w:rPr>
        <w:t xml:space="preserve"> is a measure </w:t>
      </w:r>
      <w:r w:rsidR="00605599">
        <w:rPr>
          <w:rFonts w:cstheme="minorHAnsi"/>
        </w:rPr>
        <w:t xml:space="preserve">of impact </w:t>
      </w:r>
      <w:r w:rsidR="00CA0363" w:rsidRPr="00951F0F">
        <w:rPr>
          <w:rFonts w:cstheme="minorHAnsi"/>
        </w:rPr>
        <w:t>relative to all previous halogen emissions</w:t>
      </w:r>
      <w:r w:rsidR="00812105">
        <w:rPr>
          <w:rFonts w:cstheme="minorHAnsi"/>
        </w:rPr>
        <w:t xml:space="preserve">.  This </w:t>
      </w:r>
      <w:r w:rsidR="00605599">
        <w:rPr>
          <w:rFonts w:cstheme="minorHAnsi"/>
        </w:rPr>
        <w:t xml:space="preserve">results in </w:t>
      </w:r>
      <w:r w:rsidR="00CA0363" w:rsidRPr="00951F0F">
        <w:rPr>
          <w:rFonts w:cstheme="minorHAnsi"/>
        </w:rPr>
        <w:t xml:space="preserve">a clear relationship between </w:t>
      </w:r>
      <w:r w:rsidR="00F46B8E" w:rsidRPr="00951F0F">
        <w:rPr>
          <w:rFonts w:cstheme="minorHAnsi"/>
        </w:rPr>
        <w:t xml:space="preserve">the </w:t>
      </w:r>
      <w:r w:rsidR="00CA0363" w:rsidRPr="00951F0F">
        <w:rPr>
          <w:rFonts w:cstheme="minorHAnsi"/>
        </w:rPr>
        <w:t xml:space="preserve">IOD and </w:t>
      </w:r>
      <w:r w:rsidR="00F46B8E" w:rsidRPr="00951F0F">
        <w:rPr>
          <w:rFonts w:cstheme="minorHAnsi"/>
        </w:rPr>
        <w:t>different methods for estimating</w:t>
      </w:r>
      <w:r w:rsidR="00CA0363" w:rsidRPr="00951F0F">
        <w:rPr>
          <w:rFonts w:cstheme="minorHAnsi"/>
        </w:rPr>
        <w:t xml:space="preserve"> ODP</w:t>
      </w:r>
      <w:r w:rsidR="00F46B8E" w:rsidRPr="00951F0F">
        <w:rPr>
          <w:rFonts w:cstheme="minorHAnsi"/>
        </w:rPr>
        <w:t>s</w:t>
      </w:r>
      <w:r w:rsidR="00CA0363" w:rsidRPr="00951F0F">
        <w:rPr>
          <w:rFonts w:cstheme="minorHAnsi"/>
        </w:rPr>
        <w:t xml:space="preserve"> (see Methods for further details)</w:t>
      </w:r>
      <w:r w:rsidR="00812105">
        <w:rPr>
          <w:rFonts w:cstheme="minorHAnsi"/>
        </w:rPr>
        <w:t xml:space="preserve"> which can be used to compare emissions in a relative sense if required</w:t>
      </w:r>
      <w:r w:rsidR="00CA0363" w:rsidRPr="00951F0F">
        <w:rPr>
          <w:rFonts w:cstheme="minorHAnsi"/>
        </w:rPr>
        <w:t xml:space="preserve">. </w:t>
      </w:r>
    </w:p>
    <w:p w14:paraId="41B04855" w14:textId="369AEB4E" w:rsidR="00CA0363" w:rsidRPr="00951F0F" w:rsidRDefault="008D23D2" w:rsidP="00C926D3">
      <w:pPr>
        <w:spacing w:after="240" w:line="480" w:lineRule="auto"/>
        <w:jc w:val="both"/>
        <w:rPr>
          <w:rFonts w:eastAsiaTheme="minorEastAsia" w:cstheme="minorHAnsi"/>
        </w:rPr>
      </w:pPr>
      <w:r w:rsidRPr="00951F0F">
        <w:rPr>
          <w:rFonts w:cstheme="minorHAnsi"/>
        </w:rPr>
        <w:t xml:space="preserve">The empirical relationship in Equation 1 allows the IOD to be calculated simply for any </w:t>
      </w:r>
      <w:r w:rsidR="00A37305" w:rsidRPr="00951F0F">
        <w:rPr>
          <w:rFonts w:cstheme="minorHAnsi"/>
        </w:rPr>
        <w:t xml:space="preserve">halogenated </w:t>
      </w:r>
      <w:r w:rsidRPr="00951F0F">
        <w:rPr>
          <w:rFonts w:cstheme="minorHAnsi"/>
        </w:rPr>
        <w:t xml:space="preserve">species whose </w:t>
      </w:r>
      <w:r w:rsidR="006F77E6" w:rsidRPr="00951F0F">
        <w:rPr>
          <w:rFonts w:cstheme="minorHAnsi"/>
        </w:rPr>
        <w:t>atmospheric and stratospheric lifetimes are known, given a choice of emission strength. For example, the unexpected emissions of CFC-11 during 2012-2019 are estimated to be between 120 and 440</w:t>
      </w:r>
      <w:r w:rsidR="0027502E" w:rsidRPr="00951F0F">
        <w:rPr>
          <w:rFonts w:cstheme="minorHAnsi"/>
        </w:rPr>
        <w:t xml:space="preserve"> </w:t>
      </w:r>
      <w:r w:rsidR="006F77E6" w:rsidRPr="00951F0F">
        <w:rPr>
          <w:rFonts w:cstheme="minorHAnsi"/>
        </w:rPr>
        <w:t>Gg</w:t>
      </w:r>
      <w:r w:rsidR="00C926D3" w:rsidRPr="00951F0F">
        <w:rPr>
          <w:rFonts w:cstheme="minorHAnsi"/>
        </w:rPr>
        <w:t xml:space="preserve"> (</w:t>
      </w:r>
      <w:proofErr w:type="spellStart"/>
      <w:r w:rsidR="00C926D3" w:rsidRPr="00951F0F">
        <w:rPr>
          <w:rFonts w:cstheme="minorHAnsi"/>
        </w:rPr>
        <w:t>E</w:t>
      </w:r>
      <w:r w:rsidR="00C926D3" w:rsidRPr="00951F0F">
        <w:rPr>
          <w:rFonts w:cstheme="minorHAnsi"/>
          <w:vertAlign w:val="subscript"/>
        </w:rPr>
        <w:t>eq</w:t>
      </w:r>
      <w:proofErr w:type="spellEnd"/>
      <w:r w:rsidR="00C926D3" w:rsidRPr="00951F0F">
        <w:rPr>
          <w:rFonts w:cstheme="minorHAnsi"/>
        </w:rPr>
        <w:t xml:space="preserve"> of 0.092 and 0.34 </w:t>
      </w:r>
      <w:proofErr w:type="spellStart"/>
      <w:proofErr w:type="gramStart"/>
      <w:r w:rsidR="00C926D3" w:rsidRPr="00951F0F">
        <w:rPr>
          <w:rFonts w:cstheme="minorHAnsi"/>
        </w:rPr>
        <w:t>Tg</w:t>
      </w:r>
      <w:proofErr w:type="spellEnd"/>
      <w:r w:rsidR="00C926D3" w:rsidRPr="00951F0F">
        <w:rPr>
          <w:rFonts w:cstheme="minorHAnsi"/>
        </w:rPr>
        <w:t>(</w:t>
      </w:r>
      <w:proofErr w:type="gramEnd"/>
      <w:r w:rsidR="00C926D3" w:rsidRPr="00951F0F">
        <w:rPr>
          <w:rFonts w:cstheme="minorHAnsi"/>
        </w:rPr>
        <w:t>Cl) respectively</w:t>
      </w:r>
      <w:r w:rsidR="0027502E" w:rsidRPr="00951F0F">
        <w:rPr>
          <w:rFonts w:cstheme="minorHAnsi"/>
        </w:rPr>
        <w:t>)</w:t>
      </w:r>
      <w:r w:rsidR="006F77E6" w:rsidRPr="00951F0F">
        <w:rPr>
          <w:rFonts w:cstheme="minorHAnsi"/>
        </w:rPr>
        <w:t xml:space="preserve">, which corresponds to an IOD of between approximately 9 and 34 </w:t>
      </w:r>
      <w:r w:rsidR="00C926D3" w:rsidRPr="00951F0F">
        <w:rPr>
          <w:rFonts w:cstheme="minorHAnsi"/>
        </w:rPr>
        <w:t xml:space="preserve">DU </w:t>
      </w:r>
      <w:r w:rsidR="006F77E6" w:rsidRPr="00951F0F">
        <w:rPr>
          <w:rFonts w:cstheme="minorHAnsi"/>
        </w:rPr>
        <w:t xml:space="preserve">years, small values which emphasise the huge importance of the early detection of the </w:t>
      </w:r>
      <w:r w:rsidR="00A1121D" w:rsidRPr="00951F0F">
        <w:rPr>
          <w:rFonts w:cstheme="minorHAnsi"/>
        </w:rPr>
        <w:t xml:space="preserve">unexpected </w:t>
      </w:r>
      <w:r w:rsidR="006F77E6" w:rsidRPr="00951F0F">
        <w:rPr>
          <w:rFonts w:cstheme="minorHAnsi"/>
        </w:rPr>
        <w:t>emissions</w:t>
      </w:r>
      <w:r w:rsidR="00A1121D" w:rsidRPr="00951F0F">
        <w:rPr>
          <w:rFonts w:cstheme="minorHAnsi"/>
        </w:rPr>
        <w:t xml:space="preserve"> of this long-lived gas</w:t>
      </w:r>
      <w:r w:rsidR="006F77E6" w:rsidRPr="00951F0F">
        <w:rPr>
          <w:rFonts w:cstheme="minorHAnsi"/>
        </w:rPr>
        <w:t xml:space="preserve">. </w:t>
      </w:r>
      <w:r w:rsidR="00812105">
        <w:rPr>
          <w:rFonts w:cstheme="minorHAnsi"/>
        </w:rPr>
        <w:t>E</w:t>
      </w:r>
      <w:r w:rsidR="00A1121D" w:rsidRPr="00951F0F">
        <w:rPr>
          <w:rFonts w:cstheme="minorHAnsi"/>
        </w:rPr>
        <w:t>missions</w:t>
      </w:r>
      <w:r w:rsidR="00CA0363" w:rsidRPr="00951F0F">
        <w:rPr>
          <w:rFonts w:cstheme="minorHAnsi"/>
        </w:rPr>
        <w:t xml:space="preserve"> of DCM, a short-lived halocarbon that is not regulated under the Montreal Protocol, increased by approximately </w:t>
      </w:r>
      <w:r w:rsidR="00D01258" w:rsidRPr="00951F0F">
        <w:rPr>
          <w:rFonts w:cstheme="minorHAnsi"/>
        </w:rPr>
        <w:t>an annually-averaged 3</w:t>
      </w:r>
      <w:r w:rsidR="00CA0363" w:rsidRPr="00951F0F">
        <w:rPr>
          <w:rFonts w:cstheme="minorHAnsi"/>
        </w:rPr>
        <w:t>00 Gg yr</w:t>
      </w:r>
      <w:r w:rsidR="00CA0363" w:rsidRPr="00951F0F">
        <w:rPr>
          <w:rFonts w:cstheme="minorHAnsi"/>
          <w:vertAlign w:val="superscript"/>
        </w:rPr>
        <w:t>-1</w:t>
      </w:r>
      <w:r w:rsidR="00CA0363" w:rsidRPr="00951F0F">
        <w:rPr>
          <w:rFonts w:cstheme="minorHAnsi"/>
        </w:rPr>
        <w:t xml:space="preserve"> between 2007 and 2017</w:t>
      </w:r>
      <w:r w:rsidR="00D703C2" w:rsidRPr="00951F0F">
        <w:rPr>
          <w:rFonts w:cstheme="minorHAnsi"/>
          <w:vertAlign w:val="superscript"/>
        </w:rPr>
        <w:t>2</w:t>
      </w:r>
      <w:r w:rsidR="0027502E" w:rsidRPr="00951F0F">
        <w:rPr>
          <w:rFonts w:cstheme="minorHAnsi"/>
          <w:vertAlign w:val="superscript"/>
        </w:rPr>
        <w:t>7</w:t>
      </w:r>
      <w:r w:rsidR="00CA0363" w:rsidRPr="00951F0F">
        <w:rPr>
          <w:rFonts w:cstheme="minorHAnsi"/>
        </w:rPr>
        <w:t>. Given a tropospheric lifetime of 180 days</w:t>
      </w:r>
      <w:r w:rsidR="00CA0363" w:rsidRPr="00951F0F">
        <w:rPr>
          <w:rFonts w:cstheme="minorHAnsi"/>
          <w:vertAlign w:val="superscript"/>
        </w:rPr>
        <w:t>1</w:t>
      </w:r>
      <w:r w:rsidR="00CA0363" w:rsidRPr="00951F0F">
        <w:rPr>
          <w:rFonts w:cstheme="minorHAnsi"/>
        </w:rPr>
        <w:t xml:space="preserve"> and a stratospheric lifetime of 1-2 years</w:t>
      </w:r>
      <w:r w:rsidR="00CA0363" w:rsidRPr="00951F0F">
        <w:rPr>
          <w:rFonts w:cstheme="minorHAnsi"/>
          <w:vertAlign w:val="superscript"/>
        </w:rPr>
        <w:t>12</w:t>
      </w:r>
      <w:r w:rsidR="00CA0363" w:rsidRPr="00951F0F">
        <w:rPr>
          <w:rFonts w:cstheme="minorHAnsi"/>
        </w:rPr>
        <w:t>, the total lifetime is 142 days</w:t>
      </w:r>
      <w:r w:rsidR="00CA0363" w:rsidRPr="00CD2E21">
        <w:rPr>
          <w:rFonts w:cstheme="minorHAnsi"/>
        </w:rPr>
        <w:t xml:space="preserve">. In this case, we calculate an IOD </w:t>
      </w:r>
      <w:r w:rsidR="00812105" w:rsidRPr="00CD2E21">
        <w:rPr>
          <w:rFonts w:cstheme="minorHAnsi"/>
        </w:rPr>
        <w:t xml:space="preserve">for DCM </w:t>
      </w:r>
      <w:r w:rsidR="00CA0363" w:rsidRPr="00CD2E21">
        <w:rPr>
          <w:rFonts w:cstheme="minorHAnsi"/>
        </w:rPr>
        <w:t xml:space="preserve">of </w:t>
      </w:r>
      <w:r w:rsidR="00A1121D" w:rsidRPr="00CD2E21">
        <w:rPr>
          <w:rFonts w:cstheme="minorHAnsi"/>
        </w:rPr>
        <w:t xml:space="preserve">about </w:t>
      </w:r>
      <w:r w:rsidR="00CA0363" w:rsidRPr="00CD2E21">
        <w:rPr>
          <w:rFonts w:cstheme="minorHAnsi"/>
        </w:rPr>
        <w:t>55 DU years</w:t>
      </w:r>
      <w:r w:rsidR="00812105" w:rsidRPr="00CD2E21">
        <w:rPr>
          <w:rFonts w:cstheme="minorHAnsi"/>
        </w:rPr>
        <w:t xml:space="preserve"> (~4% of the Base IOD)</w:t>
      </w:r>
      <w:r w:rsidR="00CA0363" w:rsidRPr="00CD2E21">
        <w:rPr>
          <w:rFonts w:cstheme="minorHAnsi"/>
        </w:rPr>
        <w:t xml:space="preserve"> associated with the increased emissions over </w:t>
      </w:r>
      <w:r w:rsidR="00812105" w:rsidRPr="00CD2E21">
        <w:rPr>
          <w:rFonts w:cstheme="minorHAnsi"/>
        </w:rPr>
        <w:t xml:space="preserve">this </w:t>
      </w:r>
      <w:r w:rsidR="00CA0363" w:rsidRPr="00CD2E21">
        <w:rPr>
          <w:rFonts w:cstheme="minorHAnsi"/>
        </w:rPr>
        <w:t>time period. Th</w:t>
      </w:r>
      <w:r w:rsidR="00C926D3" w:rsidRPr="00CD2E21">
        <w:rPr>
          <w:rFonts w:cstheme="minorHAnsi"/>
        </w:rPr>
        <w:t>is</w:t>
      </w:r>
      <w:r w:rsidR="00CA0363" w:rsidRPr="00CD2E21">
        <w:rPr>
          <w:rFonts w:cstheme="minorHAnsi"/>
        </w:rPr>
        <w:t xml:space="preserve"> value </w:t>
      </w:r>
      <w:r w:rsidR="00812105" w:rsidRPr="00CD2E21">
        <w:rPr>
          <w:rFonts w:cstheme="minorHAnsi"/>
        </w:rPr>
        <w:t xml:space="preserve">for DCM </w:t>
      </w:r>
      <w:r w:rsidR="00CA0363" w:rsidRPr="00CD2E21">
        <w:rPr>
          <w:rFonts w:cstheme="minorHAnsi"/>
        </w:rPr>
        <w:t>depends sensitively on the lifetimes</w:t>
      </w:r>
      <w:r w:rsidR="00A1121D" w:rsidRPr="00CD2E21">
        <w:rPr>
          <w:rFonts w:cstheme="minorHAnsi"/>
        </w:rPr>
        <w:t xml:space="preserve"> which are not well constrained</w:t>
      </w:r>
      <w:r w:rsidR="00CA0363" w:rsidRPr="00CD2E21">
        <w:rPr>
          <w:rFonts w:cstheme="minorHAnsi"/>
        </w:rPr>
        <w:t xml:space="preserve">; </w:t>
      </w:r>
      <w:r w:rsidR="00C926D3" w:rsidRPr="00CD2E21">
        <w:rPr>
          <w:rFonts w:cstheme="minorHAnsi"/>
        </w:rPr>
        <w:t xml:space="preserve">for </w:t>
      </w:r>
      <w:r w:rsidR="00C926D3" w:rsidRPr="00CD2E21">
        <w:rPr>
          <w:rFonts w:cstheme="minorHAnsi"/>
        </w:rPr>
        <w:lastRenderedPageBreak/>
        <w:t xml:space="preserve">example, </w:t>
      </w:r>
      <w:r w:rsidR="00CA0363" w:rsidRPr="00CD2E21">
        <w:rPr>
          <w:rFonts w:cstheme="minorHAnsi"/>
        </w:rPr>
        <w:t xml:space="preserve">simply using the quoted range for the stratospheric lifetime leads to changes in the IOD of about </w:t>
      </w:r>
      <w:r w:rsidR="00936784" w:rsidRPr="00CD2E21">
        <w:rPr>
          <w:rFonts w:cstheme="minorHAnsi"/>
        </w:rPr>
        <w:t>±</w:t>
      </w:r>
      <w:r w:rsidR="00CA0363" w:rsidRPr="00CD2E21">
        <w:rPr>
          <w:rFonts w:cstheme="minorHAnsi"/>
        </w:rPr>
        <w:t>15%. Furthermore, we did not include any contribution from Cl-gases produced from the oxidation of DCM in the troposphere, which are subsequently transported to the stratosphere. These would increase the ozone depletion but for DCM are estimated to be less than 25% of the total reaching the stratosphere</w:t>
      </w:r>
      <w:r w:rsidR="00CA0363" w:rsidRPr="00CD2E21">
        <w:rPr>
          <w:rFonts w:cstheme="minorHAnsi"/>
          <w:vertAlign w:val="superscript"/>
        </w:rPr>
        <w:t>2</w:t>
      </w:r>
      <w:r w:rsidR="0027502E" w:rsidRPr="00CD2E21">
        <w:rPr>
          <w:rFonts w:cstheme="minorHAnsi"/>
          <w:vertAlign w:val="superscript"/>
        </w:rPr>
        <w:t>8</w:t>
      </w:r>
      <w:r w:rsidR="00CD2E21" w:rsidRPr="00CD2E21">
        <w:rPr>
          <w:rFonts w:cstheme="minorHAnsi"/>
        </w:rPr>
        <w:t>.</w:t>
      </w:r>
      <w:r w:rsidR="00A1121D" w:rsidRPr="00CD2E21">
        <w:rPr>
          <w:rFonts w:cstheme="minorHAnsi"/>
        </w:rPr>
        <w:t xml:space="preserve"> </w:t>
      </w:r>
      <w:r w:rsidR="00A27B42" w:rsidRPr="00CD2E21">
        <w:rPr>
          <w:rFonts w:cstheme="minorHAnsi"/>
        </w:rPr>
        <w:t>Nevertheless,</w:t>
      </w:r>
      <w:r w:rsidR="00824E9D" w:rsidRPr="00CD2E21">
        <w:rPr>
          <w:rFonts w:cstheme="minorHAnsi"/>
        </w:rPr>
        <w:t xml:space="preserve"> despite the uncertainty,</w:t>
      </w:r>
      <w:r w:rsidR="00A27B42" w:rsidRPr="00CD2E21">
        <w:rPr>
          <w:rFonts w:cstheme="minorHAnsi"/>
        </w:rPr>
        <w:t xml:space="preserve"> the </w:t>
      </w:r>
      <w:r w:rsidR="00666EFC" w:rsidRPr="00CD2E21">
        <w:rPr>
          <w:rFonts w:cstheme="minorHAnsi"/>
        </w:rPr>
        <w:t xml:space="preserve">magnitude of the </w:t>
      </w:r>
      <w:r w:rsidR="00824E9D" w:rsidRPr="00CD2E21">
        <w:rPr>
          <w:rFonts w:cstheme="minorHAnsi"/>
        </w:rPr>
        <w:t xml:space="preserve">estimated </w:t>
      </w:r>
      <w:r w:rsidR="00A27B42" w:rsidRPr="00CD2E21">
        <w:rPr>
          <w:rFonts w:cstheme="minorHAnsi"/>
        </w:rPr>
        <w:t xml:space="preserve">IOD </w:t>
      </w:r>
      <w:r w:rsidR="00C926D3" w:rsidRPr="00CD2E21">
        <w:rPr>
          <w:rFonts w:cstheme="minorHAnsi"/>
        </w:rPr>
        <w:t>support</w:t>
      </w:r>
      <w:r w:rsidR="00A27B42" w:rsidRPr="00CD2E21">
        <w:rPr>
          <w:rFonts w:cstheme="minorHAnsi"/>
        </w:rPr>
        <w:t>s concerns about future increases in DCM emissions.</w:t>
      </w:r>
      <w:r w:rsidR="00A27B42" w:rsidRPr="00951F0F">
        <w:rPr>
          <w:rFonts w:cstheme="minorHAnsi"/>
        </w:rPr>
        <w:t xml:space="preserve"> </w:t>
      </w:r>
    </w:p>
    <w:p w14:paraId="22D3BFEB" w14:textId="66C83B3D" w:rsidR="00CA0363" w:rsidRPr="00951F0F" w:rsidRDefault="00CA0363" w:rsidP="00CA0363">
      <w:pPr>
        <w:spacing w:after="240" w:line="480" w:lineRule="auto"/>
        <w:jc w:val="both"/>
        <w:rPr>
          <w:rFonts w:cstheme="minorHAnsi"/>
        </w:rPr>
      </w:pPr>
      <w:r w:rsidRPr="00951F0F">
        <w:rPr>
          <w:rFonts w:cstheme="minorHAnsi"/>
        </w:rPr>
        <w:t xml:space="preserve">The IOD depends on a number of variables – emissions and the release in the stratosphere, which depends on the whole atmosphere and stratospheric lifetimes. These latter factors represent probably the largest source of uncertainty for short-lived species since they depend </w:t>
      </w:r>
      <w:r w:rsidRPr="00951F0F">
        <w:rPr>
          <w:rFonts w:cstheme="minorHAnsi"/>
          <w:i/>
        </w:rPr>
        <w:t>inter alia</w:t>
      </w:r>
      <w:r w:rsidRPr="00951F0F">
        <w:rPr>
          <w:rFonts w:cstheme="minorHAnsi"/>
        </w:rPr>
        <w:t xml:space="preserve"> on the location of the emissions, and on meteorological variability. The accumulation of reactive halogens in the stratosphere will also depend, as mentioned above, on the extent to which tropospheric degradation products of the halocarbons are themselves subsequently transported into the stratosphere</w:t>
      </w:r>
      <w:r w:rsidRPr="00951F0F">
        <w:rPr>
          <w:rFonts w:cstheme="minorHAnsi"/>
          <w:vertAlign w:val="superscript"/>
        </w:rPr>
        <w:t>2</w:t>
      </w:r>
      <w:r w:rsidR="0027502E" w:rsidRPr="00951F0F">
        <w:rPr>
          <w:rFonts w:cstheme="minorHAnsi"/>
          <w:vertAlign w:val="superscript"/>
        </w:rPr>
        <w:t>9</w:t>
      </w:r>
      <w:r w:rsidRPr="00951F0F">
        <w:rPr>
          <w:rFonts w:cstheme="minorHAnsi"/>
        </w:rPr>
        <w:t>. For brominated species, the choice of efficiency factor will also be important and will vary with time, depending on other emissions</w:t>
      </w:r>
      <w:r w:rsidRPr="00951F0F">
        <w:rPr>
          <w:rFonts w:cstheme="minorHAnsi"/>
          <w:vertAlign w:val="superscript"/>
        </w:rPr>
        <w:t>21</w:t>
      </w:r>
      <w:r w:rsidRPr="00951F0F">
        <w:rPr>
          <w:rFonts w:cstheme="minorHAnsi"/>
        </w:rPr>
        <w:t>.</w:t>
      </w:r>
    </w:p>
    <w:p w14:paraId="30766873" w14:textId="0FB4C42A" w:rsidR="00CA0363" w:rsidRPr="00951F0F" w:rsidRDefault="00CA0363" w:rsidP="00CA0363">
      <w:pPr>
        <w:spacing w:after="240" w:line="480" w:lineRule="auto"/>
        <w:jc w:val="both"/>
        <w:rPr>
          <w:rFonts w:cstheme="minorHAnsi"/>
        </w:rPr>
      </w:pPr>
      <w:r w:rsidRPr="00951F0F">
        <w:rPr>
          <w:rFonts w:cstheme="minorHAnsi"/>
        </w:rPr>
        <w:t xml:space="preserve">Calculation of the IOD using Equation </w:t>
      </w:r>
      <w:r w:rsidR="00936784" w:rsidRPr="00951F0F">
        <w:rPr>
          <w:rFonts w:cstheme="minorHAnsi"/>
        </w:rPr>
        <w:t>1</w:t>
      </w:r>
      <w:r w:rsidRPr="00951F0F">
        <w:rPr>
          <w:rFonts w:cstheme="minorHAnsi"/>
        </w:rPr>
        <w:t xml:space="preserve"> also depends, of course, on the value of </w:t>
      </w:r>
      <w:r w:rsidRPr="00951F0F">
        <w:rPr>
          <w:rFonts w:cstheme="minorHAnsi"/>
          <w:i/>
        </w:rPr>
        <w:t>K</w:t>
      </w:r>
      <w:r w:rsidRPr="00951F0F">
        <w:rPr>
          <w:rFonts w:cstheme="minorHAnsi"/>
        </w:rPr>
        <w:t xml:space="preserve"> which must be evaluated using an atmospheric model so there will inevitably be inter-model differences in its value. This study has outlined the method for deriving the IOD. A model intercomparison exercise could be used to determine the most representative value for </w:t>
      </w:r>
      <w:r w:rsidRPr="00951F0F">
        <w:rPr>
          <w:rFonts w:cstheme="minorHAnsi"/>
          <w:i/>
        </w:rPr>
        <w:t>K</w:t>
      </w:r>
      <w:r w:rsidRPr="00951F0F">
        <w:rPr>
          <w:rFonts w:cstheme="minorHAnsi"/>
        </w:rPr>
        <w:t xml:space="preserve"> and its uncertainty.</w:t>
      </w:r>
    </w:p>
    <w:p w14:paraId="4991C198" w14:textId="7FDE7198" w:rsidR="00CA0363" w:rsidRPr="00951F0F" w:rsidRDefault="00CA0363" w:rsidP="00CA0363">
      <w:pPr>
        <w:spacing w:after="240" w:line="480" w:lineRule="auto"/>
        <w:jc w:val="both"/>
        <w:rPr>
          <w:rFonts w:cstheme="minorHAnsi"/>
        </w:rPr>
      </w:pPr>
      <w:r w:rsidRPr="00951F0F">
        <w:rPr>
          <w:rFonts w:cstheme="minorHAnsi"/>
        </w:rPr>
        <w:t xml:space="preserve">Although the IOD is specifically aimed at assessing the impact of emissions of halogenated species, the evaluation of IOD within a 3D model can also be used to quantify the impact of other perturbations to the stratosphere. For example, the IOD can be used </w:t>
      </w:r>
      <w:r w:rsidR="0027502E" w:rsidRPr="00951F0F">
        <w:rPr>
          <w:rFonts w:cstheme="minorHAnsi"/>
        </w:rPr>
        <w:t xml:space="preserve">to </w:t>
      </w:r>
      <w:r w:rsidRPr="00951F0F">
        <w:rPr>
          <w:rFonts w:cstheme="minorHAnsi"/>
        </w:rPr>
        <w:t xml:space="preserve">compare the impact on ozone layer recovery of different GHG emissions scenarios that are assessed within </w:t>
      </w:r>
      <w:r w:rsidRPr="00951F0F">
        <w:rPr>
          <w:rFonts w:cstheme="minorHAnsi"/>
        </w:rPr>
        <w:lastRenderedPageBreak/>
        <w:t>CCM simulations. It would be straightforward to evaluate the IOD from standard CCM output and would give a more meaningful measure of the impact of different GHG scenarios (</w:t>
      </w:r>
      <w:proofErr w:type="gramStart"/>
      <w:r w:rsidRPr="00951F0F">
        <w:rPr>
          <w:rFonts w:cstheme="minorHAnsi"/>
        </w:rPr>
        <w:t>e.g.</w:t>
      </w:r>
      <w:proofErr w:type="gramEnd"/>
      <w:r w:rsidRPr="00951F0F">
        <w:rPr>
          <w:rFonts w:cstheme="minorHAnsi"/>
        </w:rPr>
        <w:t xml:space="preserve"> for surface UV flux) than the simple delay to a return date.</w:t>
      </w:r>
    </w:p>
    <w:p w14:paraId="77BCB86F" w14:textId="1062B928" w:rsidR="00CA0363" w:rsidRPr="00951F0F" w:rsidRDefault="00CA0363" w:rsidP="00CA0363">
      <w:pPr>
        <w:spacing w:after="240" w:line="480" w:lineRule="auto"/>
        <w:jc w:val="both"/>
        <w:rPr>
          <w:rFonts w:cstheme="minorHAnsi"/>
        </w:rPr>
      </w:pPr>
      <w:r w:rsidRPr="00951F0F">
        <w:rPr>
          <w:rFonts w:cstheme="minorHAnsi"/>
        </w:rPr>
        <w:t xml:space="preserve">We believe that the integrated ozone depletion metric in Figure 3 is a useful additional metric for both policy makers and scientists, being clearly superior in some circumstances to an assessment of the time delay in the return of ozone to a particular value. </w:t>
      </w:r>
      <w:r w:rsidRPr="00CD2E21">
        <w:rPr>
          <w:rFonts w:cstheme="minorHAnsi"/>
        </w:rPr>
        <w:t xml:space="preserve">Furthermore, for gases whose lifetimes are known it provides a simple means of assessing the particular impact, and its importance to policy objectives, of any given </w:t>
      </w:r>
      <w:r w:rsidR="00515DB7" w:rsidRPr="00CD2E21">
        <w:rPr>
          <w:rFonts w:cstheme="minorHAnsi"/>
        </w:rPr>
        <w:t xml:space="preserve">emission </w:t>
      </w:r>
      <w:r w:rsidRPr="00CD2E21">
        <w:rPr>
          <w:rFonts w:cstheme="minorHAnsi"/>
        </w:rPr>
        <w:t>scenario.</w:t>
      </w:r>
      <w:r w:rsidRPr="00951F0F">
        <w:rPr>
          <w:rFonts w:cstheme="minorHAnsi"/>
        </w:rPr>
        <w:t xml:space="preserve"> </w:t>
      </w:r>
    </w:p>
    <w:p w14:paraId="5D7AE3F1" w14:textId="77777777" w:rsidR="00CA0363" w:rsidRPr="00951F0F" w:rsidRDefault="00CA0363" w:rsidP="00CA0363">
      <w:pPr>
        <w:rPr>
          <w:rFonts w:cstheme="minorHAnsi"/>
        </w:rPr>
      </w:pPr>
      <w:r w:rsidRPr="00951F0F">
        <w:rPr>
          <w:rFonts w:cstheme="minorHAnsi"/>
        </w:rPr>
        <w:br w:type="page"/>
      </w:r>
    </w:p>
    <w:p w14:paraId="4E876E8A" w14:textId="77777777" w:rsidR="00CA0363" w:rsidRPr="00951F0F" w:rsidRDefault="00CA0363" w:rsidP="00CA0363">
      <w:pPr>
        <w:spacing w:line="480" w:lineRule="auto"/>
        <w:jc w:val="both"/>
        <w:rPr>
          <w:rFonts w:cstheme="minorHAnsi"/>
          <w:b/>
        </w:rPr>
      </w:pPr>
      <w:r w:rsidRPr="00951F0F">
        <w:rPr>
          <w:rFonts w:cstheme="minorHAnsi"/>
          <w:b/>
        </w:rPr>
        <w:lastRenderedPageBreak/>
        <w:t>References</w:t>
      </w:r>
    </w:p>
    <w:p w14:paraId="3CA883BE" w14:textId="77777777" w:rsidR="00CA0363" w:rsidRPr="00951F0F" w:rsidRDefault="00CA0363" w:rsidP="00CA0363">
      <w:pPr>
        <w:pStyle w:val="NormalWeb"/>
        <w:shd w:val="clear" w:color="auto" w:fill="FFFFFF"/>
        <w:spacing w:after="120" w:afterAutospacing="0" w:line="480" w:lineRule="auto"/>
        <w:jc w:val="both"/>
        <w:rPr>
          <w:rFonts w:asciiTheme="minorHAnsi" w:hAnsiTheme="minorHAnsi" w:cstheme="minorHAnsi"/>
        </w:rPr>
      </w:pPr>
      <w:r w:rsidRPr="00951F0F">
        <w:rPr>
          <w:rFonts w:asciiTheme="minorHAnsi" w:hAnsiTheme="minorHAnsi" w:cstheme="minorHAnsi"/>
        </w:rPr>
        <w:t xml:space="preserve">1 WMO (World Meteorological Organization), </w:t>
      </w:r>
      <w:r w:rsidRPr="00951F0F">
        <w:rPr>
          <w:rFonts w:asciiTheme="minorHAnsi" w:hAnsiTheme="minorHAnsi" w:cstheme="minorHAnsi"/>
          <w:i/>
          <w:iCs/>
        </w:rPr>
        <w:t>Scientific Assessment of Ozone Depletion: 2018</w:t>
      </w:r>
      <w:r w:rsidRPr="00951F0F">
        <w:rPr>
          <w:rFonts w:asciiTheme="minorHAnsi" w:hAnsiTheme="minorHAnsi" w:cstheme="minorHAnsi"/>
        </w:rPr>
        <w:t>, Global Ozone Research and Monitoring Project–Report No. 58, 588 pp., Geneva, Switzerland (2018).</w:t>
      </w:r>
    </w:p>
    <w:p w14:paraId="27D2E12C" w14:textId="77777777" w:rsidR="00CA0363" w:rsidRPr="00951F0F" w:rsidRDefault="00CA0363" w:rsidP="00CA0363">
      <w:pPr>
        <w:pStyle w:val="NormalWeb"/>
        <w:shd w:val="clear" w:color="auto" w:fill="FFFFFF"/>
        <w:spacing w:after="120" w:afterAutospacing="0" w:line="480" w:lineRule="auto"/>
        <w:jc w:val="both"/>
        <w:rPr>
          <w:rFonts w:asciiTheme="minorHAnsi" w:hAnsiTheme="minorHAnsi" w:cstheme="minorHAnsi"/>
        </w:rPr>
      </w:pPr>
      <w:r w:rsidRPr="00951F0F">
        <w:rPr>
          <w:rFonts w:asciiTheme="minorHAnsi" w:hAnsiTheme="minorHAnsi" w:cstheme="minorHAnsi"/>
        </w:rPr>
        <w:t xml:space="preserve">2 </w:t>
      </w:r>
      <w:proofErr w:type="spellStart"/>
      <w:r w:rsidRPr="00951F0F">
        <w:rPr>
          <w:rFonts w:asciiTheme="minorHAnsi" w:hAnsiTheme="minorHAnsi" w:cstheme="minorHAnsi"/>
        </w:rPr>
        <w:t>Wuebbles</w:t>
      </w:r>
      <w:proofErr w:type="spellEnd"/>
      <w:r w:rsidRPr="00951F0F">
        <w:rPr>
          <w:rFonts w:asciiTheme="minorHAnsi" w:hAnsiTheme="minorHAnsi" w:cstheme="minorHAnsi"/>
        </w:rPr>
        <w:t xml:space="preserve">, D.J. Chlorocarbon emission scenarios: Potential impact on stratospheric ozone, </w:t>
      </w:r>
      <w:r w:rsidRPr="00951F0F">
        <w:rPr>
          <w:rFonts w:asciiTheme="minorHAnsi" w:hAnsiTheme="minorHAnsi" w:cstheme="minorHAnsi"/>
          <w:i/>
        </w:rPr>
        <w:t xml:space="preserve">J. </w:t>
      </w:r>
      <w:proofErr w:type="spellStart"/>
      <w:r w:rsidRPr="00951F0F">
        <w:rPr>
          <w:rFonts w:asciiTheme="minorHAnsi" w:hAnsiTheme="minorHAnsi" w:cstheme="minorHAnsi"/>
          <w:i/>
        </w:rPr>
        <w:t>Geophys</w:t>
      </w:r>
      <w:proofErr w:type="spellEnd"/>
      <w:r w:rsidRPr="00951F0F">
        <w:rPr>
          <w:rFonts w:asciiTheme="minorHAnsi" w:hAnsiTheme="minorHAnsi" w:cstheme="minorHAnsi"/>
          <w:i/>
        </w:rPr>
        <w:t>. Res</w:t>
      </w:r>
      <w:r w:rsidRPr="00951F0F">
        <w:rPr>
          <w:rFonts w:asciiTheme="minorHAnsi" w:hAnsiTheme="minorHAnsi" w:cstheme="minorHAnsi"/>
        </w:rPr>
        <w:t xml:space="preserve">., </w:t>
      </w:r>
      <w:r w:rsidRPr="00951F0F">
        <w:rPr>
          <w:rFonts w:asciiTheme="minorHAnsi" w:hAnsiTheme="minorHAnsi" w:cstheme="minorHAnsi"/>
          <w:b/>
        </w:rPr>
        <w:t>88</w:t>
      </w:r>
      <w:r w:rsidRPr="00951F0F">
        <w:rPr>
          <w:rFonts w:asciiTheme="minorHAnsi" w:hAnsiTheme="minorHAnsi" w:cstheme="minorHAnsi"/>
        </w:rPr>
        <w:t>, 1433, (1983).</w:t>
      </w:r>
    </w:p>
    <w:p w14:paraId="601523F5" w14:textId="77777777" w:rsidR="00CA0363" w:rsidRPr="00951F0F" w:rsidRDefault="00CA0363" w:rsidP="00CA0363">
      <w:pPr>
        <w:spacing w:after="120" w:line="480" w:lineRule="auto"/>
        <w:jc w:val="both"/>
        <w:rPr>
          <w:rFonts w:cstheme="minorHAnsi"/>
        </w:rPr>
      </w:pPr>
      <w:r w:rsidRPr="00951F0F">
        <w:rPr>
          <w:rFonts w:cstheme="minorHAnsi"/>
        </w:rPr>
        <w:t xml:space="preserve">3 Solomon, S. &amp; Albritton, D.L., Time-dependent ozone depletion potentials for short- and long-term forecasts, </w:t>
      </w:r>
      <w:r w:rsidRPr="00951F0F">
        <w:rPr>
          <w:rFonts w:cstheme="minorHAnsi"/>
          <w:i/>
        </w:rPr>
        <w:t>Nature</w:t>
      </w:r>
      <w:r w:rsidRPr="00951F0F">
        <w:rPr>
          <w:rFonts w:cstheme="minorHAnsi"/>
        </w:rPr>
        <w:t xml:space="preserve">, </w:t>
      </w:r>
      <w:r w:rsidRPr="00951F0F">
        <w:rPr>
          <w:rFonts w:cstheme="minorHAnsi"/>
          <w:b/>
        </w:rPr>
        <w:t>357</w:t>
      </w:r>
      <w:r w:rsidRPr="00951F0F">
        <w:rPr>
          <w:rFonts w:cstheme="minorHAnsi"/>
        </w:rPr>
        <w:t>, 33-37 (1992).</w:t>
      </w:r>
    </w:p>
    <w:p w14:paraId="26115914" w14:textId="77777777" w:rsidR="00CA0363" w:rsidRPr="00951F0F" w:rsidRDefault="00CA0363" w:rsidP="00CA0363">
      <w:pPr>
        <w:spacing w:before="100" w:beforeAutospacing="1" w:after="120" w:line="480" w:lineRule="auto"/>
        <w:jc w:val="both"/>
        <w:rPr>
          <w:rFonts w:eastAsia="Times New Roman" w:cstheme="minorHAnsi"/>
        </w:rPr>
      </w:pPr>
      <w:r w:rsidRPr="00951F0F">
        <w:rPr>
          <w:rFonts w:eastAsia="Times New Roman" w:cstheme="minorHAnsi"/>
        </w:rPr>
        <w:t xml:space="preserve">4 Solomon, S., Mills, M., Heidt, L. E., Pollock. W. H. &amp; Tuck A. F. On the evaluation of ozone depletion potentials, </w:t>
      </w:r>
      <w:r w:rsidRPr="00951F0F">
        <w:rPr>
          <w:rFonts w:eastAsia="Times New Roman" w:cstheme="minorHAnsi"/>
          <w:i/>
          <w:iCs/>
        </w:rPr>
        <w:t xml:space="preserve">J </w:t>
      </w:r>
      <w:proofErr w:type="spellStart"/>
      <w:r w:rsidRPr="00951F0F">
        <w:rPr>
          <w:rFonts w:eastAsia="Times New Roman" w:cstheme="minorHAnsi"/>
          <w:i/>
          <w:iCs/>
        </w:rPr>
        <w:t>Geophys</w:t>
      </w:r>
      <w:proofErr w:type="spellEnd"/>
      <w:r w:rsidRPr="00951F0F">
        <w:rPr>
          <w:rFonts w:eastAsia="Times New Roman" w:cstheme="minorHAnsi"/>
          <w:i/>
          <w:iCs/>
        </w:rPr>
        <w:t xml:space="preserve">. Res., </w:t>
      </w:r>
      <w:r w:rsidRPr="00951F0F">
        <w:rPr>
          <w:rFonts w:eastAsia="Times New Roman" w:cstheme="minorHAnsi"/>
          <w:b/>
        </w:rPr>
        <w:t>97</w:t>
      </w:r>
      <w:r w:rsidRPr="00951F0F">
        <w:rPr>
          <w:rFonts w:eastAsia="Times New Roman" w:cstheme="minorHAnsi"/>
        </w:rPr>
        <w:t>, 825-842 (1992).</w:t>
      </w:r>
    </w:p>
    <w:p w14:paraId="02931D66" w14:textId="77777777" w:rsidR="00CA0363" w:rsidRPr="00951F0F" w:rsidRDefault="00CA0363" w:rsidP="00CA0363">
      <w:pPr>
        <w:pStyle w:val="CommentText"/>
        <w:spacing w:after="120" w:line="480" w:lineRule="auto"/>
        <w:rPr>
          <w:rFonts w:cstheme="minorHAnsi"/>
          <w:sz w:val="24"/>
          <w:szCs w:val="24"/>
        </w:rPr>
      </w:pPr>
      <w:r w:rsidRPr="00951F0F">
        <w:rPr>
          <w:rFonts w:cstheme="minorHAnsi"/>
          <w:sz w:val="24"/>
          <w:szCs w:val="24"/>
        </w:rPr>
        <w:t xml:space="preserve">5 </w:t>
      </w:r>
      <w:proofErr w:type="spellStart"/>
      <w:r w:rsidRPr="00951F0F">
        <w:rPr>
          <w:rFonts w:cstheme="minorHAnsi"/>
          <w:sz w:val="24"/>
          <w:szCs w:val="24"/>
        </w:rPr>
        <w:t>Newchurch</w:t>
      </w:r>
      <w:proofErr w:type="spellEnd"/>
      <w:r w:rsidRPr="00951F0F">
        <w:rPr>
          <w:rFonts w:cstheme="minorHAnsi"/>
          <w:sz w:val="24"/>
          <w:szCs w:val="24"/>
        </w:rPr>
        <w:t xml:space="preserve">, M. J. </w:t>
      </w:r>
      <w:r w:rsidRPr="00951F0F">
        <w:rPr>
          <w:rFonts w:cstheme="minorHAnsi"/>
          <w:i/>
          <w:iCs/>
          <w:sz w:val="24"/>
          <w:szCs w:val="24"/>
        </w:rPr>
        <w:t xml:space="preserve">et al. </w:t>
      </w:r>
      <w:r w:rsidRPr="00951F0F">
        <w:rPr>
          <w:rFonts w:cstheme="minorHAnsi"/>
          <w:sz w:val="24"/>
          <w:szCs w:val="24"/>
        </w:rPr>
        <w:t xml:space="preserve">Evidence for slowdown in stratospheric ozone loss: First stage 643 of ozone recovery. </w:t>
      </w:r>
      <w:r w:rsidRPr="00951F0F">
        <w:rPr>
          <w:rFonts w:cstheme="minorHAnsi"/>
          <w:i/>
          <w:iCs/>
          <w:sz w:val="24"/>
          <w:szCs w:val="24"/>
        </w:rPr>
        <w:t xml:space="preserve">J. </w:t>
      </w:r>
      <w:proofErr w:type="spellStart"/>
      <w:r w:rsidRPr="00951F0F">
        <w:rPr>
          <w:rFonts w:cstheme="minorHAnsi"/>
          <w:i/>
          <w:iCs/>
          <w:sz w:val="24"/>
          <w:szCs w:val="24"/>
        </w:rPr>
        <w:t>Geophys</w:t>
      </w:r>
      <w:proofErr w:type="spellEnd"/>
      <w:r w:rsidRPr="00951F0F">
        <w:rPr>
          <w:rFonts w:cstheme="minorHAnsi"/>
          <w:i/>
          <w:iCs/>
          <w:sz w:val="24"/>
          <w:szCs w:val="24"/>
        </w:rPr>
        <w:t xml:space="preserve">. Res. </w:t>
      </w:r>
      <w:r w:rsidRPr="00951F0F">
        <w:rPr>
          <w:rFonts w:cstheme="minorHAnsi"/>
          <w:b/>
          <w:bCs/>
          <w:sz w:val="24"/>
          <w:szCs w:val="24"/>
        </w:rPr>
        <w:t>108</w:t>
      </w:r>
      <w:r w:rsidRPr="00951F0F">
        <w:rPr>
          <w:rFonts w:cstheme="minorHAnsi"/>
          <w:sz w:val="24"/>
          <w:szCs w:val="24"/>
        </w:rPr>
        <w:t>, 4507 (2003).</w:t>
      </w:r>
    </w:p>
    <w:p w14:paraId="60DB9052" w14:textId="77777777" w:rsidR="00CA0363" w:rsidRPr="00951F0F" w:rsidRDefault="00CA0363" w:rsidP="00CA0363">
      <w:pPr>
        <w:pStyle w:val="CommentText"/>
        <w:spacing w:after="120" w:line="480" w:lineRule="auto"/>
        <w:rPr>
          <w:rFonts w:cstheme="minorHAnsi"/>
          <w:sz w:val="24"/>
          <w:szCs w:val="24"/>
        </w:rPr>
      </w:pPr>
      <w:r w:rsidRPr="00951F0F">
        <w:rPr>
          <w:rFonts w:cstheme="minorHAnsi"/>
          <w:sz w:val="24"/>
          <w:szCs w:val="24"/>
        </w:rPr>
        <w:t xml:space="preserve">6 Yang, E.-S. </w:t>
      </w:r>
      <w:r w:rsidRPr="00951F0F">
        <w:rPr>
          <w:rFonts w:cstheme="minorHAnsi"/>
          <w:i/>
          <w:iCs/>
          <w:sz w:val="24"/>
          <w:szCs w:val="24"/>
        </w:rPr>
        <w:t xml:space="preserve">et al. </w:t>
      </w:r>
      <w:r w:rsidRPr="00951F0F">
        <w:rPr>
          <w:rFonts w:cstheme="minorHAnsi"/>
          <w:sz w:val="24"/>
          <w:szCs w:val="24"/>
        </w:rPr>
        <w:t xml:space="preserve">First stage of Antarctic ozone recovery. </w:t>
      </w:r>
      <w:r w:rsidRPr="00951F0F">
        <w:rPr>
          <w:rFonts w:cstheme="minorHAnsi"/>
          <w:i/>
          <w:iCs/>
          <w:sz w:val="24"/>
          <w:szCs w:val="24"/>
        </w:rPr>
        <w:t xml:space="preserve">J. </w:t>
      </w:r>
      <w:proofErr w:type="spellStart"/>
      <w:r w:rsidRPr="00951F0F">
        <w:rPr>
          <w:rFonts w:cstheme="minorHAnsi"/>
          <w:i/>
          <w:iCs/>
          <w:sz w:val="24"/>
          <w:szCs w:val="24"/>
        </w:rPr>
        <w:t>Geophys</w:t>
      </w:r>
      <w:proofErr w:type="spellEnd"/>
      <w:r w:rsidRPr="00951F0F">
        <w:rPr>
          <w:rFonts w:cstheme="minorHAnsi"/>
          <w:i/>
          <w:iCs/>
          <w:sz w:val="24"/>
          <w:szCs w:val="24"/>
        </w:rPr>
        <w:t xml:space="preserve">. Res. </w:t>
      </w:r>
      <w:r w:rsidRPr="00951F0F">
        <w:rPr>
          <w:rFonts w:cstheme="minorHAnsi"/>
          <w:b/>
          <w:bCs/>
          <w:sz w:val="24"/>
          <w:szCs w:val="24"/>
        </w:rPr>
        <w:t>113</w:t>
      </w:r>
      <w:r w:rsidRPr="00951F0F">
        <w:rPr>
          <w:rFonts w:cstheme="minorHAnsi"/>
          <w:sz w:val="24"/>
          <w:szCs w:val="24"/>
        </w:rPr>
        <w:t>, D20308 (2008).</w:t>
      </w:r>
    </w:p>
    <w:p w14:paraId="623C7175" w14:textId="77777777" w:rsidR="00CA0363" w:rsidRPr="00951F0F" w:rsidRDefault="00CA0363" w:rsidP="00CA0363">
      <w:pPr>
        <w:shd w:val="clear" w:color="auto" w:fill="FFFFFF"/>
        <w:spacing w:after="120" w:line="480" w:lineRule="auto"/>
        <w:jc w:val="both"/>
        <w:rPr>
          <w:rFonts w:eastAsia="Times New Roman" w:cstheme="minorHAnsi"/>
          <w:lang w:eastAsia="en-GB"/>
        </w:rPr>
      </w:pPr>
      <w:r w:rsidRPr="00951F0F">
        <w:rPr>
          <w:rFonts w:cstheme="minorHAnsi"/>
        </w:rPr>
        <w:t>7</w:t>
      </w:r>
      <w:r w:rsidRPr="00951F0F">
        <w:rPr>
          <w:rFonts w:eastAsia="Times New Roman" w:cstheme="minorHAnsi"/>
          <w:lang w:eastAsia="en-GB"/>
        </w:rPr>
        <w:t xml:space="preserve"> Solomon, S. et al. Emergence of healing in the Antarctic ozone layer, </w:t>
      </w:r>
      <w:r w:rsidRPr="00951F0F">
        <w:rPr>
          <w:rFonts w:eastAsia="Times New Roman" w:cstheme="minorHAnsi"/>
          <w:i/>
          <w:lang w:eastAsia="en-GB"/>
        </w:rPr>
        <w:t>Science</w:t>
      </w:r>
      <w:r w:rsidRPr="00951F0F">
        <w:rPr>
          <w:rFonts w:eastAsia="Times New Roman" w:cstheme="minorHAnsi"/>
          <w:lang w:eastAsia="en-GB"/>
        </w:rPr>
        <w:t xml:space="preserve">, </w:t>
      </w:r>
      <w:r w:rsidRPr="00951F0F">
        <w:rPr>
          <w:rFonts w:eastAsia="Times New Roman" w:cstheme="minorHAnsi"/>
          <w:b/>
          <w:lang w:eastAsia="en-GB"/>
        </w:rPr>
        <w:t>353</w:t>
      </w:r>
      <w:r w:rsidRPr="00951F0F">
        <w:rPr>
          <w:rFonts w:eastAsia="Times New Roman" w:cstheme="minorHAnsi"/>
          <w:lang w:eastAsia="en-GB"/>
        </w:rPr>
        <w:t>, 269–274, https://doi.org/10.1126/science.aae0061, (2016).</w:t>
      </w:r>
    </w:p>
    <w:p w14:paraId="43D973EA" w14:textId="2A5C064E" w:rsidR="00CA0363" w:rsidRPr="00951F0F" w:rsidRDefault="00CA0363" w:rsidP="00CA0363">
      <w:pPr>
        <w:spacing w:after="120" w:line="480" w:lineRule="auto"/>
        <w:rPr>
          <w:rFonts w:eastAsia="Times New Roman" w:cstheme="minorHAnsi"/>
          <w:color w:val="000000" w:themeColor="text1"/>
          <w:shd w:val="clear" w:color="auto" w:fill="FFFFFF"/>
        </w:rPr>
      </w:pPr>
      <w:r w:rsidRPr="00951F0F">
        <w:rPr>
          <w:rFonts w:cstheme="minorHAnsi"/>
          <w:color w:val="000000" w:themeColor="text1"/>
        </w:rPr>
        <w:t xml:space="preserve">8 </w:t>
      </w:r>
      <w:r w:rsidRPr="00951F0F">
        <w:rPr>
          <w:rFonts w:eastAsia="Times New Roman" w:cstheme="minorHAnsi"/>
          <w:color w:val="000000" w:themeColor="text1"/>
          <w:shd w:val="clear" w:color="auto" w:fill="FFFFFF"/>
        </w:rPr>
        <w:t xml:space="preserve">Weber, M. et al. Total ozone trends from 1979 to 2016 derived from five merged observational datasets—the emergence into ozone recovery. </w:t>
      </w:r>
      <w:r w:rsidRPr="00951F0F">
        <w:rPr>
          <w:rFonts w:eastAsia="Times New Roman" w:cstheme="minorHAnsi"/>
          <w:i/>
          <w:iCs/>
          <w:color w:val="000000" w:themeColor="text1"/>
        </w:rPr>
        <w:t>Atmos. Chem. Phys.,</w:t>
      </w:r>
      <w:r w:rsidR="00936784" w:rsidRPr="00951F0F">
        <w:rPr>
          <w:rFonts w:eastAsia="Times New Roman" w:cstheme="minorHAnsi"/>
          <w:i/>
          <w:iCs/>
          <w:color w:val="000000" w:themeColor="text1"/>
        </w:rPr>
        <w:t xml:space="preserve"> </w:t>
      </w:r>
      <w:r w:rsidRPr="00951F0F">
        <w:rPr>
          <w:rFonts w:eastAsia="Times New Roman" w:cstheme="minorHAnsi"/>
          <w:b/>
          <w:bCs/>
          <w:color w:val="000000" w:themeColor="text1"/>
        </w:rPr>
        <w:t>18</w:t>
      </w:r>
      <w:r w:rsidRPr="00951F0F">
        <w:rPr>
          <w:rFonts w:eastAsia="Times New Roman" w:cstheme="minorHAnsi"/>
          <w:color w:val="000000" w:themeColor="text1"/>
          <w:shd w:val="clear" w:color="auto" w:fill="FFFFFF"/>
        </w:rPr>
        <w:t>, 2097–2117 (2018).</w:t>
      </w:r>
    </w:p>
    <w:p w14:paraId="0840ACC1" w14:textId="77777777" w:rsidR="00CA0363" w:rsidRPr="00951F0F" w:rsidRDefault="00CA0363" w:rsidP="00CA0363">
      <w:pPr>
        <w:shd w:val="clear" w:color="auto" w:fill="FFFFFF"/>
        <w:spacing w:after="120" w:line="480" w:lineRule="auto"/>
        <w:jc w:val="both"/>
        <w:rPr>
          <w:rFonts w:eastAsia="Times New Roman" w:cstheme="minorHAnsi"/>
          <w:lang w:eastAsia="en-GB"/>
        </w:rPr>
      </w:pPr>
      <w:r w:rsidRPr="00951F0F">
        <w:rPr>
          <w:rFonts w:cstheme="minorHAnsi"/>
        </w:rPr>
        <w:lastRenderedPageBreak/>
        <w:t>9</w:t>
      </w:r>
      <w:r w:rsidRPr="00951F0F">
        <w:rPr>
          <w:rFonts w:eastAsia="Times New Roman" w:cstheme="minorHAnsi"/>
          <w:lang w:eastAsia="en-GB"/>
        </w:rPr>
        <w:t xml:space="preserve"> LOTUS: SPARC/IO3C/GAW report on Long-term Ozone Trends and Uncertainties in the Stratosphere, edited by: </w:t>
      </w:r>
      <w:proofErr w:type="spellStart"/>
      <w:r w:rsidRPr="00951F0F">
        <w:rPr>
          <w:rFonts w:eastAsia="Times New Roman" w:cstheme="minorHAnsi"/>
          <w:lang w:eastAsia="en-GB"/>
        </w:rPr>
        <w:t>Petropavlovskikh</w:t>
      </w:r>
      <w:proofErr w:type="spellEnd"/>
      <w:r w:rsidRPr="00951F0F">
        <w:rPr>
          <w:rFonts w:eastAsia="Times New Roman" w:cstheme="minorHAnsi"/>
          <w:lang w:eastAsia="en-GB"/>
        </w:rPr>
        <w:t xml:space="preserve">, I. et al., SPARC Report No. 9, WCRP-17/2018, GAW Report No. 241, </w:t>
      </w:r>
      <w:hyperlink r:id="rId7" w:history="1">
        <w:r w:rsidRPr="00951F0F">
          <w:rPr>
            <w:rFonts w:eastAsia="Times New Roman" w:cstheme="minorHAnsi"/>
            <w:lang w:eastAsia="en-GB"/>
          </w:rPr>
          <w:t>https://doi.org/10.17874/f899e57a20b</w:t>
        </w:r>
      </w:hyperlink>
      <w:r w:rsidRPr="00951F0F">
        <w:rPr>
          <w:rFonts w:eastAsia="Times New Roman" w:cstheme="minorHAnsi"/>
          <w:lang w:eastAsia="en-GB"/>
        </w:rPr>
        <w:t>, (2019).</w:t>
      </w:r>
    </w:p>
    <w:p w14:paraId="34302C4D" w14:textId="77777777" w:rsidR="00CA0363" w:rsidRPr="00951F0F" w:rsidRDefault="00CA0363" w:rsidP="00CA0363">
      <w:pPr>
        <w:pStyle w:val="NormalWeb"/>
        <w:spacing w:after="120" w:afterAutospacing="0" w:line="480" w:lineRule="auto"/>
        <w:jc w:val="both"/>
        <w:rPr>
          <w:rFonts w:asciiTheme="minorHAnsi" w:hAnsiTheme="minorHAnsi" w:cstheme="minorHAnsi"/>
        </w:rPr>
      </w:pPr>
      <w:r w:rsidRPr="00951F0F">
        <w:rPr>
          <w:rFonts w:asciiTheme="minorHAnsi" w:hAnsiTheme="minorHAnsi" w:cstheme="minorHAnsi"/>
        </w:rPr>
        <w:t xml:space="preserve">10 </w:t>
      </w:r>
      <w:proofErr w:type="spellStart"/>
      <w:r w:rsidRPr="00951F0F">
        <w:rPr>
          <w:rFonts w:asciiTheme="minorHAnsi" w:hAnsiTheme="minorHAnsi" w:cstheme="minorHAnsi"/>
        </w:rPr>
        <w:t>Montzka</w:t>
      </w:r>
      <w:proofErr w:type="spellEnd"/>
      <w:r w:rsidRPr="00951F0F">
        <w:rPr>
          <w:rFonts w:asciiTheme="minorHAnsi" w:hAnsiTheme="minorHAnsi" w:cstheme="minorHAnsi"/>
        </w:rPr>
        <w:t xml:space="preserve">, S. A. et al. An unexpected and persistent increase in global emissions of ozone-depleting CFC-11. </w:t>
      </w:r>
      <w:r w:rsidRPr="00951F0F">
        <w:rPr>
          <w:rFonts w:asciiTheme="minorHAnsi" w:hAnsiTheme="minorHAnsi" w:cstheme="minorHAnsi"/>
          <w:i/>
          <w:iCs/>
        </w:rPr>
        <w:t xml:space="preserve">Nature </w:t>
      </w:r>
      <w:r w:rsidRPr="00951F0F">
        <w:rPr>
          <w:rFonts w:asciiTheme="minorHAnsi" w:hAnsiTheme="minorHAnsi" w:cstheme="minorHAnsi"/>
          <w:b/>
          <w:bCs/>
        </w:rPr>
        <w:t>557</w:t>
      </w:r>
      <w:r w:rsidRPr="00951F0F">
        <w:rPr>
          <w:rFonts w:asciiTheme="minorHAnsi" w:hAnsiTheme="minorHAnsi" w:cstheme="minorHAnsi"/>
        </w:rPr>
        <w:t>, 413–417 (2018).</w:t>
      </w:r>
    </w:p>
    <w:p w14:paraId="372044B0" w14:textId="77777777" w:rsidR="00CA0363" w:rsidRPr="00951F0F" w:rsidRDefault="00CA0363" w:rsidP="00CA0363">
      <w:pPr>
        <w:pStyle w:val="NormalWeb"/>
        <w:spacing w:after="120" w:afterAutospacing="0" w:line="480" w:lineRule="auto"/>
        <w:jc w:val="both"/>
        <w:rPr>
          <w:rFonts w:asciiTheme="minorHAnsi" w:hAnsiTheme="minorHAnsi" w:cstheme="minorHAnsi"/>
        </w:rPr>
      </w:pPr>
      <w:r w:rsidRPr="00951F0F">
        <w:rPr>
          <w:rFonts w:asciiTheme="minorHAnsi" w:hAnsiTheme="minorHAnsi" w:cstheme="minorHAnsi"/>
        </w:rPr>
        <w:t xml:space="preserve">11 Rigby, M. et al. Increase in CFC-11 emissions from eastern China based on atmospheric observations. </w:t>
      </w:r>
      <w:r w:rsidRPr="00951F0F">
        <w:rPr>
          <w:rFonts w:asciiTheme="minorHAnsi" w:hAnsiTheme="minorHAnsi" w:cstheme="minorHAnsi"/>
          <w:i/>
          <w:iCs/>
        </w:rPr>
        <w:t xml:space="preserve">Nature </w:t>
      </w:r>
      <w:r w:rsidRPr="00951F0F">
        <w:rPr>
          <w:rFonts w:asciiTheme="minorHAnsi" w:hAnsiTheme="minorHAnsi" w:cstheme="minorHAnsi"/>
          <w:b/>
          <w:bCs/>
        </w:rPr>
        <w:t>569</w:t>
      </w:r>
      <w:r w:rsidRPr="00951F0F">
        <w:rPr>
          <w:rFonts w:asciiTheme="minorHAnsi" w:hAnsiTheme="minorHAnsi" w:cstheme="minorHAnsi"/>
        </w:rPr>
        <w:t>, 546–550 (2019).</w:t>
      </w:r>
    </w:p>
    <w:p w14:paraId="6BF7EF0C" w14:textId="325AE1C2" w:rsidR="00CA0363" w:rsidRPr="00951F0F" w:rsidRDefault="00CA0363" w:rsidP="00CA0363">
      <w:pPr>
        <w:pStyle w:val="NormalWeb"/>
        <w:spacing w:after="120" w:afterAutospacing="0" w:line="480" w:lineRule="auto"/>
        <w:jc w:val="both"/>
        <w:rPr>
          <w:rFonts w:asciiTheme="minorHAnsi" w:hAnsiTheme="minorHAnsi" w:cstheme="minorHAnsi"/>
        </w:rPr>
      </w:pPr>
      <w:r w:rsidRPr="00951F0F">
        <w:rPr>
          <w:rFonts w:asciiTheme="minorHAnsi" w:hAnsiTheme="minorHAnsi" w:cstheme="minorHAnsi"/>
        </w:rPr>
        <w:t xml:space="preserve">12 </w:t>
      </w:r>
      <w:proofErr w:type="spellStart"/>
      <w:r w:rsidRPr="00951F0F">
        <w:rPr>
          <w:rFonts w:asciiTheme="minorHAnsi" w:hAnsiTheme="minorHAnsi" w:cstheme="minorHAnsi"/>
        </w:rPr>
        <w:t>Hossaini</w:t>
      </w:r>
      <w:proofErr w:type="spellEnd"/>
      <w:r w:rsidRPr="00951F0F">
        <w:rPr>
          <w:rFonts w:asciiTheme="minorHAnsi" w:hAnsiTheme="minorHAnsi" w:cstheme="minorHAnsi"/>
        </w:rPr>
        <w:t xml:space="preserve">, R. et al. The increasing threat to stratospheric ozone from dichloromethane. </w:t>
      </w:r>
      <w:r w:rsidRPr="00951F0F">
        <w:rPr>
          <w:rFonts w:asciiTheme="minorHAnsi" w:hAnsiTheme="minorHAnsi" w:cstheme="minorHAnsi"/>
          <w:i/>
          <w:iCs/>
        </w:rPr>
        <w:t xml:space="preserve">Nat. </w:t>
      </w:r>
      <w:proofErr w:type="spellStart"/>
      <w:r w:rsidRPr="00951F0F">
        <w:rPr>
          <w:rFonts w:asciiTheme="minorHAnsi" w:hAnsiTheme="minorHAnsi" w:cstheme="minorHAnsi"/>
          <w:i/>
          <w:iCs/>
        </w:rPr>
        <w:t>Commun</w:t>
      </w:r>
      <w:proofErr w:type="spellEnd"/>
      <w:r w:rsidRPr="00951F0F">
        <w:rPr>
          <w:rFonts w:asciiTheme="minorHAnsi" w:hAnsiTheme="minorHAnsi" w:cstheme="minorHAnsi"/>
          <w:i/>
          <w:iCs/>
        </w:rPr>
        <w:t xml:space="preserve">. </w:t>
      </w:r>
      <w:r w:rsidRPr="00951F0F">
        <w:rPr>
          <w:rFonts w:asciiTheme="minorHAnsi" w:hAnsiTheme="minorHAnsi" w:cstheme="minorHAnsi"/>
          <w:b/>
          <w:bCs/>
        </w:rPr>
        <w:t>8</w:t>
      </w:r>
      <w:r w:rsidRPr="00951F0F">
        <w:rPr>
          <w:rFonts w:asciiTheme="minorHAnsi" w:hAnsiTheme="minorHAnsi" w:cstheme="minorHAnsi"/>
        </w:rPr>
        <w:t>, 15962 (2017).</w:t>
      </w:r>
    </w:p>
    <w:p w14:paraId="219A9AC5" w14:textId="72FECCF5" w:rsidR="00CA0363" w:rsidRPr="00951F0F" w:rsidRDefault="00CA0363" w:rsidP="00CA0363">
      <w:pPr>
        <w:pStyle w:val="NormalWeb"/>
        <w:spacing w:after="120" w:afterAutospacing="0" w:line="480" w:lineRule="auto"/>
        <w:jc w:val="both"/>
        <w:rPr>
          <w:rFonts w:asciiTheme="minorHAnsi" w:hAnsiTheme="minorHAnsi" w:cstheme="minorHAnsi"/>
        </w:rPr>
      </w:pPr>
      <w:r w:rsidRPr="00951F0F">
        <w:rPr>
          <w:rFonts w:asciiTheme="minorHAnsi" w:hAnsiTheme="minorHAnsi" w:cstheme="minorHAnsi"/>
        </w:rPr>
        <w:t xml:space="preserve">13 Fang, X. et al. Rapid increase in ozone-depleting chloroform emissions from China. </w:t>
      </w:r>
      <w:r w:rsidRPr="00951F0F">
        <w:rPr>
          <w:rFonts w:asciiTheme="minorHAnsi" w:hAnsiTheme="minorHAnsi" w:cstheme="minorHAnsi"/>
          <w:i/>
          <w:iCs/>
        </w:rPr>
        <w:t xml:space="preserve">Nat. </w:t>
      </w:r>
      <w:proofErr w:type="spellStart"/>
      <w:r w:rsidRPr="00951F0F">
        <w:rPr>
          <w:rFonts w:asciiTheme="minorHAnsi" w:hAnsiTheme="minorHAnsi" w:cstheme="minorHAnsi"/>
          <w:i/>
          <w:iCs/>
        </w:rPr>
        <w:t>Geosci</w:t>
      </w:r>
      <w:proofErr w:type="spellEnd"/>
      <w:r w:rsidRPr="00951F0F">
        <w:rPr>
          <w:rFonts w:asciiTheme="minorHAnsi" w:hAnsiTheme="minorHAnsi" w:cstheme="minorHAnsi"/>
          <w:i/>
          <w:iCs/>
        </w:rPr>
        <w:t xml:space="preserve">. </w:t>
      </w:r>
      <w:r w:rsidRPr="00951F0F">
        <w:rPr>
          <w:rFonts w:asciiTheme="minorHAnsi" w:hAnsiTheme="minorHAnsi" w:cstheme="minorHAnsi"/>
          <w:b/>
          <w:bCs/>
        </w:rPr>
        <w:t>12</w:t>
      </w:r>
      <w:r w:rsidRPr="00951F0F">
        <w:rPr>
          <w:rFonts w:asciiTheme="minorHAnsi" w:hAnsiTheme="minorHAnsi" w:cstheme="minorHAnsi"/>
        </w:rPr>
        <w:t>, 89–93 (2019).</w:t>
      </w:r>
    </w:p>
    <w:p w14:paraId="43303156" w14:textId="77777777" w:rsidR="00CA0363" w:rsidRPr="00951F0F" w:rsidRDefault="00CA0363" w:rsidP="00CA0363">
      <w:pPr>
        <w:shd w:val="clear" w:color="auto" w:fill="FFFFFF"/>
        <w:spacing w:after="120" w:line="480" w:lineRule="auto"/>
        <w:jc w:val="both"/>
        <w:rPr>
          <w:rFonts w:eastAsia="Times New Roman" w:cstheme="minorHAnsi"/>
          <w:lang w:eastAsia="en-GB"/>
        </w:rPr>
      </w:pPr>
      <w:r w:rsidRPr="00951F0F">
        <w:rPr>
          <w:rFonts w:cstheme="minorHAnsi"/>
        </w:rPr>
        <w:t xml:space="preserve">14 </w:t>
      </w:r>
      <w:r w:rsidRPr="00951F0F">
        <w:rPr>
          <w:rFonts w:eastAsia="Times New Roman" w:cstheme="minorHAnsi"/>
          <w:lang w:eastAsia="en-GB"/>
        </w:rPr>
        <w:t>World Meteorological Organization (WMO): Scientific Assessment of Ozone Depletion: 2006, Global Ozone Research and Monitoring Project, Report No. 50, Geneva, Switzerland, (2007).</w:t>
      </w:r>
    </w:p>
    <w:p w14:paraId="2AE18BCE" w14:textId="77777777" w:rsidR="00CA0363" w:rsidRPr="00951F0F" w:rsidRDefault="00CA0363" w:rsidP="008E3AD7">
      <w:pPr>
        <w:pStyle w:val="NormalWeb"/>
        <w:spacing w:before="0" w:beforeAutospacing="0" w:after="120" w:afterAutospacing="0" w:line="480" w:lineRule="auto"/>
        <w:jc w:val="both"/>
        <w:rPr>
          <w:rFonts w:asciiTheme="minorHAnsi" w:hAnsiTheme="minorHAnsi" w:cstheme="minorHAnsi"/>
        </w:rPr>
      </w:pPr>
      <w:r w:rsidRPr="00951F0F">
        <w:rPr>
          <w:rFonts w:asciiTheme="minorHAnsi" w:hAnsiTheme="minorHAnsi" w:cstheme="minorHAnsi"/>
        </w:rPr>
        <w:t>15</w:t>
      </w:r>
      <w:r w:rsidRPr="00951F0F">
        <w:rPr>
          <w:rFonts w:asciiTheme="minorHAnsi" w:hAnsiTheme="minorHAnsi" w:cstheme="minorHAnsi"/>
          <w:lang w:eastAsia="en-GB"/>
        </w:rPr>
        <w:t xml:space="preserve"> Chipperfield, M. P. et al., Detecting recovery of the stratospheric ozone layer, </w:t>
      </w:r>
      <w:r w:rsidRPr="00951F0F">
        <w:rPr>
          <w:rFonts w:asciiTheme="minorHAnsi" w:hAnsiTheme="minorHAnsi" w:cstheme="minorHAnsi"/>
          <w:i/>
          <w:lang w:eastAsia="en-GB"/>
        </w:rPr>
        <w:t>Nature</w:t>
      </w:r>
      <w:r w:rsidRPr="00951F0F">
        <w:rPr>
          <w:rFonts w:asciiTheme="minorHAnsi" w:hAnsiTheme="minorHAnsi" w:cstheme="minorHAnsi"/>
          <w:lang w:eastAsia="en-GB"/>
        </w:rPr>
        <w:t xml:space="preserve">, </w:t>
      </w:r>
      <w:r w:rsidRPr="00951F0F">
        <w:rPr>
          <w:rFonts w:asciiTheme="minorHAnsi" w:hAnsiTheme="minorHAnsi" w:cstheme="minorHAnsi"/>
          <w:b/>
          <w:lang w:eastAsia="en-GB"/>
        </w:rPr>
        <w:t>549</w:t>
      </w:r>
      <w:r w:rsidRPr="00951F0F">
        <w:rPr>
          <w:rFonts w:asciiTheme="minorHAnsi" w:hAnsiTheme="minorHAnsi" w:cstheme="minorHAnsi"/>
          <w:lang w:eastAsia="en-GB"/>
        </w:rPr>
        <w:t xml:space="preserve">, 211–218, </w:t>
      </w:r>
      <w:hyperlink r:id="rId8" w:history="1">
        <w:r w:rsidRPr="00951F0F">
          <w:rPr>
            <w:rFonts w:asciiTheme="minorHAnsi" w:hAnsiTheme="minorHAnsi" w:cstheme="minorHAnsi"/>
            <w:lang w:eastAsia="en-GB"/>
          </w:rPr>
          <w:t>https://doi.org/10.1038/nature23681</w:t>
        </w:r>
      </w:hyperlink>
      <w:r w:rsidRPr="00951F0F">
        <w:rPr>
          <w:rFonts w:asciiTheme="minorHAnsi" w:hAnsiTheme="minorHAnsi" w:cstheme="minorHAnsi"/>
          <w:lang w:eastAsia="en-GB"/>
        </w:rPr>
        <w:t>, (2017).</w:t>
      </w:r>
    </w:p>
    <w:p w14:paraId="29BD3654" w14:textId="77777777" w:rsidR="00CA0363" w:rsidRPr="00951F0F" w:rsidRDefault="00CA0363" w:rsidP="00CA0363">
      <w:pPr>
        <w:spacing w:after="120" w:line="480" w:lineRule="auto"/>
        <w:rPr>
          <w:rFonts w:eastAsia="Times New Roman" w:cstheme="minorHAnsi"/>
          <w:color w:val="000000" w:themeColor="text1"/>
          <w:shd w:val="clear" w:color="auto" w:fill="FFFFFF"/>
        </w:rPr>
      </w:pPr>
      <w:r w:rsidRPr="00951F0F">
        <w:rPr>
          <w:rFonts w:cstheme="minorHAnsi"/>
          <w:color w:val="000000" w:themeColor="text1"/>
        </w:rPr>
        <w:t xml:space="preserve">16 </w:t>
      </w:r>
      <w:r w:rsidRPr="00951F0F">
        <w:rPr>
          <w:rFonts w:eastAsia="Times New Roman" w:cstheme="minorHAnsi"/>
          <w:color w:val="000000" w:themeColor="text1"/>
          <w:shd w:val="clear" w:color="auto" w:fill="FFFFFF"/>
        </w:rPr>
        <w:t>Keeble, J., Brown, H., Abraham, N. L., Harris, N. R. P. &amp; Pyle, J. A. On ozone trend detection: using coupled chemistry-climate simulations to investigate early signs of total column ozone recovery. </w:t>
      </w:r>
      <w:r w:rsidRPr="00951F0F">
        <w:rPr>
          <w:rFonts w:eastAsia="Times New Roman" w:cstheme="minorHAnsi"/>
          <w:i/>
          <w:iCs/>
          <w:color w:val="000000" w:themeColor="text1"/>
        </w:rPr>
        <w:t>Atmos. Chem. Phys.</w:t>
      </w:r>
      <w:r w:rsidRPr="00951F0F">
        <w:rPr>
          <w:rFonts w:eastAsia="Times New Roman" w:cstheme="minorHAnsi"/>
          <w:color w:val="000000" w:themeColor="text1"/>
          <w:shd w:val="clear" w:color="auto" w:fill="FFFFFF"/>
        </w:rPr>
        <w:t> </w:t>
      </w:r>
      <w:r w:rsidRPr="00951F0F">
        <w:rPr>
          <w:rFonts w:eastAsia="Times New Roman" w:cstheme="minorHAnsi"/>
          <w:b/>
          <w:bCs/>
          <w:color w:val="000000" w:themeColor="text1"/>
        </w:rPr>
        <w:t>18</w:t>
      </w:r>
      <w:r w:rsidRPr="00951F0F">
        <w:rPr>
          <w:rFonts w:eastAsia="Times New Roman" w:cstheme="minorHAnsi"/>
          <w:color w:val="000000" w:themeColor="text1"/>
          <w:shd w:val="clear" w:color="auto" w:fill="FFFFFF"/>
        </w:rPr>
        <w:t>, 7625–7637 (2018).</w:t>
      </w:r>
    </w:p>
    <w:p w14:paraId="5AD9FBD9" w14:textId="77777777" w:rsidR="00CA0363" w:rsidRPr="00951F0F" w:rsidRDefault="00CA0363" w:rsidP="008E3AD7">
      <w:pPr>
        <w:pStyle w:val="NormalWeb"/>
        <w:spacing w:before="0" w:beforeAutospacing="0" w:after="120" w:afterAutospacing="0" w:line="480" w:lineRule="auto"/>
        <w:rPr>
          <w:rFonts w:asciiTheme="minorHAnsi" w:hAnsiTheme="minorHAnsi" w:cstheme="minorHAnsi"/>
        </w:rPr>
      </w:pPr>
      <w:r w:rsidRPr="00951F0F">
        <w:rPr>
          <w:rFonts w:asciiTheme="minorHAnsi" w:hAnsiTheme="minorHAnsi" w:cstheme="minorHAnsi"/>
        </w:rPr>
        <w:t xml:space="preserve">17 </w:t>
      </w:r>
      <w:proofErr w:type="spellStart"/>
      <w:r w:rsidRPr="00951F0F">
        <w:rPr>
          <w:rFonts w:asciiTheme="minorHAnsi" w:hAnsiTheme="minorHAnsi" w:cstheme="minorHAnsi"/>
        </w:rPr>
        <w:t>Montzka</w:t>
      </w:r>
      <w:proofErr w:type="spellEnd"/>
      <w:r w:rsidRPr="00951F0F">
        <w:rPr>
          <w:rFonts w:asciiTheme="minorHAnsi" w:hAnsiTheme="minorHAnsi" w:cstheme="minorHAnsi"/>
        </w:rPr>
        <w:t xml:space="preserve">, S. A. et al., A sharp decline in global CFC-11 emissions during 2018–2019, </w:t>
      </w:r>
      <w:r w:rsidRPr="00951F0F">
        <w:rPr>
          <w:rFonts w:asciiTheme="minorHAnsi" w:hAnsiTheme="minorHAnsi" w:cstheme="minorHAnsi"/>
          <w:i/>
          <w:iCs/>
        </w:rPr>
        <w:t xml:space="preserve">Nature, </w:t>
      </w:r>
      <w:r w:rsidRPr="00951F0F">
        <w:rPr>
          <w:rFonts w:asciiTheme="minorHAnsi" w:hAnsiTheme="minorHAnsi" w:cstheme="minorHAnsi"/>
          <w:b/>
        </w:rPr>
        <w:t>590</w:t>
      </w:r>
      <w:r w:rsidRPr="00951F0F">
        <w:rPr>
          <w:rFonts w:asciiTheme="minorHAnsi" w:hAnsiTheme="minorHAnsi" w:cstheme="minorHAnsi"/>
        </w:rPr>
        <w:t>, 428-432 (2021).</w:t>
      </w:r>
    </w:p>
    <w:p w14:paraId="779F8AAC" w14:textId="77777777" w:rsidR="00CA0363" w:rsidRPr="00951F0F" w:rsidRDefault="00CA0363" w:rsidP="00CA0363">
      <w:pPr>
        <w:pStyle w:val="CommentText"/>
        <w:spacing w:after="120" w:line="480" w:lineRule="auto"/>
      </w:pPr>
      <w:r w:rsidRPr="00951F0F">
        <w:rPr>
          <w:rFonts w:cstheme="minorHAnsi"/>
          <w:sz w:val="24"/>
          <w:szCs w:val="24"/>
        </w:rPr>
        <w:lastRenderedPageBreak/>
        <w:t xml:space="preserve">18 </w:t>
      </w:r>
      <w:proofErr w:type="spellStart"/>
      <w:r w:rsidRPr="00951F0F">
        <w:rPr>
          <w:sz w:val="24"/>
          <w:szCs w:val="24"/>
        </w:rPr>
        <w:t>Oram</w:t>
      </w:r>
      <w:proofErr w:type="spellEnd"/>
      <w:r w:rsidRPr="00951F0F">
        <w:rPr>
          <w:sz w:val="24"/>
          <w:szCs w:val="24"/>
        </w:rPr>
        <w:t xml:space="preserve">, D., et al. A growing threat to the ozone layer from short-lived anthropogenic chlorocarbons. </w:t>
      </w:r>
      <w:r w:rsidRPr="00951F0F">
        <w:rPr>
          <w:i/>
          <w:sz w:val="24"/>
          <w:szCs w:val="24"/>
        </w:rPr>
        <w:t>Atmos. Chem. Phys</w:t>
      </w:r>
      <w:r w:rsidRPr="00951F0F">
        <w:rPr>
          <w:sz w:val="24"/>
          <w:szCs w:val="24"/>
        </w:rPr>
        <w:t xml:space="preserve">. </w:t>
      </w:r>
      <w:r w:rsidRPr="00951F0F">
        <w:rPr>
          <w:b/>
          <w:sz w:val="24"/>
          <w:szCs w:val="24"/>
        </w:rPr>
        <w:t>17</w:t>
      </w:r>
      <w:r w:rsidRPr="00951F0F">
        <w:rPr>
          <w:sz w:val="24"/>
          <w:szCs w:val="24"/>
        </w:rPr>
        <w:t>, 11929-11941, https://doi.org/10.5194/acp-17-11929-2017 (2017).</w:t>
      </w:r>
    </w:p>
    <w:p w14:paraId="3E97D654" w14:textId="0BF5FC55" w:rsidR="00CA0363" w:rsidRPr="00951F0F" w:rsidRDefault="00CA0363" w:rsidP="00CA0363">
      <w:pPr>
        <w:pStyle w:val="NormalWeb"/>
        <w:spacing w:after="120" w:afterAutospacing="0" w:line="480" w:lineRule="auto"/>
        <w:rPr>
          <w:rFonts w:asciiTheme="minorHAnsi" w:hAnsiTheme="minorHAnsi" w:cstheme="minorHAnsi"/>
        </w:rPr>
      </w:pPr>
      <w:r w:rsidRPr="00951F0F">
        <w:rPr>
          <w:rFonts w:asciiTheme="minorHAnsi" w:hAnsiTheme="minorHAnsi" w:cstheme="minorHAnsi"/>
        </w:rPr>
        <w:t xml:space="preserve">19 </w:t>
      </w:r>
      <w:proofErr w:type="spellStart"/>
      <w:r w:rsidRPr="00951F0F">
        <w:rPr>
          <w:rFonts w:asciiTheme="minorHAnsi" w:hAnsiTheme="minorHAnsi" w:cstheme="minorHAnsi"/>
        </w:rPr>
        <w:t>Fioletov</w:t>
      </w:r>
      <w:proofErr w:type="spellEnd"/>
      <w:r w:rsidRPr="00951F0F">
        <w:rPr>
          <w:rFonts w:asciiTheme="minorHAnsi" w:hAnsiTheme="minorHAnsi" w:cstheme="minorHAnsi"/>
        </w:rPr>
        <w:t>, V.E. et al</w:t>
      </w:r>
      <w:r w:rsidR="00A9719A" w:rsidRPr="00951F0F">
        <w:rPr>
          <w:rFonts w:asciiTheme="minorHAnsi" w:hAnsiTheme="minorHAnsi" w:cstheme="minorHAnsi"/>
        </w:rPr>
        <w:t>.</w:t>
      </w:r>
      <w:r w:rsidRPr="00951F0F">
        <w:rPr>
          <w:rFonts w:asciiTheme="minorHAnsi" w:hAnsiTheme="minorHAnsi" w:cstheme="minorHAnsi"/>
        </w:rPr>
        <w:t xml:space="preserve">, Global and zonal total ozone variations estimated from ground-based and satellite measurements: 1964-2000, </w:t>
      </w:r>
      <w:r w:rsidRPr="00951F0F">
        <w:rPr>
          <w:rFonts w:asciiTheme="minorHAnsi" w:hAnsiTheme="minorHAnsi" w:cstheme="minorHAnsi"/>
          <w:i/>
        </w:rPr>
        <w:t xml:space="preserve">J. </w:t>
      </w:r>
      <w:proofErr w:type="spellStart"/>
      <w:r w:rsidRPr="00951F0F">
        <w:rPr>
          <w:rFonts w:asciiTheme="minorHAnsi" w:hAnsiTheme="minorHAnsi" w:cstheme="minorHAnsi"/>
          <w:i/>
        </w:rPr>
        <w:t>Geophys</w:t>
      </w:r>
      <w:proofErr w:type="spellEnd"/>
      <w:r w:rsidRPr="00951F0F">
        <w:rPr>
          <w:rFonts w:asciiTheme="minorHAnsi" w:hAnsiTheme="minorHAnsi" w:cstheme="minorHAnsi"/>
          <w:i/>
        </w:rPr>
        <w:t>. Res</w:t>
      </w:r>
      <w:r w:rsidRPr="00951F0F">
        <w:rPr>
          <w:rFonts w:asciiTheme="minorHAnsi" w:hAnsiTheme="minorHAnsi" w:cstheme="minorHAnsi"/>
        </w:rPr>
        <w:t xml:space="preserve">., </w:t>
      </w:r>
      <w:r w:rsidRPr="00951F0F">
        <w:rPr>
          <w:rFonts w:asciiTheme="minorHAnsi" w:hAnsiTheme="minorHAnsi" w:cstheme="minorHAnsi"/>
          <w:b/>
        </w:rPr>
        <w:t>107</w:t>
      </w:r>
      <w:r w:rsidRPr="00951F0F">
        <w:rPr>
          <w:rFonts w:asciiTheme="minorHAnsi" w:hAnsiTheme="minorHAnsi" w:cstheme="minorHAnsi"/>
        </w:rPr>
        <w:t>, 4647 (2002).</w:t>
      </w:r>
    </w:p>
    <w:p w14:paraId="62063971" w14:textId="77777777" w:rsidR="00CA0363" w:rsidRPr="00951F0F" w:rsidRDefault="00CA0363" w:rsidP="00CA0363">
      <w:pPr>
        <w:pStyle w:val="NormalWeb"/>
        <w:spacing w:after="120" w:afterAutospacing="0" w:line="480" w:lineRule="auto"/>
        <w:rPr>
          <w:rFonts w:asciiTheme="minorHAnsi" w:hAnsiTheme="minorHAnsi" w:cstheme="minorHAnsi"/>
        </w:rPr>
      </w:pPr>
      <w:r w:rsidRPr="00951F0F">
        <w:rPr>
          <w:rFonts w:asciiTheme="minorHAnsi" w:hAnsiTheme="minorHAnsi" w:cstheme="minorHAnsi"/>
        </w:rPr>
        <w:t xml:space="preserve">20 McKenzie, R. and </w:t>
      </w:r>
      <w:proofErr w:type="spellStart"/>
      <w:r w:rsidRPr="00951F0F">
        <w:rPr>
          <w:rFonts w:asciiTheme="minorHAnsi" w:hAnsiTheme="minorHAnsi" w:cstheme="minorHAnsi"/>
        </w:rPr>
        <w:t>Madronich</w:t>
      </w:r>
      <w:proofErr w:type="spellEnd"/>
      <w:r w:rsidRPr="00951F0F">
        <w:rPr>
          <w:rFonts w:asciiTheme="minorHAnsi" w:hAnsiTheme="minorHAnsi" w:cstheme="minorHAnsi"/>
        </w:rPr>
        <w:t xml:space="preserve">, S. Surface Ultraviolet, </w:t>
      </w:r>
      <w:proofErr w:type="spellStart"/>
      <w:r w:rsidRPr="00951F0F">
        <w:rPr>
          <w:rFonts w:asciiTheme="minorHAnsi" w:hAnsiTheme="minorHAnsi" w:cstheme="minorHAnsi"/>
        </w:rPr>
        <w:t>Encyclopedia</w:t>
      </w:r>
      <w:proofErr w:type="spellEnd"/>
      <w:r w:rsidRPr="00951F0F">
        <w:rPr>
          <w:rFonts w:asciiTheme="minorHAnsi" w:hAnsiTheme="minorHAnsi" w:cstheme="minorHAnsi"/>
        </w:rPr>
        <w:t xml:space="preserve"> of Atmospheric Sciences, second edition, volume 5, Academic Press, http;//dx.doi.org/10.10166/B978-0-12-382225-3.00445-X (2014).</w:t>
      </w:r>
    </w:p>
    <w:p w14:paraId="23D69798" w14:textId="153C3C62" w:rsidR="00CA0363" w:rsidRPr="00951F0F" w:rsidRDefault="00CA0363" w:rsidP="00CA0363">
      <w:pPr>
        <w:pStyle w:val="NormalWeb"/>
        <w:spacing w:after="120" w:afterAutospacing="0" w:line="480" w:lineRule="auto"/>
        <w:rPr>
          <w:rFonts w:asciiTheme="minorHAnsi" w:hAnsiTheme="minorHAnsi" w:cstheme="minorHAnsi"/>
        </w:rPr>
      </w:pPr>
      <w:r w:rsidRPr="00951F0F">
        <w:rPr>
          <w:rFonts w:asciiTheme="minorHAnsi" w:hAnsiTheme="minorHAnsi" w:cstheme="minorHAnsi"/>
        </w:rPr>
        <w:t xml:space="preserve">21 </w:t>
      </w:r>
      <w:proofErr w:type="spellStart"/>
      <w:r w:rsidRPr="00951F0F">
        <w:rPr>
          <w:rFonts w:asciiTheme="minorHAnsi" w:hAnsiTheme="minorHAnsi" w:cstheme="minorHAnsi"/>
        </w:rPr>
        <w:t>Klobas</w:t>
      </w:r>
      <w:proofErr w:type="spellEnd"/>
      <w:r w:rsidRPr="00951F0F">
        <w:rPr>
          <w:rFonts w:asciiTheme="minorHAnsi" w:hAnsiTheme="minorHAnsi" w:cstheme="minorHAnsi"/>
        </w:rPr>
        <w:t>, J.E. et al., Reformulating the bromine alpha factor and equivalent effective stratospheric chlorine (EESC): evolution of ozone destruction rates of bromine and chlorine in future climate scenarios</w:t>
      </w:r>
      <w:r w:rsidR="003524C3" w:rsidRPr="00951F0F">
        <w:rPr>
          <w:rFonts w:asciiTheme="minorHAnsi" w:hAnsiTheme="minorHAnsi" w:cstheme="minorHAnsi"/>
        </w:rPr>
        <w:t>,</w:t>
      </w:r>
      <w:r w:rsidRPr="00951F0F">
        <w:rPr>
          <w:rFonts w:asciiTheme="minorHAnsi" w:hAnsiTheme="minorHAnsi" w:cstheme="minorHAnsi"/>
        </w:rPr>
        <w:t xml:space="preserve"> </w:t>
      </w:r>
      <w:r w:rsidRPr="00951F0F">
        <w:rPr>
          <w:rFonts w:asciiTheme="minorHAnsi" w:hAnsiTheme="minorHAnsi" w:cstheme="minorHAnsi"/>
          <w:i/>
        </w:rPr>
        <w:t>Atmos. Chem. Phys</w:t>
      </w:r>
      <w:r w:rsidRPr="00951F0F">
        <w:rPr>
          <w:rFonts w:asciiTheme="minorHAnsi" w:hAnsiTheme="minorHAnsi" w:cstheme="minorHAnsi"/>
        </w:rPr>
        <w:t xml:space="preserve">., </w:t>
      </w:r>
      <w:r w:rsidRPr="00951F0F">
        <w:rPr>
          <w:rFonts w:asciiTheme="minorHAnsi" w:hAnsiTheme="minorHAnsi" w:cstheme="minorHAnsi"/>
          <w:b/>
        </w:rPr>
        <w:t>20</w:t>
      </w:r>
      <w:r w:rsidRPr="00951F0F">
        <w:rPr>
          <w:rFonts w:asciiTheme="minorHAnsi" w:hAnsiTheme="minorHAnsi" w:cstheme="minorHAnsi"/>
        </w:rPr>
        <w:t>, 9459–9471, (2020).</w:t>
      </w:r>
    </w:p>
    <w:p w14:paraId="42E53645" w14:textId="7B43A6E5" w:rsidR="00A9719A" w:rsidRPr="00951F0F" w:rsidRDefault="00A9719A" w:rsidP="00CA0363">
      <w:pPr>
        <w:pStyle w:val="NormalWeb"/>
        <w:spacing w:after="120" w:afterAutospacing="0" w:line="480" w:lineRule="auto"/>
        <w:rPr>
          <w:rFonts w:asciiTheme="minorHAnsi" w:hAnsiTheme="minorHAnsi" w:cstheme="minorHAnsi"/>
        </w:rPr>
      </w:pPr>
      <w:r w:rsidRPr="00951F0F">
        <w:rPr>
          <w:rFonts w:asciiTheme="minorHAnsi" w:hAnsiTheme="minorHAnsi" w:cstheme="minorHAnsi"/>
        </w:rPr>
        <w:t xml:space="preserve">22. </w:t>
      </w:r>
      <w:r w:rsidR="00F46B8E" w:rsidRPr="00951F0F">
        <w:rPr>
          <w:rFonts w:asciiTheme="minorHAnsi" w:hAnsiTheme="minorHAnsi" w:cstheme="minorHAnsi"/>
        </w:rPr>
        <w:t>Waugh, D.W., &amp;</w:t>
      </w:r>
      <w:r w:rsidRPr="00951F0F">
        <w:rPr>
          <w:rFonts w:asciiTheme="minorHAnsi" w:hAnsiTheme="minorHAnsi" w:cstheme="minorHAnsi"/>
        </w:rPr>
        <w:t xml:space="preserve"> Hall, T., Age of stratospheric air: theory, observations, and models, </w:t>
      </w:r>
      <w:r w:rsidRPr="00951F0F">
        <w:rPr>
          <w:rFonts w:asciiTheme="minorHAnsi" w:hAnsiTheme="minorHAnsi" w:cstheme="minorHAnsi"/>
          <w:i/>
        </w:rPr>
        <w:t xml:space="preserve">Rev. </w:t>
      </w:r>
      <w:proofErr w:type="spellStart"/>
      <w:r w:rsidRPr="00951F0F">
        <w:rPr>
          <w:rFonts w:asciiTheme="minorHAnsi" w:hAnsiTheme="minorHAnsi" w:cstheme="minorHAnsi"/>
          <w:i/>
        </w:rPr>
        <w:t>Geophys</w:t>
      </w:r>
      <w:proofErr w:type="spellEnd"/>
      <w:r w:rsidRPr="00951F0F">
        <w:rPr>
          <w:rFonts w:asciiTheme="minorHAnsi" w:hAnsiTheme="minorHAnsi" w:cstheme="minorHAnsi"/>
        </w:rPr>
        <w:t xml:space="preserve">, </w:t>
      </w:r>
      <w:r w:rsidRPr="00951F0F">
        <w:rPr>
          <w:rFonts w:asciiTheme="minorHAnsi" w:hAnsiTheme="minorHAnsi" w:cstheme="minorHAnsi"/>
          <w:b/>
        </w:rPr>
        <w:t>40</w:t>
      </w:r>
      <w:r w:rsidRPr="00951F0F">
        <w:rPr>
          <w:rFonts w:asciiTheme="minorHAnsi" w:hAnsiTheme="minorHAnsi" w:cstheme="minorHAnsi"/>
        </w:rPr>
        <w:t>, 1010, doi:10.1029/2002RG000101 (2002).</w:t>
      </w:r>
    </w:p>
    <w:p w14:paraId="6100180B" w14:textId="244A1857" w:rsidR="00A9719A" w:rsidRPr="00951F0F" w:rsidRDefault="00A9719A" w:rsidP="00CA0363">
      <w:pPr>
        <w:pStyle w:val="NormalWeb"/>
        <w:spacing w:after="120" w:afterAutospacing="0" w:line="480" w:lineRule="auto"/>
        <w:rPr>
          <w:rFonts w:asciiTheme="minorHAnsi" w:hAnsiTheme="minorHAnsi" w:cstheme="minorHAnsi"/>
        </w:rPr>
      </w:pPr>
      <w:r w:rsidRPr="00951F0F">
        <w:rPr>
          <w:rFonts w:asciiTheme="minorHAnsi" w:hAnsiTheme="minorHAnsi" w:cstheme="minorHAnsi"/>
        </w:rPr>
        <w:t xml:space="preserve">23. Stiller, G.P., et al., Global distribution of mean age of stratospheric air from MIPAS SF6 measurements, </w:t>
      </w:r>
      <w:r w:rsidRPr="00951F0F">
        <w:rPr>
          <w:rFonts w:asciiTheme="minorHAnsi" w:hAnsiTheme="minorHAnsi" w:cstheme="minorHAnsi"/>
          <w:i/>
        </w:rPr>
        <w:t>Atmos. Chem. Phys</w:t>
      </w:r>
      <w:r w:rsidRPr="00951F0F">
        <w:rPr>
          <w:rFonts w:asciiTheme="minorHAnsi" w:hAnsiTheme="minorHAnsi" w:cstheme="minorHAnsi"/>
        </w:rPr>
        <w:t xml:space="preserve">., </w:t>
      </w:r>
      <w:r w:rsidRPr="00951F0F">
        <w:rPr>
          <w:rFonts w:asciiTheme="minorHAnsi" w:hAnsiTheme="minorHAnsi" w:cstheme="minorHAnsi"/>
          <w:b/>
        </w:rPr>
        <w:t>8</w:t>
      </w:r>
      <w:r w:rsidRPr="00951F0F">
        <w:rPr>
          <w:rFonts w:asciiTheme="minorHAnsi" w:hAnsiTheme="minorHAnsi" w:cstheme="minorHAnsi"/>
        </w:rPr>
        <w:t>, 677-695 (2008).</w:t>
      </w:r>
    </w:p>
    <w:p w14:paraId="7A825923" w14:textId="626B13DE" w:rsidR="00CA0363" w:rsidRPr="00951F0F" w:rsidRDefault="00CA0363" w:rsidP="00CA0363">
      <w:pPr>
        <w:pStyle w:val="NormalWeb"/>
        <w:spacing w:after="120" w:afterAutospacing="0" w:line="480" w:lineRule="auto"/>
        <w:rPr>
          <w:rFonts w:asciiTheme="minorHAnsi" w:hAnsiTheme="minorHAnsi" w:cstheme="minorHAnsi"/>
        </w:rPr>
      </w:pPr>
      <w:r w:rsidRPr="00951F0F">
        <w:rPr>
          <w:rFonts w:asciiTheme="minorHAnsi" w:hAnsiTheme="minorHAnsi" w:cstheme="minorHAnsi"/>
        </w:rPr>
        <w:t>2</w:t>
      </w:r>
      <w:r w:rsidR="0027502E" w:rsidRPr="00951F0F">
        <w:rPr>
          <w:rFonts w:asciiTheme="minorHAnsi" w:hAnsiTheme="minorHAnsi" w:cstheme="minorHAnsi"/>
        </w:rPr>
        <w:t>4</w:t>
      </w:r>
      <w:r w:rsidRPr="00951F0F">
        <w:rPr>
          <w:rFonts w:asciiTheme="minorHAnsi" w:hAnsiTheme="minorHAnsi" w:cstheme="minorHAnsi"/>
        </w:rPr>
        <w:t xml:space="preserve"> Keeble, J. et al., Modelling the potential impacts of the recent, unexpected increase in CFC-11 emissions on total column ozone recovery</w:t>
      </w:r>
      <w:r w:rsidR="00A9719A" w:rsidRPr="00951F0F">
        <w:rPr>
          <w:rFonts w:asciiTheme="minorHAnsi" w:hAnsiTheme="minorHAnsi" w:cstheme="minorHAnsi"/>
        </w:rPr>
        <w:t>,</w:t>
      </w:r>
      <w:r w:rsidRPr="00951F0F">
        <w:rPr>
          <w:rFonts w:asciiTheme="minorHAnsi" w:hAnsiTheme="minorHAnsi" w:cstheme="minorHAnsi"/>
        </w:rPr>
        <w:t xml:space="preserve"> </w:t>
      </w:r>
      <w:r w:rsidRPr="00951F0F">
        <w:rPr>
          <w:rFonts w:asciiTheme="minorHAnsi" w:hAnsiTheme="minorHAnsi" w:cstheme="minorHAnsi"/>
          <w:i/>
        </w:rPr>
        <w:t>Atmos. Chem. Phys.,</w:t>
      </w:r>
      <w:r w:rsidRPr="00951F0F">
        <w:rPr>
          <w:rFonts w:asciiTheme="minorHAnsi" w:hAnsiTheme="minorHAnsi" w:cstheme="minorHAnsi"/>
        </w:rPr>
        <w:t xml:space="preserve"> </w:t>
      </w:r>
      <w:r w:rsidRPr="00951F0F">
        <w:rPr>
          <w:rFonts w:asciiTheme="minorHAnsi" w:hAnsiTheme="minorHAnsi" w:cstheme="minorHAnsi"/>
          <w:b/>
        </w:rPr>
        <w:t>20</w:t>
      </w:r>
      <w:r w:rsidRPr="00951F0F">
        <w:rPr>
          <w:rFonts w:asciiTheme="minorHAnsi" w:hAnsiTheme="minorHAnsi" w:cstheme="minorHAnsi"/>
        </w:rPr>
        <w:t>, 7153–7166 (2020).</w:t>
      </w:r>
    </w:p>
    <w:p w14:paraId="75A29962" w14:textId="40E6276E" w:rsidR="00CA0363" w:rsidRPr="00951F0F" w:rsidRDefault="00CA0363" w:rsidP="00CA0363">
      <w:pPr>
        <w:pStyle w:val="NormalWeb"/>
        <w:spacing w:after="120" w:afterAutospacing="0" w:line="480" w:lineRule="auto"/>
        <w:rPr>
          <w:rFonts w:asciiTheme="minorHAnsi" w:hAnsiTheme="minorHAnsi" w:cstheme="minorHAnsi"/>
        </w:rPr>
      </w:pPr>
      <w:r w:rsidRPr="00951F0F">
        <w:rPr>
          <w:rFonts w:asciiTheme="minorHAnsi" w:hAnsiTheme="minorHAnsi" w:cstheme="minorHAnsi"/>
        </w:rPr>
        <w:lastRenderedPageBreak/>
        <w:t>2</w:t>
      </w:r>
      <w:r w:rsidR="0027502E" w:rsidRPr="00951F0F">
        <w:rPr>
          <w:rFonts w:asciiTheme="minorHAnsi" w:hAnsiTheme="minorHAnsi" w:cstheme="minorHAnsi"/>
        </w:rPr>
        <w:t>5</w:t>
      </w:r>
      <w:r w:rsidRPr="00951F0F">
        <w:rPr>
          <w:rFonts w:asciiTheme="minorHAnsi" w:hAnsiTheme="minorHAnsi" w:cstheme="minorHAnsi"/>
        </w:rPr>
        <w:t xml:space="preserve"> </w:t>
      </w:r>
      <w:proofErr w:type="spellStart"/>
      <w:r w:rsidRPr="00951F0F">
        <w:rPr>
          <w:rFonts w:asciiTheme="minorHAnsi" w:hAnsiTheme="minorHAnsi" w:cstheme="minorHAnsi"/>
        </w:rPr>
        <w:t>Dameris</w:t>
      </w:r>
      <w:proofErr w:type="spellEnd"/>
      <w:r w:rsidRPr="00951F0F">
        <w:rPr>
          <w:rFonts w:asciiTheme="minorHAnsi" w:hAnsiTheme="minorHAnsi" w:cstheme="minorHAnsi"/>
        </w:rPr>
        <w:t xml:space="preserve">, M., P. </w:t>
      </w:r>
      <w:proofErr w:type="spellStart"/>
      <w:r w:rsidRPr="00951F0F">
        <w:rPr>
          <w:rFonts w:asciiTheme="minorHAnsi" w:hAnsiTheme="minorHAnsi" w:cstheme="minorHAnsi"/>
        </w:rPr>
        <w:t>Jöckel</w:t>
      </w:r>
      <w:proofErr w:type="spellEnd"/>
      <w:r w:rsidRPr="00951F0F">
        <w:rPr>
          <w:rFonts w:asciiTheme="minorHAnsi" w:hAnsiTheme="minorHAnsi" w:cstheme="minorHAnsi"/>
        </w:rPr>
        <w:t xml:space="preserve">, and M. </w:t>
      </w:r>
      <w:proofErr w:type="spellStart"/>
      <w:r w:rsidRPr="00951F0F">
        <w:rPr>
          <w:rFonts w:asciiTheme="minorHAnsi" w:hAnsiTheme="minorHAnsi" w:cstheme="minorHAnsi"/>
        </w:rPr>
        <w:t>Nützel</w:t>
      </w:r>
      <w:proofErr w:type="spellEnd"/>
      <w:r w:rsidRPr="00951F0F">
        <w:rPr>
          <w:rFonts w:asciiTheme="minorHAnsi" w:hAnsiTheme="minorHAnsi" w:cstheme="minorHAnsi"/>
        </w:rPr>
        <w:t xml:space="preserve">, Possible implications of enhanced chlorofluorocarbon-11 concentrations on ozone, </w:t>
      </w:r>
      <w:r w:rsidRPr="00951F0F">
        <w:rPr>
          <w:rFonts w:asciiTheme="minorHAnsi" w:hAnsiTheme="minorHAnsi" w:cstheme="minorHAnsi"/>
          <w:i/>
          <w:iCs/>
        </w:rPr>
        <w:t>Atmos. Chem. Phys.</w:t>
      </w:r>
      <w:r w:rsidRPr="00951F0F">
        <w:rPr>
          <w:rFonts w:asciiTheme="minorHAnsi" w:hAnsiTheme="minorHAnsi" w:cstheme="minorHAnsi"/>
        </w:rPr>
        <w:t xml:space="preserve">, </w:t>
      </w:r>
      <w:r w:rsidRPr="00951F0F">
        <w:rPr>
          <w:rFonts w:asciiTheme="minorHAnsi" w:hAnsiTheme="minorHAnsi" w:cstheme="minorHAnsi"/>
          <w:b/>
          <w:iCs/>
        </w:rPr>
        <w:t>19</w:t>
      </w:r>
      <w:r w:rsidRPr="00951F0F">
        <w:rPr>
          <w:rFonts w:asciiTheme="minorHAnsi" w:hAnsiTheme="minorHAnsi" w:cstheme="minorHAnsi"/>
        </w:rPr>
        <w:t>, 13759-13771 (2019).</w:t>
      </w:r>
    </w:p>
    <w:p w14:paraId="79E34699" w14:textId="5883837F" w:rsidR="00CA0363" w:rsidRPr="00951F0F" w:rsidRDefault="00CA0363" w:rsidP="00CA0363">
      <w:pPr>
        <w:pStyle w:val="NormalWeb"/>
        <w:shd w:val="clear" w:color="auto" w:fill="FFFFFF"/>
        <w:spacing w:after="120" w:afterAutospacing="0" w:line="480" w:lineRule="auto"/>
        <w:rPr>
          <w:rFonts w:asciiTheme="minorHAnsi" w:hAnsiTheme="minorHAnsi" w:cstheme="minorHAnsi"/>
        </w:rPr>
      </w:pPr>
      <w:r w:rsidRPr="00951F0F">
        <w:rPr>
          <w:rFonts w:asciiTheme="minorHAnsi" w:hAnsiTheme="minorHAnsi" w:cstheme="minorHAnsi"/>
        </w:rPr>
        <w:t>2</w:t>
      </w:r>
      <w:r w:rsidR="0027502E" w:rsidRPr="00951F0F">
        <w:rPr>
          <w:rFonts w:asciiTheme="minorHAnsi" w:hAnsiTheme="minorHAnsi" w:cstheme="minorHAnsi"/>
        </w:rPr>
        <w:t>6</w:t>
      </w:r>
      <w:r w:rsidRPr="00951F0F">
        <w:rPr>
          <w:rFonts w:asciiTheme="minorHAnsi" w:hAnsiTheme="minorHAnsi" w:cstheme="minorHAnsi"/>
        </w:rPr>
        <w:t xml:space="preserve"> </w:t>
      </w:r>
      <w:proofErr w:type="spellStart"/>
      <w:r w:rsidRPr="00951F0F">
        <w:rPr>
          <w:rFonts w:asciiTheme="minorHAnsi" w:hAnsiTheme="minorHAnsi" w:cstheme="minorHAnsi"/>
        </w:rPr>
        <w:t>Dhomse</w:t>
      </w:r>
      <w:proofErr w:type="spellEnd"/>
      <w:r w:rsidRPr="00951F0F">
        <w:rPr>
          <w:rFonts w:asciiTheme="minorHAnsi" w:hAnsiTheme="minorHAnsi" w:cstheme="minorHAnsi"/>
        </w:rPr>
        <w:t xml:space="preserve">, S.S. et al., Delay in recovery of the Antarctic ozone hole from unexpected CFC-11 emissions, </w:t>
      </w:r>
      <w:r w:rsidRPr="00951F0F">
        <w:rPr>
          <w:rFonts w:asciiTheme="minorHAnsi" w:hAnsiTheme="minorHAnsi" w:cstheme="minorHAnsi"/>
          <w:i/>
        </w:rPr>
        <w:t xml:space="preserve">Nat </w:t>
      </w:r>
      <w:proofErr w:type="spellStart"/>
      <w:r w:rsidRPr="00951F0F">
        <w:rPr>
          <w:rFonts w:asciiTheme="minorHAnsi" w:hAnsiTheme="minorHAnsi" w:cstheme="minorHAnsi"/>
          <w:i/>
        </w:rPr>
        <w:t>Commun</w:t>
      </w:r>
      <w:proofErr w:type="spellEnd"/>
      <w:r w:rsidRPr="00951F0F">
        <w:rPr>
          <w:rFonts w:asciiTheme="minorHAnsi" w:hAnsiTheme="minorHAnsi" w:cstheme="minorHAnsi"/>
        </w:rPr>
        <w:t xml:space="preserve">., </w:t>
      </w:r>
      <w:r w:rsidRPr="00951F0F">
        <w:rPr>
          <w:rFonts w:asciiTheme="minorHAnsi" w:hAnsiTheme="minorHAnsi" w:cstheme="minorHAnsi"/>
          <w:b/>
        </w:rPr>
        <w:t>10</w:t>
      </w:r>
      <w:r w:rsidRPr="00951F0F">
        <w:rPr>
          <w:rFonts w:asciiTheme="minorHAnsi" w:hAnsiTheme="minorHAnsi" w:cstheme="minorHAnsi"/>
        </w:rPr>
        <w:t>, 5781 (2019).</w:t>
      </w:r>
    </w:p>
    <w:p w14:paraId="1F18617B" w14:textId="4858857D" w:rsidR="00CA0363" w:rsidRPr="00951F0F" w:rsidRDefault="00CA0363" w:rsidP="00CA0363">
      <w:pPr>
        <w:pStyle w:val="NormalWeb"/>
        <w:spacing w:after="120" w:afterAutospacing="0" w:line="480" w:lineRule="auto"/>
        <w:rPr>
          <w:rFonts w:asciiTheme="minorHAnsi" w:hAnsiTheme="minorHAnsi" w:cstheme="minorHAnsi"/>
        </w:rPr>
      </w:pPr>
      <w:r w:rsidRPr="00951F0F">
        <w:rPr>
          <w:rFonts w:asciiTheme="minorHAnsi" w:hAnsiTheme="minorHAnsi" w:cstheme="minorHAnsi"/>
        </w:rPr>
        <w:t>2</w:t>
      </w:r>
      <w:r w:rsidR="0027502E" w:rsidRPr="00951F0F">
        <w:rPr>
          <w:rFonts w:asciiTheme="minorHAnsi" w:hAnsiTheme="minorHAnsi" w:cstheme="minorHAnsi"/>
        </w:rPr>
        <w:t>7</w:t>
      </w:r>
      <w:r w:rsidRPr="00951F0F">
        <w:rPr>
          <w:rFonts w:asciiTheme="minorHAnsi" w:hAnsiTheme="minorHAnsi" w:cstheme="minorHAnsi"/>
        </w:rPr>
        <w:t xml:space="preserve"> Claxton, T. et al. (2020). A synthesis inversion to constrain global emissions of two very short</w:t>
      </w:r>
      <w:r w:rsidR="003524C3" w:rsidRPr="00951F0F">
        <w:rPr>
          <w:rFonts w:asciiTheme="minorHAnsi" w:hAnsiTheme="minorHAnsi" w:cstheme="minorHAnsi"/>
        </w:rPr>
        <w:t>-</w:t>
      </w:r>
      <w:r w:rsidRPr="00951F0F">
        <w:rPr>
          <w:rFonts w:asciiTheme="minorHAnsi" w:hAnsiTheme="minorHAnsi" w:cstheme="minorHAnsi"/>
        </w:rPr>
        <w:t xml:space="preserve">lived chlorocarbons: dichloromethane, and perchloroethylene. </w:t>
      </w:r>
      <w:r w:rsidRPr="00951F0F">
        <w:rPr>
          <w:rFonts w:asciiTheme="minorHAnsi" w:hAnsiTheme="minorHAnsi" w:cstheme="minorHAnsi"/>
          <w:i/>
          <w:iCs/>
        </w:rPr>
        <w:t xml:space="preserve">J. </w:t>
      </w:r>
      <w:proofErr w:type="spellStart"/>
      <w:r w:rsidRPr="00951F0F">
        <w:rPr>
          <w:rFonts w:asciiTheme="minorHAnsi" w:hAnsiTheme="minorHAnsi" w:cstheme="minorHAnsi"/>
          <w:i/>
          <w:iCs/>
        </w:rPr>
        <w:t>Geophys</w:t>
      </w:r>
      <w:proofErr w:type="spellEnd"/>
      <w:r w:rsidRPr="00951F0F">
        <w:rPr>
          <w:rFonts w:asciiTheme="minorHAnsi" w:hAnsiTheme="minorHAnsi" w:cstheme="minorHAnsi"/>
          <w:i/>
          <w:iCs/>
        </w:rPr>
        <w:t>. Res.: Atmospheres</w:t>
      </w:r>
      <w:r w:rsidRPr="00951F0F">
        <w:rPr>
          <w:rFonts w:asciiTheme="minorHAnsi" w:hAnsiTheme="minorHAnsi" w:cstheme="minorHAnsi"/>
        </w:rPr>
        <w:t xml:space="preserve">, </w:t>
      </w:r>
      <w:r w:rsidRPr="00951F0F">
        <w:rPr>
          <w:rFonts w:asciiTheme="minorHAnsi" w:hAnsiTheme="minorHAnsi" w:cstheme="minorHAnsi"/>
          <w:b/>
          <w:iCs/>
        </w:rPr>
        <w:t>125</w:t>
      </w:r>
      <w:r w:rsidRPr="00951F0F">
        <w:rPr>
          <w:rFonts w:asciiTheme="minorHAnsi" w:hAnsiTheme="minorHAnsi" w:cstheme="minorHAnsi"/>
        </w:rPr>
        <w:t>, e2019JD031818. https://doi.org/ 10.1029/2019JD031818 (2020).</w:t>
      </w:r>
    </w:p>
    <w:p w14:paraId="056075F1" w14:textId="0705EAE6" w:rsidR="00CA0363" w:rsidRPr="00951F0F" w:rsidRDefault="00CA0363" w:rsidP="00CA0363">
      <w:pPr>
        <w:pStyle w:val="NormalWeb"/>
        <w:spacing w:after="120" w:afterAutospacing="0" w:line="480" w:lineRule="auto"/>
        <w:rPr>
          <w:rFonts w:asciiTheme="minorHAnsi" w:hAnsiTheme="minorHAnsi" w:cstheme="minorHAnsi"/>
        </w:rPr>
      </w:pPr>
      <w:r w:rsidRPr="00951F0F">
        <w:rPr>
          <w:rFonts w:asciiTheme="minorHAnsi" w:hAnsiTheme="minorHAnsi" w:cstheme="minorHAnsi"/>
        </w:rPr>
        <w:t>2</w:t>
      </w:r>
      <w:r w:rsidR="0027502E" w:rsidRPr="00951F0F">
        <w:rPr>
          <w:rFonts w:asciiTheme="minorHAnsi" w:hAnsiTheme="minorHAnsi" w:cstheme="minorHAnsi"/>
        </w:rPr>
        <w:t>8</w:t>
      </w:r>
      <w:r w:rsidRPr="00951F0F">
        <w:rPr>
          <w:rFonts w:asciiTheme="minorHAnsi" w:hAnsiTheme="minorHAnsi" w:cstheme="minorHAnsi"/>
        </w:rPr>
        <w:t xml:space="preserve"> Claxton, T., </w:t>
      </w:r>
      <w:proofErr w:type="spellStart"/>
      <w:r w:rsidRPr="00951F0F">
        <w:rPr>
          <w:rFonts w:asciiTheme="minorHAnsi" w:hAnsiTheme="minorHAnsi" w:cstheme="minorHAnsi"/>
        </w:rPr>
        <w:t>Hossaini</w:t>
      </w:r>
      <w:proofErr w:type="spellEnd"/>
      <w:r w:rsidRPr="00951F0F">
        <w:rPr>
          <w:rFonts w:asciiTheme="minorHAnsi" w:hAnsiTheme="minorHAnsi" w:cstheme="minorHAnsi"/>
        </w:rPr>
        <w:t xml:space="preserve">, R., Wild, O., Chipperfield, M. P., &amp; Wilson, C. On the regional and seasonal ozone depletion potential of chlorinated very short‐lived substances. </w:t>
      </w:r>
      <w:proofErr w:type="spellStart"/>
      <w:r w:rsidRPr="00951F0F">
        <w:rPr>
          <w:rFonts w:asciiTheme="minorHAnsi" w:hAnsiTheme="minorHAnsi" w:cstheme="minorHAnsi"/>
          <w:i/>
        </w:rPr>
        <w:t>Geophys</w:t>
      </w:r>
      <w:proofErr w:type="spellEnd"/>
      <w:r w:rsidRPr="00951F0F">
        <w:rPr>
          <w:rFonts w:asciiTheme="minorHAnsi" w:hAnsiTheme="minorHAnsi" w:cstheme="minorHAnsi"/>
          <w:i/>
        </w:rPr>
        <w:t>. Res. Letts.,</w:t>
      </w:r>
      <w:r w:rsidRPr="00951F0F">
        <w:rPr>
          <w:rFonts w:asciiTheme="minorHAnsi" w:hAnsiTheme="minorHAnsi" w:cstheme="minorHAnsi"/>
        </w:rPr>
        <w:t xml:space="preserve"> </w:t>
      </w:r>
      <w:r w:rsidRPr="00951F0F">
        <w:rPr>
          <w:rFonts w:asciiTheme="minorHAnsi" w:hAnsiTheme="minorHAnsi" w:cstheme="minorHAnsi"/>
          <w:b/>
        </w:rPr>
        <w:t>46</w:t>
      </w:r>
      <w:r w:rsidRPr="00951F0F">
        <w:rPr>
          <w:rFonts w:asciiTheme="minorHAnsi" w:hAnsiTheme="minorHAnsi" w:cstheme="minorHAnsi"/>
        </w:rPr>
        <w:t>, 5489–5498. https://doi.org/10.1029/2018GL081455 (2019).</w:t>
      </w:r>
    </w:p>
    <w:p w14:paraId="60995240" w14:textId="393D8F14" w:rsidR="00CA0363" w:rsidRDefault="00CA0363" w:rsidP="00CA0363">
      <w:pPr>
        <w:spacing w:after="120" w:line="480" w:lineRule="auto"/>
        <w:rPr>
          <w:rFonts w:cstheme="minorHAnsi"/>
          <w:color w:val="212529"/>
          <w:shd w:val="clear" w:color="auto" w:fill="FFFFFF"/>
        </w:rPr>
      </w:pPr>
      <w:r w:rsidRPr="00951F0F">
        <w:rPr>
          <w:rFonts w:cstheme="minorHAnsi"/>
        </w:rPr>
        <w:t>2</w:t>
      </w:r>
      <w:r w:rsidR="0027502E" w:rsidRPr="00951F0F">
        <w:rPr>
          <w:rFonts w:cstheme="minorHAnsi"/>
        </w:rPr>
        <w:t>9</w:t>
      </w:r>
      <w:r w:rsidRPr="00951F0F">
        <w:rPr>
          <w:rFonts w:cstheme="minorHAnsi"/>
        </w:rPr>
        <w:t xml:space="preserve"> </w:t>
      </w:r>
      <w:r w:rsidRPr="00951F0F">
        <w:rPr>
          <w:rFonts w:cstheme="minorHAnsi"/>
          <w:color w:val="212529"/>
          <w:shd w:val="clear" w:color="auto" w:fill="FFFFFF"/>
        </w:rPr>
        <w:t>WMO (World Meteorological Organization)</w:t>
      </w:r>
      <w:r w:rsidRPr="00951F0F">
        <w:rPr>
          <w:rStyle w:val="apple-converted-space"/>
          <w:rFonts w:cstheme="minorHAnsi"/>
          <w:color w:val="212529"/>
          <w:shd w:val="clear" w:color="auto" w:fill="FFFFFF"/>
        </w:rPr>
        <w:t> </w:t>
      </w:r>
      <w:r w:rsidRPr="00951F0F">
        <w:rPr>
          <w:rStyle w:val="Hyperlink"/>
          <w:rFonts w:cstheme="minorHAnsi"/>
          <w:color w:val="212529"/>
        </w:rPr>
        <w:t>Scientific Assessment of Ozone Depletion: 2002</w:t>
      </w:r>
      <w:r w:rsidRPr="00951F0F">
        <w:rPr>
          <w:rFonts w:cstheme="minorHAnsi"/>
          <w:color w:val="212529"/>
          <w:shd w:val="clear" w:color="auto" w:fill="FFFFFF"/>
        </w:rPr>
        <w:t>, Global Ozone Research and Monitoring Project - Report No. 47, 498pp., Geneva, (2003).</w:t>
      </w:r>
    </w:p>
    <w:p w14:paraId="1E924912" w14:textId="00DDB76C" w:rsidR="002B0343" w:rsidRPr="00951F0F" w:rsidRDefault="002B0343" w:rsidP="002B0343">
      <w:pPr>
        <w:spacing w:line="480" w:lineRule="auto"/>
        <w:jc w:val="both"/>
        <w:rPr>
          <w:rFonts w:cstheme="minorHAnsi"/>
        </w:rPr>
      </w:pPr>
      <w:r w:rsidRPr="00951F0F">
        <w:rPr>
          <w:rFonts w:cstheme="minorHAnsi"/>
        </w:rPr>
        <w:br w:type="page"/>
      </w:r>
    </w:p>
    <w:p w14:paraId="35185BF1" w14:textId="77777777" w:rsidR="002B0343" w:rsidRPr="00951F0F" w:rsidRDefault="002B0343" w:rsidP="002B0343">
      <w:pPr>
        <w:spacing w:line="480" w:lineRule="auto"/>
        <w:jc w:val="both"/>
        <w:rPr>
          <w:rFonts w:cstheme="minorHAnsi"/>
        </w:rPr>
      </w:pPr>
    </w:p>
    <w:tbl>
      <w:tblPr>
        <w:tblStyle w:val="TableGrid"/>
        <w:tblW w:w="9351" w:type="dxa"/>
        <w:tblLayout w:type="fixed"/>
        <w:tblLook w:val="04A0" w:firstRow="1" w:lastRow="0" w:firstColumn="1" w:lastColumn="0" w:noHBand="0" w:noVBand="1"/>
      </w:tblPr>
      <w:tblGrid>
        <w:gridCol w:w="1271"/>
        <w:gridCol w:w="1985"/>
        <w:gridCol w:w="2551"/>
        <w:gridCol w:w="1134"/>
        <w:gridCol w:w="1276"/>
        <w:gridCol w:w="1134"/>
      </w:tblGrid>
      <w:tr w:rsidR="002B0343" w:rsidRPr="00951F0F" w14:paraId="2793DF41" w14:textId="77777777" w:rsidTr="004E266B">
        <w:trPr>
          <w:trHeight w:hRule="exact" w:val="983"/>
        </w:trPr>
        <w:tc>
          <w:tcPr>
            <w:tcW w:w="1271" w:type="dxa"/>
            <w:vAlign w:val="center"/>
          </w:tcPr>
          <w:p w14:paraId="39E2BE82" w14:textId="77777777" w:rsidR="002B0343" w:rsidRPr="00951F0F" w:rsidRDefault="002B0343" w:rsidP="004E266B">
            <w:pPr>
              <w:pStyle w:val="NoSpacing"/>
              <w:jc w:val="center"/>
              <w:rPr>
                <w:rFonts w:cstheme="minorHAnsi"/>
                <w:sz w:val="22"/>
                <w:szCs w:val="22"/>
              </w:rPr>
            </w:pPr>
            <w:r w:rsidRPr="00951F0F">
              <w:rPr>
                <w:rFonts w:cstheme="minorHAnsi"/>
                <w:sz w:val="22"/>
                <w:szCs w:val="22"/>
              </w:rPr>
              <w:t>Simulation</w:t>
            </w:r>
          </w:p>
        </w:tc>
        <w:tc>
          <w:tcPr>
            <w:tcW w:w="1985" w:type="dxa"/>
            <w:vAlign w:val="center"/>
          </w:tcPr>
          <w:p w14:paraId="4AB34436" w14:textId="77777777" w:rsidR="002B0343" w:rsidRPr="00951F0F" w:rsidRDefault="002B0343" w:rsidP="004E266B">
            <w:pPr>
              <w:pStyle w:val="NoSpacing"/>
              <w:jc w:val="center"/>
              <w:rPr>
                <w:rFonts w:cstheme="minorHAnsi"/>
                <w:sz w:val="22"/>
                <w:szCs w:val="22"/>
              </w:rPr>
            </w:pPr>
            <w:r w:rsidRPr="00951F0F">
              <w:rPr>
                <w:rFonts w:cstheme="minorHAnsi"/>
                <w:sz w:val="22"/>
                <w:szCs w:val="22"/>
              </w:rPr>
              <w:t>Species emitted</w:t>
            </w:r>
          </w:p>
        </w:tc>
        <w:tc>
          <w:tcPr>
            <w:tcW w:w="2551" w:type="dxa"/>
            <w:vAlign w:val="center"/>
          </w:tcPr>
          <w:p w14:paraId="5A4CB44A" w14:textId="77777777" w:rsidR="002B0343" w:rsidRPr="00951F0F" w:rsidRDefault="002B0343" w:rsidP="004E266B">
            <w:pPr>
              <w:pStyle w:val="NoSpacing"/>
              <w:jc w:val="center"/>
              <w:rPr>
                <w:rFonts w:cstheme="minorHAnsi"/>
                <w:sz w:val="22"/>
                <w:szCs w:val="22"/>
              </w:rPr>
            </w:pPr>
            <w:r w:rsidRPr="00951F0F">
              <w:rPr>
                <w:rFonts w:cstheme="minorHAnsi"/>
                <w:sz w:val="22"/>
                <w:szCs w:val="22"/>
              </w:rPr>
              <w:t>Annual emission increment</w:t>
            </w:r>
          </w:p>
        </w:tc>
        <w:tc>
          <w:tcPr>
            <w:tcW w:w="1134" w:type="dxa"/>
            <w:vAlign w:val="center"/>
          </w:tcPr>
          <w:p w14:paraId="4BAD7192" w14:textId="77777777" w:rsidR="002B0343" w:rsidRPr="00951F0F" w:rsidRDefault="002B0343" w:rsidP="004E266B">
            <w:pPr>
              <w:pStyle w:val="NoSpacing"/>
              <w:jc w:val="center"/>
              <w:rPr>
                <w:rFonts w:cstheme="minorHAnsi"/>
                <w:sz w:val="22"/>
                <w:szCs w:val="22"/>
              </w:rPr>
            </w:pPr>
            <w:r w:rsidRPr="00951F0F">
              <w:rPr>
                <w:rFonts w:cstheme="minorHAnsi"/>
                <w:sz w:val="22"/>
                <w:szCs w:val="22"/>
              </w:rPr>
              <w:t>Duration of emission</w:t>
            </w:r>
          </w:p>
        </w:tc>
        <w:tc>
          <w:tcPr>
            <w:tcW w:w="1276" w:type="dxa"/>
            <w:vAlign w:val="center"/>
          </w:tcPr>
          <w:p w14:paraId="57EABD16" w14:textId="77777777" w:rsidR="002B0343" w:rsidRPr="00951F0F" w:rsidRDefault="002B0343" w:rsidP="004E266B">
            <w:pPr>
              <w:pStyle w:val="NoSpacing"/>
              <w:jc w:val="center"/>
              <w:rPr>
                <w:rFonts w:cstheme="minorHAnsi"/>
                <w:sz w:val="22"/>
                <w:szCs w:val="22"/>
              </w:rPr>
            </w:pPr>
            <w:r w:rsidRPr="00951F0F">
              <w:rPr>
                <w:rFonts w:cstheme="minorHAnsi"/>
                <w:sz w:val="22"/>
                <w:szCs w:val="22"/>
              </w:rPr>
              <w:t>IOD</w:t>
            </w:r>
          </w:p>
          <w:p w14:paraId="6364E708" w14:textId="77777777" w:rsidR="002B0343" w:rsidRPr="00951F0F" w:rsidRDefault="002B0343" w:rsidP="004E266B">
            <w:pPr>
              <w:pStyle w:val="NoSpacing"/>
              <w:jc w:val="center"/>
              <w:rPr>
                <w:rFonts w:cstheme="minorHAnsi"/>
                <w:sz w:val="22"/>
                <w:szCs w:val="22"/>
              </w:rPr>
            </w:pPr>
            <w:r w:rsidRPr="00951F0F">
              <w:rPr>
                <w:rFonts w:cstheme="minorHAnsi"/>
                <w:sz w:val="22"/>
                <w:szCs w:val="22"/>
              </w:rPr>
              <w:t>(</w:t>
            </w:r>
            <w:proofErr w:type="gramStart"/>
            <w:r w:rsidRPr="00951F0F">
              <w:rPr>
                <w:rFonts w:cstheme="minorHAnsi"/>
                <w:sz w:val="22"/>
                <w:szCs w:val="22"/>
              </w:rPr>
              <w:t>whole</w:t>
            </w:r>
            <w:proofErr w:type="gramEnd"/>
            <w:r w:rsidRPr="00951F0F">
              <w:rPr>
                <w:rFonts w:cstheme="minorHAnsi"/>
                <w:sz w:val="22"/>
                <w:szCs w:val="22"/>
              </w:rPr>
              <w:t xml:space="preserve"> integration)</w:t>
            </w:r>
          </w:p>
        </w:tc>
        <w:tc>
          <w:tcPr>
            <w:tcW w:w="1134" w:type="dxa"/>
            <w:vAlign w:val="center"/>
          </w:tcPr>
          <w:p w14:paraId="31000948" w14:textId="77777777" w:rsidR="002B0343" w:rsidRPr="00951F0F" w:rsidRDefault="002B0343" w:rsidP="004E266B">
            <w:pPr>
              <w:pStyle w:val="NoSpacing"/>
              <w:jc w:val="center"/>
              <w:rPr>
                <w:rFonts w:cstheme="minorHAnsi"/>
                <w:sz w:val="22"/>
                <w:szCs w:val="22"/>
              </w:rPr>
            </w:pPr>
            <w:r w:rsidRPr="00951F0F">
              <w:rPr>
                <w:rFonts w:cstheme="minorHAnsi"/>
                <w:sz w:val="22"/>
                <w:szCs w:val="22"/>
              </w:rPr>
              <w:t>IOD</w:t>
            </w:r>
          </w:p>
          <w:p w14:paraId="6970CDCB" w14:textId="77777777" w:rsidR="002B0343" w:rsidRPr="00951F0F" w:rsidRDefault="002B0343" w:rsidP="004E266B">
            <w:pPr>
              <w:pStyle w:val="NoSpacing"/>
              <w:jc w:val="center"/>
              <w:rPr>
                <w:rFonts w:cstheme="minorHAnsi"/>
                <w:sz w:val="22"/>
                <w:szCs w:val="22"/>
              </w:rPr>
            </w:pPr>
            <w:r w:rsidRPr="00951F0F">
              <w:rPr>
                <w:rFonts w:cstheme="minorHAnsi"/>
                <w:sz w:val="22"/>
                <w:szCs w:val="22"/>
              </w:rPr>
              <w:t>(</w:t>
            </w:r>
            <w:proofErr w:type="gramStart"/>
            <w:r w:rsidRPr="00951F0F">
              <w:rPr>
                <w:rFonts w:cstheme="minorHAnsi"/>
                <w:sz w:val="22"/>
                <w:szCs w:val="22"/>
              </w:rPr>
              <w:t>limited</w:t>
            </w:r>
            <w:proofErr w:type="gramEnd"/>
            <w:r w:rsidRPr="00951F0F">
              <w:rPr>
                <w:rFonts w:cstheme="minorHAnsi"/>
                <w:sz w:val="22"/>
                <w:szCs w:val="22"/>
              </w:rPr>
              <w:t xml:space="preserve"> duration)</w:t>
            </w:r>
          </w:p>
        </w:tc>
      </w:tr>
      <w:tr w:rsidR="002B0343" w:rsidRPr="00951F0F" w14:paraId="448FBD03" w14:textId="77777777" w:rsidTr="004E266B">
        <w:trPr>
          <w:trHeight w:hRule="exact" w:val="397"/>
        </w:trPr>
        <w:tc>
          <w:tcPr>
            <w:tcW w:w="1271" w:type="dxa"/>
            <w:vAlign w:val="center"/>
          </w:tcPr>
          <w:p w14:paraId="6EE899C7" w14:textId="77777777" w:rsidR="002B0343" w:rsidRPr="00951F0F" w:rsidRDefault="002B0343" w:rsidP="004E266B">
            <w:pPr>
              <w:spacing w:line="480" w:lineRule="auto"/>
              <w:jc w:val="both"/>
              <w:rPr>
                <w:rFonts w:cstheme="minorHAnsi"/>
                <w:sz w:val="22"/>
                <w:szCs w:val="22"/>
              </w:rPr>
            </w:pPr>
            <w:r w:rsidRPr="00951F0F">
              <w:rPr>
                <w:rFonts w:cstheme="minorHAnsi"/>
                <w:sz w:val="22"/>
                <w:szCs w:val="22"/>
              </w:rPr>
              <w:t>Base</w:t>
            </w:r>
          </w:p>
        </w:tc>
        <w:tc>
          <w:tcPr>
            <w:tcW w:w="8080" w:type="dxa"/>
            <w:gridSpan w:val="5"/>
            <w:vAlign w:val="center"/>
          </w:tcPr>
          <w:p w14:paraId="6C6046F9" w14:textId="77777777" w:rsidR="002B0343" w:rsidRPr="00951F0F" w:rsidRDefault="002B0343" w:rsidP="004E266B">
            <w:pPr>
              <w:spacing w:line="480" w:lineRule="auto"/>
              <w:jc w:val="both"/>
              <w:rPr>
                <w:rFonts w:cstheme="minorHAnsi"/>
                <w:sz w:val="22"/>
                <w:szCs w:val="22"/>
              </w:rPr>
            </w:pPr>
            <w:r w:rsidRPr="00951F0F">
              <w:rPr>
                <w:rFonts w:cstheme="minorHAnsi"/>
                <w:sz w:val="22"/>
                <w:szCs w:val="22"/>
              </w:rPr>
              <w:t>Follows emissions of the WMO (2014) A1 scenario</w:t>
            </w:r>
          </w:p>
        </w:tc>
      </w:tr>
      <w:tr w:rsidR="002B0343" w:rsidRPr="00951F0F" w14:paraId="42CCDC1E" w14:textId="77777777" w:rsidTr="004E266B">
        <w:trPr>
          <w:trHeight w:hRule="exact" w:val="397"/>
        </w:trPr>
        <w:tc>
          <w:tcPr>
            <w:tcW w:w="1271" w:type="dxa"/>
            <w:vAlign w:val="center"/>
          </w:tcPr>
          <w:p w14:paraId="5952EDFC" w14:textId="77777777" w:rsidR="002B0343" w:rsidRPr="00951F0F" w:rsidRDefault="002B0343" w:rsidP="004E266B">
            <w:pPr>
              <w:spacing w:line="480" w:lineRule="auto"/>
              <w:jc w:val="both"/>
              <w:rPr>
                <w:rFonts w:cstheme="minorHAnsi"/>
                <w:sz w:val="22"/>
                <w:szCs w:val="22"/>
              </w:rPr>
            </w:pPr>
            <w:r w:rsidRPr="00951F0F">
              <w:rPr>
                <w:rFonts w:cstheme="minorHAnsi"/>
                <w:sz w:val="22"/>
                <w:szCs w:val="22"/>
              </w:rPr>
              <w:t>Scenario 1</w:t>
            </w:r>
          </w:p>
        </w:tc>
        <w:tc>
          <w:tcPr>
            <w:tcW w:w="1985" w:type="dxa"/>
            <w:vAlign w:val="center"/>
          </w:tcPr>
          <w:p w14:paraId="5D80CAD7" w14:textId="77777777" w:rsidR="002B0343" w:rsidRPr="00951F0F" w:rsidRDefault="002B0343" w:rsidP="004E266B">
            <w:pPr>
              <w:spacing w:line="480" w:lineRule="auto"/>
              <w:jc w:val="both"/>
              <w:rPr>
                <w:rFonts w:cstheme="minorHAnsi"/>
                <w:sz w:val="22"/>
                <w:szCs w:val="22"/>
              </w:rPr>
            </w:pPr>
            <w:r w:rsidRPr="00951F0F">
              <w:rPr>
                <w:rFonts w:cstheme="minorHAnsi"/>
                <w:sz w:val="22"/>
                <w:szCs w:val="22"/>
              </w:rPr>
              <w:t>CFC-11</w:t>
            </w:r>
          </w:p>
        </w:tc>
        <w:tc>
          <w:tcPr>
            <w:tcW w:w="2551" w:type="dxa"/>
            <w:vAlign w:val="center"/>
          </w:tcPr>
          <w:p w14:paraId="30F28255" w14:textId="77777777" w:rsidR="002B0343" w:rsidRPr="00951F0F" w:rsidRDefault="002B0343" w:rsidP="004E266B">
            <w:pPr>
              <w:spacing w:line="480" w:lineRule="auto"/>
              <w:jc w:val="both"/>
              <w:rPr>
                <w:rFonts w:cstheme="minorHAnsi"/>
                <w:sz w:val="22"/>
                <w:szCs w:val="22"/>
              </w:rPr>
            </w:pPr>
            <w:r w:rsidRPr="00951F0F">
              <w:rPr>
                <w:rFonts w:cstheme="minorHAnsi"/>
                <w:sz w:val="22"/>
                <w:szCs w:val="22"/>
              </w:rPr>
              <w:t>35 Gg yr</w:t>
            </w:r>
            <w:r w:rsidRPr="00951F0F">
              <w:rPr>
                <w:rFonts w:cstheme="minorHAnsi"/>
                <w:sz w:val="22"/>
                <w:szCs w:val="22"/>
                <w:vertAlign w:val="superscript"/>
              </w:rPr>
              <w:t>−1</w:t>
            </w:r>
          </w:p>
        </w:tc>
        <w:tc>
          <w:tcPr>
            <w:tcW w:w="1134" w:type="dxa"/>
            <w:vAlign w:val="center"/>
          </w:tcPr>
          <w:p w14:paraId="627EC3C1" w14:textId="77777777" w:rsidR="002B0343" w:rsidRPr="00951F0F" w:rsidRDefault="002B0343" w:rsidP="004E266B">
            <w:pPr>
              <w:spacing w:line="480" w:lineRule="auto"/>
              <w:jc w:val="both"/>
              <w:rPr>
                <w:rFonts w:cstheme="minorHAnsi"/>
                <w:sz w:val="22"/>
                <w:szCs w:val="22"/>
              </w:rPr>
            </w:pPr>
            <w:r w:rsidRPr="00951F0F">
              <w:rPr>
                <w:rFonts w:cstheme="minorHAnsi"/>
                <w:sz w:val="22"/>
                <w:szCs w:val="22"/>
              </w:rPr>
              <w:t>7 years</w:t>
            </w:r>
          </w:p>
        </w:tc>
        <w:tc>
          <w:tcPr>
            <w:tcW w:w="1276" w:type="dxa"/>
          </w:tcPr>
          <w:p w14:paraId="3428AAE4" w14:textId="77777777" w:rsidR="002B0343" w:rsidRPr="00951F0F" w:rsidRDefault="002B0343" w:rsidP="004E266B">
            <w:pPr>
              <w:pStyle w:val="HTMLPreformatted"/>
              <w:shd w:val="clear" w:color="auto" w:fill="FFFFFF"/>
              <w:wordWrap w:val="0"/>
              <w:rPr>
                <w:rFonts w:asciiTheme="minorHAnsi" w:hAnsiTheme="minorHAnsi" w:cstheme="minorHAnsi"/>
                <w:sz w:val="22"/>
                <w:szCs w:val="22"/>
              </w:rPr>
            </w:pPr>
            <w:r w:rsidRPr="00951F0F">
              <w:rPr>
                <w:rFonts w:asciiTheme="minorHAnsi" w:hAnsiTheme="minorHAnsi" w:cstheme="minorHAnsi"/>
                <w:sz w:val="22"/>
                <w:szCs w:val="22"/>
              </w:rPr>
              <w:t>29.3</w:t>
            </w:r>
          </w:p>
        </w:tc>
        <w:tc>
          <w:tcPr>
            <w:tcW w:w="1134" w:type="dxa"/>
          </w:tcPr>
          <w:p w14:paraId="1730B643" w14:textId="77777777" w:rsidR="002B0343" w:rsidRPr="00951F0F" w:rsidRDefault="002B0343" w:rsidP="004E266B">
            <w:pPr>
              <w:pStyle w:val="HTMLPreformatted"/>
              <w:shd w:val="clear" w:color="auto" w:fill="FFFFFF"/>
              <w:wordWrap w:val="0"/>
              <w:rPr>
                <w:rFonts w:asciiTheme="minorHAnsi" w:hAnsiTheme="minorHAnsi" w:cstheme="minorHAnsi"/>
                <w:sz w:val="22"/>
                <w:szCs w:val="22"/>
              </w:rPr>
            </w:pPr>
            <w:r w:rsidRPr="00951F0F">
              <w:rPr>
                <w:rFonts w:asciiTheme="minorHAnsi" w:hAnsiTheme="minorHAnsi" w:cstheme="minorHAnsi"/>
                <w:sz w:val="22"/>
                <w:szCs w:val="22"/>
              </w:rPr>
              <w:t>29.3</w:t>
            </w:r>
          </w:p>
        </w:tc>
      </w:tr>
      <w:tr w:rsidR="002B0343" w:rsidRPr="00951F0F" w14:paraId="6675F20E" w14:textId="77777777" w:rsidTr="004E266B">
        <w:trPr>
          <w:trHeight w:hRule="exact" w:val="397"/>
        </w:trPr>
        <w:tc>
          <w:tcPr>
            <w:tcW w:w="1271" w:type="dxa"/>
            <w:vAlign w:val="center"/>
          </w:tcPr>
          <w:p w14:paraId="48253215" w14:textId="77777777" w:rsidR="002B0343" w:rsidRPr="00951F0F" w:rsidRDefault="002B0343" w:rsidP="004E266B">
            <w:pPr>
              <w:spacing w:line="480" w:lineRule="auto"/>
              <w:jc w:val="both"/>
              <w:rPr>
                <w:rFonts w:cstheme="minorHAnsi"/>
                <w:sz w:val="22"/>
                <w:szCs w:val="22"/>
              </w:rPr>
            </w:pPr>
            <w:r w:rsidRPr="00951F0F">
              <w:rPr>
                <w:rFonts w:cstheme="minorHAnsi"/>
                <w:sz w:val="22"/>
                <w:szCs w:val="22"/>
              </w:rPr>
              <w:t>Scenario 2</w:t>
            </w:r>
          </w:p>
        </w:tc>
        <w:tc>
          <w:tcPr>
            <w:tcW w:w="1985" w:type="dxa"/>
            <w:vAlign w:val="center"/>
          </w:tcPr>
          <w:p w14:paraId="55FF1888" w14:textId="77777777" w:rsidR="002B0343" w:rsidRPr="00951F0F" w:rsidRDefault="002B0343" w:rsidP="004E266B">
            <w:pPr>
              <w:spacing w:line="480" w:lineRule="auto"/>
              <w:jc w:val="both"/>
              <w:rPr>
                <w:rFonts w:cstheme="minorHAnsi"/>
                <w:sz w:val="22"/>
                <w:szCs w:val="22"/>
              </w:rPr>
            </w:pPr>
            <w:r w:rsidRPr="00951F0F">
              <w:rPr>
                <w:rFonts w:cstheme="minorHAnsi"/>
                <w:sz w:val="22"/>
                <w:szCs w:val="22"/>
              </w:rPr>
              <w:t>CFC-11</w:t>
            </w:r>
          </w:p>
        </w:tc>
        <w:tc>
          <w:tcPr>
            <w:tcW w:w="2551" w:type="dxa"/>
            <w:vAlign w:val="center"/>
          </w:tcPr>
          <w:p w14:paraId="365D0F7F" w14:textId="77777777" w:rsidR="002B0343" w:rsidRPr="00951F0F" w:rsidRDefault="002B0343" w:rsidP="004E266B">
            <w:pPr>
              <w:spacing w:line="480" w:lineRule="auto"/>
              <w:jc w:val="both"/>
              <w:rPr>
                <w:rFonts w:cstheme="minorHAnsi"/>
                <w:sz w:val="22"/>
                <w:szCs w:val="22"/>
              </w:rPr>
            </w:pPr>
            <w:r w:rsidRPr="00951F0F">
              <w:rPr>
                <w:rFonts w:cstheme="minorHAnsi"/>
                <w:sz w:val="22"/>
                <w:szCs w:val="22"/>
              </w:rPr>
              <w:t>35 Gg yr</w:t>
            </w:r>
            <w:r w:rsidRPr="00951F0F">
              <w:rPr>
                <w:rFonts w:cstheme="minorHAnsi"/>
                <w:sz w:val="22"/>
                <w:szCs w:val="22"/>
                <w:vertAlign w:val="superscript"/>
              </w:rPr>
              <w:t>−1</w:t>
            </w:r>
          </w:p>
        </w:tc>
        <w:tc>
          <w:tcPr>
            <w:tcW w:w="1134" w:type="dxa"/>
            <w:vAlign w:val="center"/>
          </w:tcPr>
          <w:p w14:paraId="2B2838CE" w14:textId="77777777" w:rsidR="002B0343" w:rsidRPr="00951F0F" w:rsidRDefault="002B0343" w:rsidP="004E266B">
            <w:pPr>
              <w:spacing w:line="480" w:lineRule="auto"/>
              <w:jc w:val="both"/>
              <w:rPr>
                <w:rFonts w:cstheme="minorHAnsi"/>
                <w:sz w:val="22"/>
                <w:szCs w:val="22"/>
              </w:rPr>
            </w:pPr>
            <w:r w:rsidRPr="00951F0F">
              <w:rPr>
                <w:rFonts w:cstheme="minorHAnsi"/>
                <w:sz w:val="22"/>
                <w:szCs w:val="22"/>
              </w:rPr>
              <w:t>15 years</w:t>
            </w:r>
          </w:p>
        </w:tc>
        <w:tc>
          <w:tcPr>
            <w:tcW w:w="1276" w:type="dxa"/>
          </w:tcPr>
          <w:p w14:paraId="4117FD1E" w14:textId="77777777" w:rsidR="002B0343" w:rsidRPr="00951F0F" w:rsidRDefault="002B0343" w:rsidP="004E266B">
            <w:pPr>
              <w:pStyle w:val="HTMLPreformatted"/>
              <w:shd w:val="clear" w:color="auto" w:fill="FFFFFF"/>
              <w:wordWrap w:val="0"/>
              <w:rPr>
                <w:rFonts w:asciiTheme="minorHAnsi" w:hAnsiTheme="minorHAnsi" w:cstheme="minorHAnsi"/>
                <w:sz w:val="22"/>
                <w:szCs w:val="22"/>
              </w:rPr>
            </w:pPr>
            <w:r w:rsidRPr="00951F0F">
              <w:rPr>
                <w:rFonts w:asciiTheme="minorHAnsi" w:hAnsiTheme="minorHAnsi" w:cstheme="minorHAnsi"/>
                <w:sz w:val="22"/>
                <w:szCs w:val="22"/>
              </w:rPr>
              <w:t>89.3</w:t>
            </w:r>
          </w:p>
        </w:tc>
        <w:tc>
          <w:tcPr>
            <w:tcW w:w="1134" w:type="dxa"/>
          </w:tcPr>
          <w:p w14:paraId="50565046" w14:textId="77777777" w:rsidR="002B0343" w:rsidRPr="00951F0F" w:rsidRDefault="002B0343" w:rsidP="004E266B">
            <w:pPr>
              <w:pStyle w:val="HTMLPreformatted"/>
              <w:shd w:val="clear" w:color="auto" w:fill="FFFFFF"/>
              <w:wordWrap w:val="0"/>
              <w:rPr>
                <w:rFonts w:asciiTheme="minorHAnsi" w:hAnsiTheme="minorHAnsi" w:cstheme="minorHAnsi"/>
                <w:sz w:val="22"/>
                <w:szCs w:val="22"/>
              </w:rPr>
            </w:pPr>
            <w:r w:rsidRPr="00951F0F">
              <w:rPr>
                <w:rFonts w:asciiTheme="minorHAnsi" w:hAnsiTheme="minorHAnsi" w:cstheme="minorHAnsi"/>
                <w:sz w:val="22"/>
                <w:szCs w:val="22"/>
              </w:rPr>
              <w:t>89.3</w:t>
            </w:r>
          </w:p>
          <w:p w14:paraId="1A52683F" w14:textId="77777777" w:rsidR="002B0343" w:rsidRPr="00951F0F" w:rsidRDefault="002B0343" w:rsidP="004E266B">
            <w:pPr>
              <w:spacing w:line="480" w:lineRule="auto"/>
              <w:jc w:val="both"/>
              <w:rPr>
                <w:rFonts w:cstheme="minorHAnsi"/>
                <w:sz w:val="22"/>
                <w:szCs w:val="22"/>
              </w:rPr>
            </w:pPr>
          </w:p>
        </w:tc>
      </w:tr>
      <w:tr w:rsidR="002B0343" w:rsidRPr="00951F0F" w14:paraId="0209AA39" w14:textId="77777777" w:rsidTr="004E266B">
        <w:trPr>
          <w:trHeight w:hRule="exact" w:val="397"/>
        </w:trPr>
        <w:tc>
          <w:tcPr>
            <w:tcW w:w="1271" w:type="dxa"/>
            <w:vAlign w:val="center"/>
          </w:tcPr>
          <w:p w14:paraId="55D3F3A1" w14:textId="77777777" w:rsidR="002B0343" w:rsidRPr="00951F0F" w:rsidRDefault="002B0343" w:rsidP="004E266B">
            <w:pPr>
              <w:spacing w:line="480" w:lineRule="auto"/>
              <w:jc w:val="both"/>
              <w:rPr>
                <w:rFonts w:cstheme="minorHAnsi"/>
                <w:sz w:val="22"/>
                <w:szCs w:val="22"/>
              </w:rPr>
            </w:pPr>
            <w:r w:rsidRPr="00951F0F">
              <w:rPr>
                <w:rFonts w:cstheme="minorHAnsi"/>
                <w:sz w:val="22"/>
                <w:szCs w:val="22"/>
              </w:rPr>
              <w:t>Scenario 3</w:t>
            </w:r>
          </w:p>
        </w:tc>
        <w:tc>
          <w:tcPr>
            <w:tcW w:w="1985" w:type="dxa"/>
            <w:vAlign w:val="center"/>
          </w:tcPr>
          <w:p w14:paraId="3F363A96" w14:textId="77777777" w:rsidR="002B0343" w:rsidRPr="00951F0F" w:rsidRDefault="002B0343" w:rsidP="004E266B">
            <w:pPr>
              <w:spacing w:line="480" w:lineRule="auto"/>
              <w:jc w:val="both"/>
              <w:rPr>
                <w:rFonts w:cstheme="minorHAnsi"/>
                <w:b/>
                <w:sz w:val="22"/>
                <w:szCs w:val="22"/>
              </w:rPr>
            </w:pPr>
            <w:r w:rsidRPr="00951F0F">
              <w:rPr>
                <w:rFonts w:cstheme="minorHAnsi"/>
                <w:sz w:val="22"/>
                <w:szCs w:val="22"/>
              </w:rPr>
              <w:t>CFC-11</w:t>
            </w:r>
          </w:p>
        </w:tc>
        <w:tc>
          <w:tcPr>
            <w:tcW w:w="2551" w:type="dxa"/>
            <w:vAlign w:val="center"/>
          </w:tcPr>
          <w:p w14:paraId="1E7250D4" w14:textId="77777777" w:rsidR="002B0343" w:rsidRPr="00951F0F" w:rsidRDefault="002B0343" w:rsidP="004E266B">
            <w:pPr>
              <w:spacing w:line="480" w:lineRule="auto"/>
              <w:jc w:val="both"/>
              <w:rPr>
                <w:rFonts w:cstheme="minorHAnsi"/>
                <w:sz w:val="22"/>
                <w:szCs w:val="22"/>
              </w:rPr>
            </w:pPr>
            <w:r w:rsidRPr="00951F0F">
              <w:rPr>
                <w:rFonts w:cstheme="minorHAnsi"/>
                <w:sz w:val="22"/>
                <w:szCs w:val="22"/>
              </w:rPr>
              <w:t>35 Gg yr</w:t>
            </w:r>
            <w:r w:rsidRPr="00951F0F">
              <w:rPr>
                <w:rFonts w:cstheme="minorHAnsi"/>
                <w:sz w:val="22"/>
                <w:szCs w:val="22"/>
                <w:vertAlign w:val="superscript"/>
              </w:rPr>
              <w:t>−1</w:t>
            </w:r>
          </w:p>
        </w:tc>
        <w:tc>
          <w:tcPr>
            <w:tcW w:w="1134" w:type="dxa"/>
            <w:vAlign w:val="center"/>
          </w:tcPr>
          <w:p w14:paraId="2293A1AB" w14:textId="77777777" w:rsidR="002B0343" w:rsidRPr="00951F0F" w:rsidRDefault="002B0343" w:rsidP="004E266B">
            <w:pPr>
              <w:spacing w:line="480" w:lineRule="auto"/>
              <w:jc w:val="both"/>
              <w:rPr>
                <w:rFonts w:cstheme="minorHAnsi"/>
                <w:sz w:val="22"/>
                <w:szCs w:val="22"/>
              </w:rPr>
            </w:pPr>
            <w:r w:rsidRPr="00951F0F">
              <w:rPr>
                <w:rFonts w:cstheme="minorHAnsi"/>
                <w:sz w:val="22"/>
                <w:szCs w:val="22"/>
              </w:rPr>
              <w:t>30 years</w:t>
            </w:r>
          </w:p>
        </w:tc>
        <w:tc>
          <w:tcPr>
            <w:tcW w:w="1276" w:type="dxa"/>
          </w:tcPr>
          <w:p w14:paraId="14ADEFFF" w14:textId="77777777" w:rsidR="002B0343" w:rsidRPr="00951F0F" w:rsidRDefault="002B0343" w:rsidP="004E266B">
            <w:pPr>
              <w:pStyle w:val="HTMLPreformatted"/>
              <w:shd w:val="clear" w:color="auto" w:fill="FFFFFF"/>
              <w:wordWrap w:val="0"/>
              <w:rPr>
                <w:rFonts w:asciiTheme="minorHAnsi" w:hAnsiTheme="minorHAnsi" w:cstheme="minorHAnsi"/>
                <w:sz w:val="22"/>
                <w:szCs w:val="22"/>
              </w:rPr>
            </w:pPr>
            <w:r w:rsidRPr="00951F0F">
              <w:rPr>
                <w:rFonts w:asciiTheme="minorHAnsi" w:hAnsiTheme="minorHAnsi" w:cstheme="minorHAnsi"/>
                <w:sz w:val="22"/>
                <w:szCs w:val="22"/>
              </w:rPr>
              <w:t>98.4</w:t>
            </w:r>
          </w:p>
          <w:p w14:paraId="6FDCB910" w14:textId="77777777" w:rsidR="002B0343" w:rsidRPr="00951F0F" w:rsidRDefault="002B0343" w:rsidP="004E266B">
            <w:pPr>
              <w:spacing w:line="480" w:lineRule="auto"/>
              <w:rPr>
                <w:rFonts w:cstheme="minorHAnsi"/>
                <w:sz w:val="22"/>
                <w:szCs w:val="22"/>
              </w:rPr>
            </w:pPr>
          </w:p>
        </w:tc>
        <w:tc>
          <w:tcPr>
            <w:tcW w:w="1134" w:type="dxa"/>
          </w:tcPr>
          <w:p w14:paraId="01B49A32" w14:textId="77777777" w:rsidR="002B0343" w:rsidRPr="00951F0F" w:rsidRDefault="002B0343" w:rsidP="004E266B">
            <w:pPr>
              <w:pStyle w:val="HTMLPreformatted"/>
              <w:shd w:val="clear" w:color="auto" w:fill="FFFFFF"/>
              <w:wordWrap w:val="0"/>
              <w:rPr>
                <w:rFonts w:asciiTheme="minorHAnsi" w:hAnsiTheme="minorHAnsi" w:cstheme="minorHAnsi"/>
                <w:sz w:val="22"/>
                <w:szCs w:val="22"/>
              </w:rPr>
            </w:pPr>
            <w:r w:rsidRPr="00951F0F">
              <w:rPr>
                <w:rFonts w:asciiTheme="minorHAnsi" w:hAnsiTheme="minorHAnsi" w:cstheme="minorHAnsi"/>
                <w:sz w:val="22"/>
                <w:szCs w:val="22"/>
              </w:rPr>
              <w:t>98.4</w:t>
            </w:r>
          </w:p>
          <w:p w14:paraId="088C1B8D" w14:textId="77777777" w:rsidR="002B0343" w:rsidRPr="00951F0F" w:rsidRDefault="002B0343" w:rsidP="004E266B">
            <w:pPr>
              <w:spacing w:line="480" w:lineRule="auto"/>
              <w:jc w:val="both"/>
              <w:rPr>
                <w:rFonts w:cstheme="minorHAnsi"/>
                <w:sz w:val="22"/>
                <w:szCs w:val="22"/>
              </w:rPr>
            </w:pPr>
          </w:p>
        </w:tc>
      </w:tr>
      <w:tr w:rsidR="002B0343" w:rsidRPr="00951F0F" w14:paraId="2348D501" w14:textId="77777777" w:rsidTr="004E266B">
        <w:trPr>
          <w:trHeight w:hRule="exact" w:val="397"/>
        </w:trPr>
        <w:tc>
          <w:tcPr>
            <w:tcW w:w="1271" w:type="dxa"/>
            <w:vAlign w:val="center"/>
          </w:tcPr>
          <w:p w14:paraId="47D40771" w14:textId="77777777" w:rsidR="002B0343" w:rsidRPr="00951F0F" w:rsidRDefault="002B0343" w:rsidP="004E266B">
            <w:pPr>
              <w:spacing w:line="480" w:lineRule="auto"/>
              <w:jc w:val="both"/>
              <w:rPr>
                <w:rFonts w:cstheme="minorHAnsi"/>
                <w:sz w:val="22"/>
                <w:szCs w:val="22"/>
              </w:rPr>
            </w:pPr>
            <w:r w:rsidRPr="00951F0F">
              <w:rPr>
                <w:rFonts w:cstheme="minorHAnsi"/>
                <w:sz w:val="22"/>
                <w:szCs w:val="22"/>
              </w:rPr>
              <w:t>Scenario 4</w:t>
            </w:r>
          </w:p>
        </w:tc>
        <w:tc>
          <w:tcPr>
            <w:tcW w:w="1985" w:type="dxa"/>
            <w:vAlign w:val="center"/>
          </w:tcPr>
          <w:p w14:paraId="2C2E5439" w14:textId="77777777" w:rsidR="002B0343" w:rsidRPr="00951F0F" w:rsidRDefault="002B0343" w:rsidP="004E266B">
            <w:pPr>
              <w:spacing w:line="480" w:lineRule="auto"/>
              <w:jc w:val="both"/>
              <w:rPr>
                <w:rFonts w:cstheme="minorHAnsi"/>
                <w:sz w:val="22"/>
                <w:szCs w:val="22"/>
              </w:rPr>
            </w:pPr>
            <w:r w:rsidRPr="00951F0F">
              <w:rPr>
                <w:rFonts w:cstheme="minorHAnsi"/>
                <w:sz w:val="22"/>
                <w:szCs w:val="22"/>
              </w:rPr>
              <w:t>CFC-11</w:t>
            </w:r>
          </w:p>
        </w:tc>
        <w:tc>
          <w:tcPr>
            <w:tcW w:w="2551" w:type="dxa"/>
            <w:vAlign w:val="center"/>
          </w:tcPr>
          <w:p w14:paraId="0861CDF3" w14:textId="77777777" w:rsidR="002B0343" w:rsidRPr="00951F0F" w:rsidRDefault="002B0343" w:rsidP="004E266B">
            <w:pPr>
              <w:spacing w:line="480" w:lineRule="auto"/>
              <w:jc w:val="both"/>
              <w:rPr>
                <w:rFonts w:cstheme="minorHAnsi"/>
                <w:sz w:val="22"/>
                <w:szCs w:val="22"/>
              </w:rPr>
            </w:pPr>
            <w:r w:rsidRPr="00951F0F">
              <w:rPr>
                <w:rFonts w:cstheme="minorHAnsi"/>
                <w:sz w:val="22"/>
                <w:szCs w:val="22"/>
              </w:rPr>
              <w:t>15 Gg yr</w:t>
            </w:r>
            <w:r w:rsidRPr="00951F0F">
              <w:rPr>
                <w:rFonts w:cstheme="minorHAnsi"/>
                <w:sz w:val="22"/>
                <w:szCs w:val="22"/>
                <w:vertAlign w:val="superscript"/>
              </w:rPr>
              <w:t>−1</w:t>
            </w:r>
            <w:r w:rsidRPr="00951F0F">
              <w:rPr>
                <w:rFonts w:cstheme="minorHAnsi"/>
                <w:sz w:val="22"/>
                <w:szCs w:val="22"/>
              </w:rPr>
              <w:t xml:space="preserve"> + bank emission</w:t>
            </w:r>
          </w:p>
        </w:tc>
        <w:tc>
          <w:tcPr>
            <w:tcW w:w="1134" w:type="dxa"/>
            <w:vAlign w:val="center"/>
          </w:tcPr>
          <w:p w14:paraId="2B26A272" w14:textId="77777777" w:rsidR="002B0343" w:rsidRPr="00951F0F" w:rsidRDefault="002B0343" w:rsidP="004E266B">
            <w:pPr>
              <w:spacing w:line="480" w:lineRule="auto"/>
              <w:jc w:val="both"/>
              <w:rPr>
                <w:rFonts w:cstheme="minorHAnsi"/>
                <w:sz w:val="22"/>
                <w:szCs w:val="22"/>
              </w:rPr>
            </w:pPr>
            <w:r w:rsidRPr="00951F0F">
              <w:rPr>
                <w:rFonts w:cstheme="minorHAnsi"/>
                <w:sz w:val="22"/>
                <w:szCs w:val="22"/>
              </w:rPr>
              <w:t>7 years</w:t>
            </w:r>
          </w:p>
        </w:tc>
        <w:tc>
          <w:tcPr>
            <w:tcW w:w="1276" w:type="dxa"/>
          </w:tcPr>
          <w:p w14:paraId="0432A79D" w14:textId="77777777" w:rsidR="002B0343" w:rsidRPr="00951F0F" w:rsidRDefault="002B0343" w:rsidP="004E266B">
            <w:pPr>
              <w:pStyle w:val="HTMLPreformatted"/>
              <w:shd w:val="clear" w:color="auto" w:fill="FFFFFF"/>
              <w:wordWrap w:val="0"/>
              <w:rPr>
                <w:rFonts w:asciiTheme="minorHAnsi" w:hAnsiTheme="minorHAnsi" w:cstheme="minorHAnsi"/>
                <w:sz w:val="22"/>
                <w:szCs w:val="22"/>
              </w:rPr>
            </w:pPr>
            <w:r w:rsidRPr="00951F0F">
              <w:rPr>
                <w:rFonts w:asciiTheme="minorHAnsi" w:hAnsiTheme="minorHAnsi" w:cstheme="minorHAnsi"/>
                <w:sz w:val="22"/>
                <w:szCs w:val="22"/>
              </w:rPr>
              <w:t>34.4</w:t>
            </w:r>
          </w:p>
        </w:tc>
        <w:tc>
          <w:tcPr>
            <w:tcW w:w="1134" w:type="dxa"/>
          </w:tcPr>
          <w:p w14:paraId="2654EE5B" w14:textId="77777777" w:rsidR="002B0343" w:rsidRPr="00951F0F" w:rsidRDefault="002B0343" w:rsidP="004E266B">
            <w:pPr>
              <w:spacing w:line="480" w:lineRule="auto"/>
              <w:jc w:val="both"/>
              <w:rPr>
                <w:rFonts w:cstheme="minorHAnsi"/>
                <w:sz w:val="22"/>
                <w:szCs w:val="22"/>
              </w:rPr>
            </w:pPr>
            <w:r w:rsidRPr="00951F0F">
              <w:rPr>
                <w:rFonts w:cstheme="minorHAnsi"/>
                <w:sz w:val="22"/>
                <w:szCs w:val="22"/>
              </w:rPr>
              <w:t>34.4</w:t>
            </w:r>
          </w:p>
        </w:tc>
      </w:tr>
      <w:tr w:rsidR="002B0343" w:rsidRPr="00951F0F" w14:paraId="0D728FF5" w14:textId="77777777" w:rsidTr="004E266B">
        <w:trPr>
          <w:trHeight w:hRule="exact" w:val="397"/>
        </w:trPr>
        <w:tc>
          <w:tcPr>
            <w:tcW w:w="1271" w:type="dxa"/>
            <w:vAlign w:val="center"/>
          </w:tcPr>
          <w:p w14:paraId="3C2046D4" w14:textId="77777777" w:rsidR="002B0343" w:rsidRPr="00951F0F" w:rsidRDefault="002B0343" w:rsidP="004E266B">
            <w:pPr>
              <w:spacing w:line="480" w:lineRule="auto"/>
              <w:jc w:val="both"/>
              <w:rPr>
                <w:rFonts w:cstheme="minorHAnsi"/>
                <w:sz w:val="22"/>
                <w:szCs w:val="22"/>
              </w:rPr>
            </w:pPr>
            <w:r w:rsidRPr="00951F0F">
              <w:rPr>
                <w:rFonts w:cstheme="minorHAnsi"/>
                <w:sz w:val="22"/>
                <w:szCs w:val="22"/>
              </w:rPr>
              <w:t>Scenario 5</w:t>
            </w:r>
          </w:p>
        </w:tc>
        <w:tc>
          <w:tcPr>
            <w:tcW w:w="1985" w:type="dxa"/>
            <w:vAlign w:val="center"/>
          </w:tcPr>
          <w:p w14:paraId="3D4A0716" w14:textId="77777777" w:rsidR="002B0343" w:rsidRPr="00951F0F" w:rsidRDefault="002B0343" w:rsidP="004E266B">
            <w:pPr>
              <w:spacing w:line="480" w:lineRule="auto"/>
              <w:jc w:val="both"/>
              <w:rPr>
                <w:rFonts w:cstheme="minorHAnsi"/>
                <w:b/>
                <w:sz w:val="22"/>
                <w:szCs w:val="22"/>
              </w:rPr>
            </w:pPr>
            <w:r w:rsidRPr="00951F0F">
              <w:rPr>
                <w:rFonts w:cstheme="minorHAnsi"/>
                <w:sz w:val="22"/>
                <w:szCs w:val="22"/>
              </w:rPr>
              <w:t>CFC-11</w:t>
            </w:r>
          </w:p>
        </w:tc>
        <w:tc>
          <w:tcPr>
            <w:tcW w:w="2551" w:type="dxa"/>
            <w:vAlign w:val="center"/>
          </w:tcPr>
          <w:p w14:paraId="5BFEA930" w14:textId="77777777" w:rsidR="002B0343" w:rsidRPr="00951F0F" w:rsidRDefault="002B0343" w:rsidP="004E266B">
            <w:pPr>
              <w:spacing w:line="480" w:lineRule="auto"/>
              <w:jc w:val="both"/>
              <w:rPr>
                <w:rFonts w:cstheme="minorHAnsi"/>
                <w:sz w:val="22"/>
                <w:szCs w:val="22"/>
              </w:rPr>
            </w:pPr>
            <w:r w:rsidRPr="00951F0F">
              <w:rPr>
                <w:rFonts w:cstheme="minorHAnsi"/>
                <w:sz w:val="22"/>
                <w:szCs w:val="22"/>
              </w:rPr>
              <w:t>15 Gg yr</w:t>
            </w:r>
            <w:r w:rsidRPr="00951F0F">
              <w:rPr>
                <w:rFonts w:cstheme="minorHAnsi"/>
                <w:sz w:val="22"/>
                <w:szCs w:val="22"/>
                <w:vertAlign w:val="superscript"/>
              </w:rPr>
              <w:t>−1</w:t>
            </w:r>
            <w:r w:rsidRPr="00951F0F">
              <w:rPr>
                <w:rFonts w:cstheme="minorHAnsi"/>
                <w:sz w:val="22"/>
                <w:szCs w:val="22"/>
              </w:rPr>
              <w:t xml:space="preserve"> + bank emission</w:t>
            </w:r>
          </w:p>
        </w:tc>
        <w:tc>
          <w:tcPr>
            <w:tcW w:w="1134" w:type="dxa"/>
            <w:vAlign w:val="center"/>
          </w:tcPr>
          <w:p w14:paraId="53AD7A3E" w14:textId="77777777" w:rsidR="002B0343" w:rsidRPr="00951F0F" w:rsidRDefault="002B0343" w:rsidP="004E266B">
            <w:pPr>
              <w:spacing w:line="480" w:lineRule="auto"/>
              <w:jc w:val="both"/>
              <w:rPr>
                <w:rFonts w:cstheme="minorHAnsi"/>
                <w:sz w:val="22"/>
                <w:szCs w:val="22"/>
              </w:rPr>
            </w:pPr>
            <w:r w:rsidRPr="00951F0F">
              <w:rPr>
                <w:rFonts w:cstheme="minorHAnsi"/>
                <w:sz w:val="22"/>
                <w:szCs w:val="22"/>
              </w:rPr>
              <w:t>15 years</w:t>
            </w:r>
          </w:p>
        </w:tc>
        <w:tc>
          <w:tcPr>
            <w:tcW w:w="1276" w:type="dxa"/>
          </w:tcPr>
          <w:p w14:paraId="41377444" w14:textId="77777777" w:rsidR="002B0343" w:rsidRPr="00951F0F" w:rsidRDefault="002B0343" w:rsidP="004E266B">
            <w:pPr>
              <w:pStyle w:val="HTMLPreformatted"/>
              <w:shd w:val="clear" w:color="auto" w:fill="FFFFFF"/>
              <w:wordWrap w:val="0"/>
              <w:rPr>
                <w:rFonts w:asciiTheme="minorHAnsi" w:hAnsiTheme="minorHAnsi" w:cstheme="minorHAnsi"/>
                <w:sz w:val="22"/>
                <w:szCs w:val="22"/>
              </w:rPr>
            </w:pPr>
            <w:r w:rsidRPr="00951F0F">
              <w:rPr>
                <w:rFonts w:asciiTheme="minorHAnsi" w:hAnsiTheme="minorHAnsi" w:cstheme="minorHAnsi"/>
                <w:sz w:val="22"/>
                <w:szCs w:val="22"/>
              </w:rPr>
              <w:t>111.4</w:t>
            </w:r>
          </w:p>
        </w:tc>
        <w:tc>
          <w:tcPr>
            <w:tcW w:w="1134" w:type="dxa"/>
          </w:tcPr>
          <w:p w14:paraId="07742315" w14:textId="77777777" w:rsidR="002B0343" w:rsidRPr="00951F0F" w:rsidRDefault="002B0343" w:rsidP="004E266B">
            <w:pPr>
              <w:spacing w:line="480" w:lineRule="auto"/>
              <w:jc w:val="both"/>
              <w:rPr>
                <w:rFonts w:cstheme="minorHAnsi"/>
                <w:sz w:val="22"/>
                <w:szCs w:val="22"/>
              </w:rPr>
            </w:pPr>
            <w:r w:rsidRPr="00951F0F">
              <w:rPr>
                <w:rFonts w:cstheme="minorHAnsi"/>
                <w:sz w:val="22"/>
                <w:szCs w:val="22"/>
              </w:rPr>
              <w:t>111.4</w:t>
            </w:r>
          </w:p>
        </w:tc>
      </w:tr>
      <w:tr w:rsidR="002B0343" w:rsidRPr="00951F0F" w14:paraId="1FCFD225" w14:textId="77777777" w:rsidTr="004E266B">
        <w:trPr>
          <w:trHeight w:hRule="exact" w:val="397"/>
        </w:trPr>
        <w:tc>
          <w:tcPr>
            <w:tcW w:w="1271" w:type="dxa"/>
            <w:vAlign w:val="center"/>
          </w:tcPr>
          <w:p w14:paraId="7F096DBC" w14:textId="77777777" w:rsidR="002B0343" w:rsidRPr="00951F0F" w:rsidRDefault="002B0343" w:rsidP="004E266B">
            <w:pPr>
              <w:spacing w:line="480" w:lineRule="auto"/>
              <w:jc w:val="both"/>
              <w:rPr>
                <w:rFonts w:cstheme="minorHAnsi"/>
                <w:sz w:val="22"/>
                <w:szCs w:val="22"/>
              </w:rPr>
            </w:pPr>
            <w:r w:rsidRPr="00951F0F">
              <w:rPr>
                <w:rFonts w:cstheme="minorHAnsi"/>
                <w:sz w:val="22"/>
                <w:szCs w:val="22"/>
              </w:rPr>
              <w:t>Scenario 6</w:t>
            </w:r>
          </w:p>
        </w:tc>
        <w:tc>
          <w:tcPr>
            <w:tcW w:w="1985" w:type="dxa"/>
            <w:vAlign w:val="center"/>
          </w:tcPr>
          <w:p w14:paraId="27C3CD4B" w14:textId="77777777" w:rsidR="002B0343" w:rsidRPr="00951F0F" w:rsidRDefault="002B0343" w:rsidP="004E266B">
            <w:pPr>
              <w:spacing w:line="480" w:lineRule="auto"/>
              <w:jc w:val="both"/>
              <w:rPr>
                <w:rFonts w:cstheme="minorHAnsi"/>
                <w:b/>
                <w:sz w:val="22"/>
                <w:szCs w:val="22"/>
              </w:rPr>
            </w:pPr>
            <w:r w:rsidRPr="00951F0F">
              <w:rPr>
                <w:rFonts w:cstheme="minorHAnsi"/>
                <w:sz w:val="22"/>
                <w:szCs w:val="22"/>
              </w:rPr>
              <w:t>CFC-11</w:t>
            </w:r>
          </w:p>
        </w:tc>
        <w:tc>
          <w:tcPr>
            <w:tcW w:w="2551" w:type="dxa"/>
            <w:vAlign w:val="center"/>
          </w:tcPr>
          <w:p w14:paraId="1DA783CD" w14:textId="77777777" w:rsidR="002B0343" w:rsidRPr="00951F0F" w:rsidRDefault="002B0343" w:rsidP="004E266B">
            <w:pPr>
              <w:spacing w:line="480" w:lineRule="auto"/>
              <w:jc w:val="both"/>
              <w:rPr>
                <w:rFonts w:cstheme="minorHAnsi"/>
                <w:sz w:val="22"/>
                <w:szCs w:val="22"/>
              </w:rPr>
            </w:pPr>
            <w:r w:rsidRPr="00951F0F">
              <w:rPr>
                <w:rFonts w:cstheme="minorHAnsi"/>
                <w:sz w:val="22"/>
                <w:szCs w:val="22"/>
              </w:rPr>
              <w:t>15 Gg yr</w:t>
            </w:r>
            <w:r w:rsidRPr="00951F0F">
              <w:rPr>
                <w:rFonts w:cstheme="minorHAnsi"/>
                <w:sz w:val="22"/>
                <w:szCs w:val="22"/>
                <w:vertAlign w:val="superscript"/>
              </w:rPr>
              <w:t>−1</w:t>
            </w:r>
            <w:r w:rsidRPr="00951F0F">
              <w:rPr>
                <w:rFonts w:cstheme="minorHAnsi"/>
                <w:sz w:val="22"/>
                <w:szCs w:val="22"/>
              </w:rPr>
              <w:t xml:space="preserve"> + bank emission</w:t>
            </w:r>
          </w:p>
        </w:tc>
        <w:tc>
          <w:tcPr>
            <w:tcW w:w="1134" w:type="dxa"/>
            <w:vAlign w:val="center"/>
          </w:tcPr>
          <w:p w14:paraId="3E7802E0" w14:textId="77777777" w:rsidR="002B0343" w:rsidRPr="00951F0F" w:rsidRDefault="002B0343" w:rsidP="004E266B">
            <w:pPr>
              <w:spacing w:line="480" w:lineRule="auto"/>
              <w:jc w:val="both"/>
              <w:rPr>
                <w:rFonts w:cstheme="minorHAnsi"/>
                <w:sz w:val="22"/>
                <w:szCs w:val="22"/>
              </w:rPr>
            </w:pPr>
            <w:r w:rsidRPr="00951F0F">
              <w:rPr>
                <w:rFonts w:cstheme="minorHAnsi"/>
                <w:sz w:val="22"/>
                <w:szCs w:val="22"/>
              </w:rPr>
              <w:t>30 years</w:t>
            </w:r>
          </w:p>
        </w:tc>
        <w:tc>
          <w:tcPr>
            <w:tcW w:w="1276" w:type="dxa"/>
          </w:tcPr>
          <w:p w14:paraId="1D131615" w14:textId="77777777" w:rsidR="002B0343" w:rsidRPr="00951F0F" w:rsidRDefault="002B0343" w:rsidP="004E266B">
            <w:pPr>
              <w:pStyle w:val="HTMLPreformatted"/>
              <w:shd w:val="clear" w:color="auto" w:fill="FFFFFF"/>
              <w:wordWrap w:val="0"/>
              <w:rPr>
                <w:rFonts w:asciiTheme="minorHAnsi" w:hAnsiTheme="minorHAnsi" w:cstheme="minorHAnsi"/>
                <w:sz w:val="22"/>
                <w:szCs w:val="22"/>
              </w:rPr>
            </w:pPr>
            <w:r w:rsidRPr="00951F0F">
              <w:rPr>
                <w:rFonts w:asciiTheme="minorHAnsi" w:hAnsiTheme="minorHAnsi" w:cstheme="minorHAnsi"/>
                <w:sz w:val="22"/>
                <w:szCs w:val="22"/>
              </w:rPr>
              <w:t>231.7</w:t>
            </w:r>
          </w:p>
        </w:tc>
        <w:tc>
          <w:tcPr>
            <w:tcW w:w="1134" w:type="dxa"/>
          </w:tcPr>
          <w:p w14:paraId="0042DAC8" w14:textId="77777777" w:rsidR="002B0343" w:rsidRPr="00951F0F" w:rsidRDefault="002B0343" w:rsidP="004E266B">
            <w:pPr>
              <w:spacing w:line="480" w:lineRule="auto"/>
              <w:jc w:val="both"/>
              <w:rPr>
                <w:rFonts w:cstheme="minorHAnsi"/>
                <w:sz w:val="22"/>
                <w:szCs w:val="22"/>
              </w:rPr>
            </w:pPr>
            <w:r w:rsidRPr="00951F0F">
              <w:rPr>
                <w:rFonts w:cstheme="minorHAnsi"/>
                <w:sz w:val="22"/>
                <w:szCs w:val="22"/>
              </w:rPr>
              <w:t>231.7</w:t>
            </w:r>
          </w:p>
        </w:tc>
      </w:tr>
      <w:tr w:rsidR="002B0343" w:rsidRPr="00951F0F" w14:paraId="52810091" w14:textId="77777777" w:rsidTr="004E266B">
        <w:trPr>
          <w:trHeight w:hRule="exact" w:val="397"/>
        </w:trPr>
        <w:tc>
          <w:tcPr>
            <w:tcW w:w="1271" w:type="dxa"/>
            <w:vAlign w:val="center"/>
          </w:tcPr>
          <w:p w14:paraId="02BDA4B9" w14:textId="77777777" w:rsidR="002B0343" w:rsidRPr="00951F0F" w:rsidRDefault="002B0343" w:rsidP="004E266B">
            <w:pPr>
              <w:spacing w:line="480" w:lineRule="auto"/>
              <w:jc w:val="both"/>
              <w:rPr>
                <w:rFonts w:cstheme="minorHAnsi"/>
                <w:sz w:val="22"/>
                <w:szCs w:val="22"/>
              </w:rPr>
            </w:pPr>
            <w:r w:rsidRPr="00951F0F">
              <w:rPr>
                <w:rFonts w:cstheme="minorHAnsi"/>
                <w:sz w:val="22"/>
                <w:szCs w:val="22"/>
              </w:rPr>
              <w:t>Scenario 7</w:t>
            </w:r>
          </w:p>
        </w:tc>
        <w:tc>
          <w:tcPr>
            <w:tcW w:w="1985" w:type="dxa"/>
            <w:vAlign w:val="center"/>
          </w:tcPr>
          <w:p w14:paraId="4064EF73" w14:textId="77777777" w:rsidR="002B0343" w:rsidRPr="00951F0F" w:rsidRDefault="002B0343" w:rsidP="004E266B">
            <w:pPr>
              <w:spacing w:line="480" w:lineRule="auto"/>
              <w:jc w:val="both"/>
              <w:rPr>
                <w:rFonts w:cstheme="minorHAnsi"/>
                <w:b/>
                <w:sz w:val="22"/>
                <w:szCs w:val="22"/>
              </w:rPr>
            </w:pPr>
            <w:r w:rsidRPr="00951F0F">
              <w:rPr>
                <w:rFonts w:cstheme="minorHAnsi"/>
                <w:sz w:val="22"/>
                <w:szCs w:val="22"/>
              </w:rPr>
              <w:t>CFC-11 and CFC-12</w:t>
            </w:r>
          </w:p>
        </w:tc>
        <w:tc>
          <w:tcPr>
            <w:tcW w:w="2551" w:type="dxa"/>
            <w:vAlign w:val="center"/>
          </w:tcPr>
          <w:p w14:paraId="7B42E8FD" w14:textId="77777777" w:rsidR="002B0343" w:rsidRPr="00951F0F" w:rsidRDefault="002B0343" w:rsidP="004E266B">
            <w:pPr>
              <w:spacing w:line="480" w:lineRule="auto"/>
              <w:jc w:val="both"/>
              <w:rPr>
                <w:rFonts w:cstheme="minorHAnsi"/>
                <w:sz w:val="22"/>
                <w:szCs w:val="22"/>
              </w:rPr>
            </w:pPr>
            <w:r w:rsidRPr="00951F0F">
              <w:rPr>
                <w:rFonts w:cstheme="minorHAnsi"/>
                <w:sz w:val="22"/>
                <w:szCs w:val="22"/>
              </w:rPr>
              <w:t>15 Gg yr</w:t>
            </w:r>
            <w:r w:rsidRPr="00951F0F">
              <w:rPr>
                <w:rFonts w:cstheme="minorHAnsi"/>
                <w:sz w:val="22"/>
                <w:szCs w:val="22"/>
                <w:vertAlign w:val="superscript"/>
              </w:rPr>
              <w:t>−1</w:t>
            </w:r>
            <w:r w:rsidRPr="00951F0F">
              <w:rPr>
                <w:rFonts w:cstheme="minorHAnsi"/>
                <w:sz w:val="22"/>
                <w:szCs w:val="22"/>
              </w:rPr>
              <w:t xml:space="preserve"> + bank emission</w:t>
            </w:r>
          </w:p>
        </w:tc>
        <w:tc>
          <w:tcPr>
            <w:tcW w:w="1134" w:type="dxa"/>
            <w:vAlign w:val="center"/>
          </w:tcPr>
          <w:p w14:paraId="50F13D6D" w14:textId="77777777" w:rsidR="002B0343" w:rsidRPr="00951F0F" w:rsidRDefault="002B0343" w:rsidP="004E266B">
            <w:pPr>
              <w:spacing w:line="480" w:lineRule="auto"/>
              <w:jc w:val="both"/>
              <w:rPr>
                <w:rFonts w:cstheme="minorHAnsi"/>
                <w:sz w:val="22"/>
                <w:szCs w:val="22"/>
              </w:rPr>
            </w:pPr>
            <w:r w:rsidRPr="00951F0F">
              <w:rPr>
                <w:rFonts w:cstheme="minorHAnsi"/>
                <w:sz w:val="22"/>
                <w:szCs w:val="22"/>
              </w:rPr>
              <w:t>7 years</w:t>
            </w:r>
          </w:p>
        </w:tc>
        <w:tc>
          <w:tcPr>
            <w:tcW w:w="1276" w:type="dxa"/>
          </w:tcPr>
          <w:p w14:paraId="51CE60D4" w14:textId="77777777" w:rsidR="002B0343" w:rsidRPr="00951F0F" w:rsidRDefault="002B0343" w:rsidP="004E266B">
            <w:pPr>
              <w:pStyle w:val="HTMLPreformatted"/>
              <w:shd w:val="clear" w:color="auto" w:fill="FFFFFF"/>
              <w:wordWrap w:val="0"/>
              <w:rPr>
                <w:rFonts w:asciiTheme="minorHAnsi" w:hAnsiTheme="minorHAnsi" w:cstheme="minorHAnsi"/>
                <w:sz w:val="22"/>
                <w:szCs w:val="22"/>
              </w:rPr>
            </w:pPr>
            <w:r w:rsidRPr="00951F0F">
              <w:rPr>
                <w:rFonts w:asciiTheme="minorHAnsi" w:hAnsiTheme="minorHAnsi" w:cstheme="minorHAnsi"/>
                <w:sz w:val="22"/>
                <w:szCs w:val="22"/>
              </w:rPr>
              <w:t>97.6</w:t>
            </w:r>
          </w:p>
        </w:tc>
        <w:tc>
          <w:tcPr>
            <w:tcW w:w="1134" w:type="dxa"/>
          </w:tcPr>
          <w:p w14:paraId="756583DF" w14:textId="77777777" w:rsidR="002B0343" w:rsidRPr="00951F0F" w:rsidRDefault="002B0343" w:rsidP="004E266B">
            <w:pPr>
              <w:spacing w:line="480" w:lineRule="auto"/>
              <w:jc w:val="both"/>
              <w:rPr>
                <w:rFonts w:cstheme="minorHAnsi"/>
                <w:sz w:val="22"/>
                <w:szCs w:val="22"/>
              </w:rPr>
            </w:pPr>
            <w:r w:rsidRPr="00951F0F">
              <w:rPr>
                <w:rFonts w:cstheme="minorHAnsi"/>
                <w:sz w:val="22"/>
                <w:szCs w:val="22"/>
              </w:rPr>
              <w:t>97.6</w:t>
            </w:r>
          </w:p>
        </w:tc>
      </w:tr>
      <w:tr w:rsidR="002B0343" w:rsidRPr="00951F0F" w14:paraId="607038C3" w14:textId="77777777" w:rsidTr="004E266B">
        <w:trPr>
          <w:trHeight w:hRule="exact" w:val="397"/>
        </w:trPr>
        <w:tc>
          <w:tcPr>
            <w:tcW w:w="1271" w:type="dxa"/>
            <w:vAlign w:val="center"/>
          </w:tcPr>
          <w:p w14:paraId="39FF8C93" w14:textId="77777777" w:rsidR="002B0343" w:rsidRPr="00951F0F" w:rsidRDefault="002B0343" w:rsidP="004E266B">
            <w:pPr>
              <w:spacing w:line="480" w:lineRule="auto"/>
              <w:jc w:val="both"/>
              <w:rPr>
                <w:rFonts w:cstheme="minorHAnsi"/>
                <w:sz w:val="22"/>
                <w:szCs w:val="22"/>
              </w:rPr>
            </w:pPr>
            <w:r w:rsidRPr="00951F0F">
              <w:rPr>
                <w:rFonts w:cstheme="minorHAnsi"/>
                <w:sz w:val="22"/>
                <w:szCs w:val="22"/>
              </w:rPr>
              <w:t>Scenario 8</w:t>
            </w:r>
          </w:p>
        </w:tc>
        <w:tc>
          <w:tcPr>
            <w:tcW w:w="1985" w:type="dxa"/>
            <w:vAlign w:val="center"/>
          </w:tcPr>
          <w:p w14:paraId="1BC0AB56" w14:textId="77777777" w:rsidR="002B0343" w:rsidRPr="00951F0F" w:rsidRDefault="002B0343" w:rsidP="004E266B">
            <w:pPr>
              <w:spacing w:line="480" w:lineRule="auto"/>
              <w:jc w:val="both"/>
              <w:rPr>
                <w:rFonts w:cstheme="minorHAnsi"/>
                <w:b/>
                <w:sz w:val="22"/>
                <w:szCs w:val="22"/>
              </w:rPr>
            </w:pPr>
            <w:r w:rsidRPr="00951F0F">
              <w:rPr>
                <w:rFonts w:cstheme="minorHAnsi"/>
                <w:sz w:val="22"/>
                <w:szCs w:val="22"/>
              </w:rPr>
              <w:t>CFC-11 and CFC-12</w:t>
            </w:r>
          </w:p>
        </w:tc>
        <w:tc>
          <w:tcPr>
            <w:tcW w:w="2551" w:type="dxa"/>
            <w:vAlign w:val="center"/>
          </w:tcPr>
          <w:p w14:paraId="4979C41B" w14:textId="77777777" w:rsidR="002B0343" w:rsidRPr="00951F0F" w:rsidRDefault="002B0343" w:rsidP="004E266B">
            <w:pPr>
              <w:spacing w:line="480" w:lineRule="auto"/>
              <w:jc w:val="both"/>
              <w:rPr>
                <w:rFonts w:cstheme="minorHAnsi"/>
                <w:sz w:val="22"/>
                <w:szCs w:val="22"/>
              </w:rPr>
            </w:pPr>
            <w:r w:rsidRPr="00951F0F">
              <w:rPr>
                <w:rFonts w:cstheme="minorHAnsi"/>
                <w:sz w:val="22"/>
                <w:szCs w:val="22"/>
              </w:rPr>
              <w:t>15 Gg yr</w:t>
            </w:r>
            <w:r w:rsidRPr="00951F0F">
              <w:rPr>
                <w:rFonts w:cstheme="minorHAnsi"/>
                <w:sz w:val="22"/>
                <w:szCs w:val="22"/>
                <w:vertAlign w:val="superscript"/>
              </w:rPr>
              <w:t>−1</w:t>
            </w:r>
            <w:r w:rsidRPr="00951F0F">
              <w:rPr>
                <w:rFonts w:cstheme="minorHAnsi"/>
                <w:sz w:val="22"/>
                <w:szCs w:val="22"/>
              </w:rPr>
              <w:t xml:space="preserve"> + bank emission</w:t>
            </w:r>
          </w:p>
        </w:tc>
        <w:tc>
          <w:tcPr>
            <w:tcW w:w="1134" w:type="dxa"/>
            <w:vAlign w:val="center"/>
          </w:tcPr>
          <w:p w14:paraId="5F650CAF" w14:textId="77777777" w:rsidR="002B0343" w:rsidRPr="00951F0F" w:rsidRDefault="002B0343" w:rsidP="004E266B">
            <w:pPr>
              <w:spacing w:line="480" w:lineRule="auto"/>
              <w:jc w:val="both"/>
              <w:rPr>
                <w:rFonts w:cstheme="minorHAnsi"/>
                <w:sz w:val="22"/>
                <w:szCs w:val="22"/>
              </w:rPr>
            </w:pPr>
            <w:r w:rsidRPr="00951F0F">
              <w:rPr>
                <w:rFonts w:cstheme="minorHAnsi"/>
                <w:sz w:val="22"/>
                <w:szCs w:val="22"/>
              </w:rPr>
              <w:t>15 years</w:t>
            </w:r>
          </w:p>
        </w:tc>
        <w:tc>
          <w:tcPr>
            <w:tcW w:w="1276" w:type="dxa"/>
          </w:tcPr>
          <w:p w14:paraId="42A47D5A" w14:textId="77777777" w:rsidR="002B0343" w:rsidRPr="00951F0F" w:rsidRDefault="002B0343" w:rsidP="004E266B">
            <w:pPr>
              <w:pStyle w:val="HTMLPreformatted"/>
              <w:shd w:val="clear" w:color="auto" w:fill="FFFFFF"/>
              <w:wordWrap w:val="0"/>
              <w:rPr>
                <w:rFonts w:asciiTheme="minorHAnsi" w:hAnsiTheme="minorHAnsi" w:cstheme="minorHAnsi"/>
                <w:sz w:val="22"/>
                <w:szCs w:val="22"/>
              </w:rPr>
            </w:pPr>
            <w:r w:rsidRPr="00951F0F">
              <w:rPr>
                <w:rFonts w:asciiTheme="minorHAnsi" w:hAnsiTheme="minorHAnsi" w:cstheme="minorHAnsi"/>
                <w:sz w:val="22"/>
                <w:szCs w:val="22"/>
              </w:rPr>
              <w:t>186.0</w:t>
            </w:r>
          </w:p>
        </w:tc>
        <w:tc>
          <w:tcPr>
            <w:tcW w:w="1134" w:type="dxa"/>
          </w:tcPr>
          <w:p w14:paraId="3B69AF20" w14:textId="77777777" w:rsidR="002B0343" w:rsidRPr="00951F0F" w:rsidRDefault="002B0343" w:rsidP="004E266B">
            <w:pPr>
              <w:spacing w:line="480" w:lineRule="auto"/>
              <w:jc w:val="both"/>
              <w:rPr>
                <w:rFonts w:cstheme="minorHAnsi"/>
                <w:sz w:val="22"/>
                <w:szCs w:val="22"/>
              </w:rPr>
            </w:pPr>
            <w:r w:rsidRPr="00951F0F">
              <w:rPr>
                <w:rFonts w:cstheme="minorHAnsi"/>
                <w:sz w:val="22"/>
                <w:szCs w:val="22"/>
              </w:rPr>
              <w:t>186.0</w:t>
            </w:r>
          </w:p>
        </w:tc>
      </w:tr>
      <w:tr w:rsidR="002B0343" w:rsidRPr="00951F0F" w14:paraId="5B503BDC" w14:textId="77777777" w:rsidTr="004E266B">
        <w:trPr>
          <w:trHeight w:hRule="exact" w:val="397"/>
        </w:trPr>
        <w:tc>
          <w:tcPr>
            <w:tcW w:w="1271" w:type="dxa"/>
            <w:vAlign w:val="center"/>
          </w:tcPr>
          <w:p w14:paraId="4C3E7E62" w14:textId="77777777" w:rsidR="002B0343" w:rsidRPr="00951F0F" w:rsidRDefault="002B0343" w:rsidP="004E266B">
            <w:pPr>
              <w:spacing w:line="480" w:lineRule="auto"/>
              <w:jc w:val="both"/>
              <w:rPr>
                <w:rFonts w:cstheme="minorHAnsi"/>
                <w:sz w:val="22"/>
                <w:szCs w:val="22"/>
              </w:rPr>
            </w:pPr>
            <w:r w:rsidRPr="00951F0F">
              <w:rPr>
                <w:rFonts w:cstheme="minorHAnsi"/>
                <w:sz w:val="22"/>
                <w:szCs w:val="22"/>
              </w:rPr>
              <w:t>Scenario 9</w:t>
            </w:r>
          </w:p>
        </w:tc>
        <w:tc>
          <w:tcPr>
            <w:tcW w:w="1985" w:type="dxa"/>
            <w:vAlign w:val="center"/>
          </w:tcPr>
          <w:p w14:paraId="148364E0" w14:textId="77777777" w:rsidR="002B0343" w:rsidRPr="00951F0F" w:rsidRDefault="002B0343" w:rsidP="004E266B">
            <w:pPr>
              <w:spacing w:line="480" w:lineRule="auto"/>
              <w:jc w:val="both"/>
              <w:rPr>
                <w:rFonts w:cstheme="minorHAnsi"/>
                <w:b/>
                <w:sz w:val="22"/>
                <w:szCs w:val="22"/>
              </w:rPr>
            </w:pPr>
            <w:r w:rsidRPr="00951F0F">
              <w:rPr>
                <w:rFonts w:cstheme="minorHAnsi"/>
                <w:sz w:val="22"/>
                <w:szCs w:val="22"/>
              </w:rPr>
              <w:t>CFC-11 and CFC-12</w:t>
            </w:r>
          </w:p>
        </w:tc>
        <w:tc>
          <w:tcPr>
            <w:tcW w:w="2551" w:type="dxa"/>
            <w:vAlign w:val="center"/>
          </w:tcPr>
          <w:p w14:paraId="0FC18EBD" w14:textId="77777777" w:rsidR="002B0343" w:rsidRPr="00951F0F" w:rsidRDefault="002B0343" w:rsidP="004E266B">
            <w:pPr>
              <w:spacing w:line="480" w:lineRule="auto"/>
              <w:jc w:val="both"/>
              <w:rPr>
                <w:rFonts w:cstheme="minorHAnsi"/>
                <w:sz w:val="22"/>
                <w:szCs w:val="22"/>
              </w:rPr>
            </w:pPr>
            <w:r w:rsidRPr="00951F0F">
              <w:rPr>
                <w:rFonts w:cstheme="minorHAnsi"/>
                <w:sz w:val="22"/>
                <w:szCs w:val="22"/>
              </w:rPr>
              <w:t>15 Gg yr</w:t>
            </w:r>
            <w:r w:rsidRPr="00951F0F">
              <w:rPr>
                <w:rFonts w:cstheme="minorHAnsi"/>
                <w:sz w:val="22"/>
                <w:szCs w:val="22"/>
                <w:vertAlign w:val="superscript"/>
              </w:rPr>
              <w:t>−1</w:t>
            </w:r>
            <w:r w:rsidRPr="00951F0F">
              <w:rPr>
                <w:rFonts w:cstheme="minorHAnsi"/>
                <w:sz w:val="22"/>
                <w:szCs w:val="22"/>
              </w:rPr>
              <w:t xml:space="preserve"> + bank emission</w:t>
            </w:r>
          </w:p>
        </w:tc>
        <w:tc>
          <w:tcPr>
            <w:tcW w:w="1134" w:type="dxa"/>
            <w:vAlign w:val="center"/>
          </w:tcPr>
          <w:p w14:paraId="0F8DA654" w14:textId="77777777" w:rsidR="002B0343" w:rsidRPr="00951F0F" w:rsidRDefault="002B0343" w:rsidP="004E266B">
            <w:pPr>
              <w:spacing w:line="480" w:lineRule="auto"/>
              <w:jc w:val="both"/>
              <w:rPr>
                <w:rFonts w:cstheme="minorHAnsi"/>
                <w:sz w:val="22"/>
                <w:szCs w:val="22"/>
              </w:rPr>
            </w:pPr>
            <w:r w:rsidRPr="00951F0F">
              <w:rPr>
                <w:rFonts w:cstheme="minorHAnsi"/>
                <w:sz w:val="22"/>
                <w:szCs w:val="22"/>
              </w:rPr>
              <w:t>30 years</w:t>
            </w:r>
          </w:p>
        </w:tc>
        <w:tc>
          <w:tcPr>
            <w:tcW w:w="1276" w:type="dxa"/>
          </w:tcPr>
          <w:p w14:paraId="4832AACC" w14:textId="77777777" w:rsidR="002B0343" w:rsidRPr="00951F0F" w:rsidRDefault="002B0343" w:rsidP="004E266B">
            <w:pPr>
              <w:pStyle w:val="HTMLPreformatted"/>
              <w:shd w:val="clear" w:color="auto" w:fill="FFFFFF"/>
              <w:wordWrap w:val="0"/>
              <w:rPr>
                <w:rFonts w:asciiTheme="minorHAnsi" w:hAnsiTheme="minorHAnsi" w:cstheme="minorHAnsi"/>
                <w:sz w:val="22"/>
                <w:szCs w:val="22"/>
              </w:rPr>
            </w:pPr>
            <w:r w:rsidRPr="00951F0F">
              <w:rPr>
                <w:rFonts w:asciiTheme="minorHAnsi" w:hAnsiTheme="minorHAnsi" w:cstheme="minorHAnsi"/>
                <w:sz w:val="22"/>
                <w:szCs w:val="22"/>
              </w:rPr>
              <w:t>348.4</w:t>
            </w:r>
          </w:p>
        </w:tc>
        <w:tc>
          <w:tcPr>
            <w:tcW w:w="1134" w:type="dxa"/>
          </w:tcPr>
          <w:p w14:paraId="5ACF3C7C" w14:textId="77777777" w:rsidR="002B0343" w:rsidRPr="00951F0F" w:rsidRDefault="002B0343" w:rsidP="004E266B">
            <w:pPr>
              <w:spacing w:line="480" w:lineRule="auto"/>
              <w:jc w:val="both"/>
              <w:rPr>
                <w:rFonts w:cstheme="minorHAnsi"/>
                <w:sz w:val="22"/>
                <w:szCs w:val="22"/>
              </w:rPr>
            </w:pPr>
            <w:r w:rsidRPr="00951F0F">
              <w:rPr>
                <w:rFonts w:cstheme="minorHAnsi"/>
                <w:sz w:val="22"/>
                <w:szCs w:val="22"/>
              </w:rPr>
              <w:t>348.4</w:t>
            </w:r>
          </w:p>
        </w:tc>
      </w:tr>
      <w:tr w:rsidR="002B0343" w:rsidRPr="00951F0F" w14:paraId="35FCD707" w14:textId="77777777" w:rsidTr="004E266B">
        <w:trPr>
          <w:trHeight w:hRule="exact" w:val="397"/>
        </w:trPr>
        <w:tc>
          <w:tcPr>
            <w:tcW w:w="1271" w:type="dxa"/>
            <w:vAlign w:val="center"/>
          </w:tcPr>
          <w:p w14:paraId="30154675" w14:textId="77777777" w:rsidR="002B0343" w:rsidRPr="00951F0F" w:rsidRDefault="002B0343" w:rsidP="004E266B">
            <w:pPr>
              <w:spacing w:line="480" w:lineRule="auto"/>
              <w:jc w:val="both"/>
              <w:rPr>
                <w:rFonts w:cstheme="minorHAnsi"/>
                <w:sz w:val="22"/>
                <w:szCs w:val="22"/>
              </w:rPr>
            </w:pPr>
            <w:r w:rsidRPr="00951F0F">
              <w:rPr>
                <w:rFonts w:cstheme="minorHAnsi"/>
                <w:sz w:val="22"/>
                <w:szCs w:val="22"/>
              </w:rPr>
              <w:t>Scenario 10</w:t>
            </w:r>
          </w:p>
        </w:tc>
        <w:tc>
          <w:tcPr>
            <w:tcW w:w="1985" w:type="dxa"/>
            <w:vAlign w:val="center"/>
          </w:tcPr>
          <w:p w14:paraId="3B3CC0AF" w14:textId="77777777" w:rsidR="002B0343" w:rsidRPr="00951F0F" w:rsidRDefault="002B0343" w:rsidP="004E266B">
            <w:pPr>
              <w:spacing w:line="480" w:lineRule="auto"/>
              <w:jc w:val="both"/>
              <w:rPr>
                <w:rFonts w:cstheme="minorHAnsi"/>
                <w:sz w:val="22"/>
                <w:szCs w:val="22"/>
              </w:rPr>
            </w:pPr>
            <w:r w:rsidRPr="00951F0F">
              <w:rPr>
                <w:rFonts w:cstheme="minorHAnsi"/>
                <w:sz w:val="22"/>
                <w:szCs w:val="22"/>
              </w:rPr>
              <w:t>CH</w:t>
            </w:r>
            <w:r w:rsidRPr="00951F0F">
              <w:rPr>
                <w:rFonts w:cstheme="minorHAnsi"/>
                <w:sz w:val="22"/>
                <w:szCs w:val="22"/>
                <w:vertAlign w:val="subscript"/>
              </w:rPr>
              <w:t>3</w:t>
            </w:r>
            <w:r w:rsidRPr="00951F0F">
              <w:rPr>
                <w:rFonts w:cstheme="minorHAnsi"/>
                <w:sz w:val="22"/>
                <w:szCs w:val="22"/>
              </w:rPr>
              <w:t>CCl</w:t>
            </w:r>
            <w:r w:rsidRPr="00951F0F">
              <w:rPr>
                <w:rFonts w:cstheme="minorHAnsi"/>
                <w:sz w:val="22"/>
                <w:szCs w:val="22"/>
                <w:vertAlign w:val="subscript"/>
              </w:rPr>
              <w:t>3</w:t>
            </w:r>
          </w:p>
        </w:tc>
        <w:tc>
          <w:tcPr>
            <w:tcW w:w="2551" w:type="dxa"/>
            <w:vAlign w:val="center"/>
          </w:tcPr>
          <w:p w14:paraId="24B8CCAC" w14:textId="77777777" w:rsidR="002B0343" w:rsidRPr="00951F0F" w:rsidRDefault="002B0343" w:rsidP="004E266B">
            <w:pPr>
              <w:spacing w:line="480" w:lineRule="auto"/>
              <w:jc w:val="both"/>
              <w:rPr>
                <w:rFonts w:cstheme="minorHAnsi"/>
                <w:sz w:val="22"/>
                <w:szCs w:val="22"/>
              </w:rPr>
            </w:pPr>
            <w:r w:rsidRPr="00951F0F">
              <w:rPr>
                <w:rFonts w:cstheme="minorHAnsi"/>
                <w:sz w:val="22"/>
                <w:szCs w:val="22"/>
              </w:rPr>
              <w:t>1000 Gg yr</w:t>
            </w:r>
            <w:r w:rsidRPr="00951F0F">
              <w:rPr>
                <w:rFonts w:cstheme="minorHAnsi"/>
                <w:sz w:val="22"/>
                <w:szCs w:val="22"/>
                <w:vertAlign w:val="superscript"/>
              </w:rPr>
              <w:t>−1</w:t>
            </w:r>
          </w:p>
        </w:tc>
        <w:tc>
          <w:tcPr>
            <w:tcW w:w="1134" w:type="dxa"/>
            <w:vAlign w:val="center"/>
          </w:tcPr>
          <w:p w14:paraId="6090A6D1" w14:textId="77777777" w:rsidR="002B0343" w:rsidRPr="00951F0F" w:rsidRDefault="002B0343" w:rsidP="004E266B">
            <w:pPr>
              <w:spacing w:line="480" w:lineRule="auto"/>
              <w:jc w:val="both"/>
              <w:rPr>
                <w:rFonts w:cstheme="minorHAnsi"/>
                <w:sz w:val="22"/>
                <w:szCs w:val="22"/>
              </w:rPr>
            </w:pPr>
            <w:r w:rsidRPr="00951F0F">
              <w:rPr>
                <w:rFonts w:cstheme="minorHAnsi"/>
                <w:sz w:val="22"/>
                <w:szCs w:val="22"/>
              </w:rPr>
              <w:t>1 year</w:t>
            </w:r>
          </w:p>
        </w:tc>
        <w:tc>
          <w:tcPr>
            <w:tcW w:w="1276" w:type="dxa"/>
          </w:tcPr>
          <w:p w14:paraId="285C92F1" w14:textId="77777777" w:rsidR="002B0343" w:rsidRPr="00951F0F" w:rsidRDefault="002B0343" w:rsidP="004E266B">
            <w:pPr>
              <w:pStyle w:val="HTMLPreformatted"/>
              <w:shd w:val="clear" w:color="auto" w:fill="FFFFFF"/>
              <w:wordWrap w:val="0"/>
              <w:rPr>
                <w:rFonts w:asciiTheme="minorHAnsi" w:hAnsiTheme="minorHAnsi" w:cstheme="minorHAnsi"/>
                <w:sz w:val="22"/>
                <w:szCs w:val="22"/>
              </w:rPr>
            </w:pPr>
            <w:r w:rsidRPr="00951F0F">
              <w:rPr>
                <w:rFonts w:asciiTheme="minorHAnsi" w:hAnsiTheme="minorHAnsi" w:cstheme="minorHAnsi"/>
                <w:sz w:val="22"/>
                <w:szCs w:val="22"/>
              </w:rPr>
              <w:t>-13.4</w:t>
            </w:r>
          </w:p>
        </w:tc>
        <w:tc>
          <w:tcPr>
            <w:tcW w:w="1134" w:type="dxa"/>
          </w:tcPr>
          <w:p w14:paraId="027DFA6D" w14:textId="77777777" w:rsidR="002B0343" w:rsidRPr="00951F0F" w:rsidRDefault="002B0343" w:rsidP="004E266B">
            <w:pPr>
              <w:pStyle w:val="HTMLPreformatted"/>
              <w:shd w:val="clear" w:color="auto" w:fill="FFFFFF"/>
              <w:wordWrap w:val="0"/>
              <w:rPr>
                <w:rFonts w:asciiTheme="minorHAnsi" w:hAnsiTheme="minorHAnsi" w:cstheme="minorHAnsi"/>
                <w:sz w:val="22"/>
                <w:szCs w:val="22"/>
              </w:rPr>
            </w:pPr>
            <w:r w:rsidRPr="00951F0F">
              <w:rPr>
                <w:rFonts w:asciiTheme="minorHAnsi" w:hAnsiTheme="minorHAnsi" w:cstheme="minorHAnsi"/>
                <w:sz w:val="22"/>
                <w:szCs w:val="22"/>
              </w:rPr>
              <w:t>-16.1</w:t>
            </w:r>
          </w:p>
        </w:tc>
      </w:tr>
      <w:tr w:rsidR="002B0343" w:rsidRPr="00951F0F" w14:paraId="646915AC" w14:textId="77777777" w:rsidTr="004E266B">
        <w:trPr>
          <w:trHeight w:hRule="exact" w:val="397"/>
        </w:trPr>
        <w:tc>
          <w:tcPr>
            <w:tcW w:w="1271" w:type="dxa"/>
            <w:vAlign w:val="center"/>
          </w:tcPr>
          <w:p w14:paraId="3FD2008F" w14:textId="77777777" w:rsidR="002B0343" w:rsidRPr="00951F0F" w:rsidRDefault="002B0343" w:rsidP="004E266B">
            <w:pPr>
              <w:spacing w:line="480" w:lineRule="auto"/>
              <w:jc w:val="both"/>
              <w:rPr>
                <w:rFonts w:cstheme="minorHAnsi"/>
                <w:sz w:val="22"/>
                <w:szCs w:val="22"/>
              </w:rPr>
            </w:pPr>
            <w:r w:rsidRPr="00951F0F">
              <w:rPr>
                <w:rFonts w:cstheme="minorHAnsi"/>
                <w:sz w:val="22"/>
                <w:szCs w:val="22"/>
              </w:rPr>
              <w:t>Scenario 11</w:t>
            </w:r>
          </w:p>
        </w:tc>
        <w:tc>
          <w:tcPr>
            <w:tcW w:w="1985" w:type="dxa"/>
            <w:vAlign w:val="center"/>
          </w:tcPr>
          <w:p w14:paraId="766C56B2" w14:textId="77777777" w:rsidR="002B0343" w:rsidRPr="00951F0F" w:rsidRDefault="002B0343" w:rsidP="004E266B">
            <w:pPr>
              <w:spacing w:line="480" w:lineRule="auto"/>
              <w:jc w:val="both"/>
              <w:rPr>
                <w:rFonts w:cstheme="minorHAnsi"/>
                <w:sz w:val="22"/>
                <w:szCs w:val="22"/>
              </w:rPr>
            </w:pPr>
            <w:r w:rsidRPr="00951F0F">
              <w:rPr>
                <w:rFonts w:cstheme="minorHAnsi"/>
                <w:sz w:val="22"/>
                <w:szCs w:val="22"/>
              </w:rPr>
              <w:t>CH</w:t>
            </w:r>
            <w:r w:rsidRPr="00951F0F">
              <w:rPr>
                <w:rFonts w:cstheme="minorHAnsi"/>
                <w:sz w:val="22"/>
                <w:szCs w:val="22"/>
                <w:vertAlign w:val="subscript"/>
              </w:rPr>
              <w:t>3</w:t>
            </w:r>
            <w:r w:rsidRPr="00951F0F">
              <w:rPr>
                <w:rFonts w:cstheme="minorHAnsi"/>
                <w:sz w:val="22"/>
                <w:szCs w:val="22"/>
              </w:rPr>
              <w:t>CCl</w:t>
            </w:r>
            <w:r w:rsidRPr="00951F0F">
              <w:rPr>
                <w:rFonts w:cstheme="minorHAnsi"/>
                <w:sz w:val="22"/>
                <w:szCs w:val="22"/>
                <w:vertAlign w:val="subscript"/>
              </w:rPr>
              <w:t>3</w:t>
            </w:r>
          </w:p>
        </w:tc>
        <w:tc>
          <w:tcPr>
            <w:tcW w:w="2551" w:type="dxa"/>
            <w:vAlign w:val="center"/>
          </w:tcPr>
          <w:p w14:paraId="3546E852" w14:textId="77777777" w:rsidR="002B0343" w:rsidRPr="00951F0F" w:rsidRDefault="002B0343" w:rsidP="004E266B">
            <w:pPr>
              <w:spacing w:line="480" w:lineRule="auto"/>
              <w:jc w:val="both"/>
              <w:rPr>
                <w:rFonts w:cstheme="minorHAnsi"/>
                <w:sz w:val="22"/>
                <w:szCs w:val="22"/>
              </w:rPr>
            </w:pPr>
            <w:r w:rsidRPr="00951F0F">
              <w:rPr>
                <w:rFonts w:cstheme="minorHAnsi"/>
                <w:sz w:val="22"/>
                <w:szCs w:val="22"/>
              </w:rPr>
              <w:t>1000 Gg yr</w:t>
            </w:r>
            <w:r w:rsidRPr="00951F0F">
              <w:rPr>
                <w:rFonts w:cstheme="minorHAnsi"/>
                <w:sz w:val="22"/>
                <w:szCs w:val="22"/>
                <w:vertAlign w:val="superscript"/>
              </w:rPr>
              <w:t>−1</w:t>
            </w:r>
          </w:p>
        </w:tc>
        <w:tc>
          <w:tcPr>
            <w:tcW w:w="1134" w:type="dxa"/>
            <w:vAlign w:val="center"/>
          </w:tcPr>
          <w:p w14:paraId="7C4B5CCA" w14:textId="77777777" w:rsidR="002B0343" w:rsidRPr="00951F0F" w:rsidRDefault="002B0343" w:rsidP="004E266B">
            <w:pPr>
              <w:spacing w:line="480" w:lineRule="auto"/>
              <w:jc w:val="both"/>
              <w:rPr>
                <w:rFonts w:cstheme="minorHAnsi"/>
                <w:sz w:val="22"/>
                <w:szCs w:val="22"/>
              </w:rPr>
            </w:pPr>
            <w:r w:rsidRPr="00951F0F">
              <w:rPr>
                <w:rFonts w:cstheme="minorHAnsi"/>
                <w:sz w:val="22"/>
                <w:szCs w:val="22"/>
              </w:rPr>
              <w:t>5 years</w:t>
            </w:r>
          </w:p>
        </w:tc>
        <w:tc>
          <w:tcPr>
            <w:tcW w:w="1276" w:type="dxa"/>
          </w:tcPr>
          <w:p w14:paraId="7233AAC4" w14:textId="77777777" w:rsidR="002B0343" w:rsidRPr="00951F0F" w:rsidRDefault="002B0343" w:rsidP="004E266B">
            <w:pPr>
              <w:pStyle w:val="HTMLPreformatted"/>
              <w:shd w:val="clear" w:color="auto" w:fill="FFFFFF"/>
              <w:wordWrap w:val="0"/>
              <w:rPr>
                <w:rFonts w:asciiTheme="minorHAnsi" w:hAnsiTheme="minorHAnsi" w:cstheme="minorHAnsi"/>
                <w:sz w:val="22"/>
                <w:szCs w:val="22"/>
              </w:rPr>
            </w:pPr>
            <w:r w:rsidRPr="00951F0F">
              <w:rPr>
                <w:rFonts w:asciiTheme="minorHAnsi" w:hAnsiTheme="minorHAnsi" w:cstheme="minorHAnsi"/>
                <w:sz w:val="22"/>
                <w:szCs w:val="22"/>
              </w:rPr>
              <w:t>84.9</w:t>
            </w:r>
          </w:p>
        </w:tc>
        <w:tc>
          <w:tcPr>
            <w:tcW w:w="1134" w:type="dxa"/>
          </w:tcPr>
          <w:p w14:paraId="432B04EF" w14:textId="77777777" w:rsidR="002B0343" w:rsidRPr="00951F0F" w:rsidRDefault="002B0343" w:rsidP="004E266B">
            <w:pPr>
              <w:pStyle w:val="HTMLPreformatted"/>
              <w:shd w:val="clear" w:color="auto" w:fill="FFFFFF"/>
              <w:wordWrap w:val="0"/>
              <w:rPr>
                <w:rFonts w:asciiTheme="minorHAnsi" w:hAnsiTheme="minorHAnsi" w:cstheme="minorHAnsi"/>
                <w:sz w:val="22"/>
                <w:szCs w:val="22"/>
              </w:rPr>
            </w:pPr>
            <w:r w:rsidRPr="00951F0F">
              <w:rPr>
                <w:rFonts w:asciiTheme="minorHAnsi" w:hAnsiTheme="minorHAnsi" w:cstheme="minorHAnsi"/>
                <w:sz w:val="22"/>
                <w:szCs w:val="22"/>
              </w:rPr>
              <w:t>66.4</w:t>
            </w:r>
          </w:p>
        </w:tc>
      </w:tr>
      <w:tr w:rsidR="002B0343" w:rsidRPr="00951F0F" w14:paraId="66AD1894" w14:textId="77777777" w:rsidTr="004E266B">
        <w:trPr>
          <w:trHeight w:hRule="exact" w:val="397"/>
        </w:trPr>
        <w:tc>
          <w:tcPr>
            <w:tcW w:w="1271" w:type="dxa"/>
            <w:vAlign w:val="center"/>
          </w:tcPr>
          <w:p w14:paraId="2E7140F3" w14:textId="77777777" w:rsidR="002B0343" w:rsidRPr="00951F0F" w:rsidRDefault="002B0343" w:rsidP="004E266B">
            <w:pPr>
              <w:spacing w:line="480" w:lineRule="auto"/>
              <w:jc w:val="both"/>
              <w:rPr>
                <w:rFonts w:cstheme="minorHAnsi"/>
                <w:sz w:val="22"/>
                <w:szCs w:val="22"/>
              </w:rPr>
            </w:pPr>
            <w:r w:rsidRPr="00951F0F">
              <w:rPr>
                <w:rFonts w:cstheme="minorHAnsi"/>
                <w:sz w:val="22"/>
                <w:szCs w:val="22"/>
              </w:rPr>
              <w:t>Scenario 12</w:t>
            </w:r>
          </w:p>
        </w:tc>
        <w:tc>
          <w:tcPr>
            <w:tcW w:w="1985" w:type="dxa"/>
            <w:vAlign w:val="center"/>
          </w:tcPr>
          <w:p w14:paraId="49D57F78" w14:textId="77777777" w:rsidR="002B0343" w:rsidRPr="00951F0F" w:rsidRDefault="002B0343" w:rsidP="004E266B">
            <w:pPr>
              <w:spacing w:line="480" w:lineRule="auto"/>
              <w:jc w:val="both"/>
              <w:rPr>
                <w:rFonts w:cstheme="minorHAnsi"/>
                <w:sz w:val="22"/>
                <w:szCs w:val="22"/>
              </w:rPr>
            </w:pPr>
            <w:r w:rsidRPr="00951F0F">
              <w:rPr>
                <w:rFonts w:cstheme="minorHAnsi"/>
                <w:sz w:val="22"/>
                <w:szCs w:val="22"/>
              </w:rPr>
              <w:t>CH</w:t>
            </w:r>
            <w:r w:rsidRPr="00951F0F">
              <w:rPr>
                <w:rFonts w:cstheme="minorHAnsi"/>
                <w:sz w:val="22"/>
                <w:szCs w:val="22"/>
                <w:vertAlign w:val="subscript"/>
              </w:rPr>
              <w:t>3</w:t>
            </w:r>
            <w:r w:rsidRPr="00951F0F">
              <w:rPr>
                <w:rFonts w:cstheme="minorHAnsi"/>
                <w:sz w:val="22"/>
                <w:szCs w:val="22"/>
              </w:rPr>
              <w:t>CCl</w:t>
            </w:r>
            <w:r w:rsidRPr="00951F0F">
              <w:rPr>
                <w:rFonts w:cstheme="minorHAnsi"/>
                <w:sz w:val="22"/>
                <w:szCs w:val="22"/>
                <w:vertAlign w:val="subscript"/>
              </w:rPr>
              <w:t>3</w:t>
            </w:r>
          </w:p>
        </w:tc>
        <w:tc>
          <w:tcPr>
            <w:tcW w:w="2551" w:type="dxa"/>
            <w:vAlign w:val="center"/>
          </w:tcPr>
          <w:p w14:paraId="1E880C97" w14:textId="77777777" w:rsidR="002B0343" w:rsidRPr="00951F0F" w:rsidRDefault="002B0343" w:rsidP="004E266B">
            <w:pPr>
              <w:spacing w:line="480" w:lineRule="auto"/>
              <w:jc w:val="both"/>
              <w:rPr>
                <w:rFonts w:cstheme="minorHAnsi"/>
                <w:sz w:val="22"/>
                <w:szCs w:val="22"/>
              </w:rPr>
            </w:pPr>
            <w:r w:rsidRPr="00951F0F">
              <w:rPr>
                <w:rFonts w:cstheme="minorHAnsi"/>
                <w:sz w:val="22"/>
                <w:szCs w:val="22"/>
              </w:rPr>
              <w:t>1000 Gg yr</w:t>
            </w:r>
            <w:r w:rsidRPr="00951F0F">
              <w:rPr>
                <w:rFonts w:cstheme="minorHAnsi"/>
                <w:sz w:val="22"/>
                <w:szCs w:val="22"/>
                <w:vertAlign w:val="superscript"/>
              </w:rPr>
              <w:t>−1</w:t>
            </w:r>
          </w:p>
        </w:tc>
        <w:tc>
          <w:tcPr>
            <w:tcW w:w="1134" w:type="dxa"/>
            <w:vAlign w:val="center"/>
          </w:tcPr>
          <w:p w14:paraId="6457C935" w14:textId="77777777" w:rsidR="002B0343" w:rsidRPr="00951F0F" w:rsidRDefault="002B0343" w:rsidP="004E266B">
            <w:pPr>
              <w:spacing w:line="480" w:lineRule="auto"/>
              <w:jc w:val="both"/>
              <w:rPr>
                <w:rFonts w:cstheme="minorHAnsi"/>
                <w:sz w:val="22"/>
                <w:szCs w:val="22"/>
              </w:rPr>
            </w:pPr>
            <w:r w:rsidRPr="00951F0F">
              <w:rPr>
                <w:rFonts w:cstheme="minorHAnsi"/>
                <w:sz w:val="22"/>
                <w:szCs w:val="22"/>
              </w:rPr>
              <w:t>10 years</w:t>
            </w:r>
          </w:p>
        </w:tc>
        <w:tc>
          <w:tcPr>
            <w:tcW w:w="1276" w:type="dxa"/>
          </w:tcPr>
          <w:p w14:paraId="16CED39E" w14:textId="77777777" w:rsidR="002B0343" w:rsidRPr="00951F0F" w:rsidRDefault="002B0343" w:rsidP="004E266B">
            <w:pPr>
              <w:pStyle w:val="HTMLPreformatted"/>
              <w:shd w:val="clear" w:color="auto" w:fill="FFFFFF"/>
              <w:wordWrap w:val="0"/>
              <w:rPr>
                <w:rFonts w:asciiTheme="minorHAnsi" w:hAnsiTheme="minorHAnsi" w:cstheme="minorHAnsi"/>
                <w:sz w:val="22"/>
                <w:szCs w:val="22"/>
              </w:rPr>
            </w:pPr>
            <w:r w:rsidRPr="00951F0F">
              <w:rPr>
                <w:rFonts w:asciiTheme="minorHAnsi" w:hAnsiTheme="minorHAnsi" w:cstheme="minorHAnsi"/>
                <w:sz w:val="22"/>
                <w:szCs w:val="22"/>
              </w:rPr>
              <w:t>113.1</w:t>
            </w:r>
          </w:p>
        </w:tc>
        <w:tc>
          <w:tcPr>
            <w:tcW w:w="1134" w:type="dxa"/>
          </w:tcPr>
          <w:p w14:paraId="17991451" w14:textId="77777777" w:rsidR="002B0343" w:rsidRPr="00951F0F" w:rsidRDefault="002B0343" w:rsidP="004E266B">
            <w:pPr>
              <w:pStyle w:val="HTMLPreformatted"/>
              <w:shd w:val="clear" w:color="auto" w:fill="FFFFFF"/>
              <w:wordWrap w:val="0"/>
              <w:rPr>
                <w:rFonts w:asciiTheme="minorHAnsi" w:hAnsiTheme="minorHAnsi" w:cstheme="minorHAnsi"/>
                <w:sz w:val="22"/>
                <w:szCs w:val="22"/>
              </w:rPr>
            </w:pPr>
            <w:r w:rsidRPr="00951F0F">
              <w:rPr>
                <w:rFonts w:asciiTheme="minorHAnsi" w:hAnsiTheme="minorHAnsi" w:cstheme="minorHAnsi"/>
                <w:sz w:val="22"/>
                <w:szCs w:val="22"/>
              </w:rPr>
              <w:t>118.4</w:t>
            </w:r>
          </w:p>
        </w:tc>
      </w:tr>
      <w:tr w:rsidR="002B0343" w:rsidRPr="00951F0F" w14:paraId="10570AF2" w14:textId="77777777" w:rsidTr="004E266B">
        <w:trPr>
          <w:trHeight w:hRule="exact" w:val="397"/>
        </w:trPr>
        <w:tc>
          <w:tcPr>
            <w:tcW w:w="1271" w:type="dxa"/>
            <w:vAlign w:val="center"/>
          </w:tcPr>
          <w:p w14:paraId="1994C59A" w14:textId="77777777" w:rsidR="002B0343" w:rsidRPr="00951F0F" w:rsidRDefault="002B0343" w:rsidP="004E266B">
            <w:pPr>
              <w:spacing w:line="480" w:lineRule="auto"/>
              <w:jc w:val="both"/>
              <w:rPr>
                <w:rFonts w:cstheme="minorHAnsi"/>
                <w:sz w:val="22"/>
                <w:szCs w:val="22"/>
              </w:rPr>
            </w:pPr>
            <w:r w:rsidRPr="00951F0F">
              <w:rPr>
                <w:rFonts w:cstheme="minorHAnsi"/>
                <w:sz w:val="22"/>
                <w:szCs w:val="22"/>
              </w:rPr>
              <w:t>Scenario 13</w:t>
            </w:r>
          </w:p>
        </w:tc>
        <w:tc>
          <w:tcPr>
            <w:tcW w:w="1985" w:type="dxa"/>
            <w:vAlign w:val="center"/>
          </w:tcPr>
          <w:p w14:paraId="7B6D64A2" w14:textId="77777777" w:rsidR="002B0343" w:rsidRPr="00951F0F" w:rsidRDefault="002B0343" w:rsidP="004E266B">
            <w:pPr>
              <w:spacing w:line="480" w:lineRule="auto"/>
              <w:jc w:val="both"/>
              <w:rPr>
                <w:rFonts w:cstheme="minorHAnsi"/>
                <w:sz w:val="22"/>
                <w:szCs w:val="22"/>
              </w:rPr>
            </w:pPr>
            <w:r w:rsidRPr="00951F0F">
              <w:rPr>
                <w:rFonts w:cstheme="minorHAnsi"/>
                <w:sz w:val="22"/>
                <w:szCs w:val="22"/>
              </w:rPr>
              <w:t>CH</w:t>
            </w:r>
            <w:r w:rsidRPr="00951F0F">
              <w:rPr>
                <w:rFonts w:cstheme="minorHAnsi"/>
                <w:sz w:val="22"/>
                <w:szCs w:val="22"/>
                <w:vertAlign w:val="subscript"/>
              </w:rPr>
              <w:t>3</w:t>
            </w:r>
            <w:r w:rsidRPr="00951F0F">
              <w:rPr>
                <w:rFonts w:cstheme="minorHAnsi"/>
                <w:sz w:val="22"/>
                <w:szCs w:val="22"/>
              </w:rPr>
              <w:t>CCl</w:t>
            </w:r>
            <w:r w:rsidRPr="00951F0F">
              <w:rPr>
                <w:rFonts w:cstheme="minorHAnsi"/>
                <w:sz w:val="22"/>
                <w:szCs w:val="22"/>
                <w:vertAlign w:val="subscript"/>
              </w:rPr>
              <w:t>3</w:t>
            </w:r>
          </w:p>
        </w:tc>
        <w:tc>
          <w:tcPr>
            <w:tcW w:w="2551" w:type="dxa"/>
            <w:vAlign w:val="center"/>
          </w:tcPr>
          <w:p w14:paraId="2EBA83D4" w14:textId="77777777" w:rsidR="002B0343" w:rsidRPr="00951F0F" w:rsidRDefault="002B0343" w:rsidP="004E266B">
            <w:pPr>
              <w:spacing w:line="480" w:lineRule="auto"/>
              <w:jc w:val="both"/>
              <w:rPr>
                <w:rFonts w:cstheme="minorHAnsi"/>
                <w:sz w:val="22"/>
                <w:szCs w:val="22"/>
              </w:rPr>
            </w:pPr>
            <w:r w:rsidRPr="00951F0F">
              <w:rPr>
                <w:rFonts w:cstheme="minorHAnsi"/>
                <w:sz w:val="22"/>
                <w:szCs w:val="22"/>
              </w:rPr>
              <w:t>5000 Gg yr</w:t>
            </w:r>
            <w:r w:rsidRPr="00951F0F">
              <w:rPr>
                <w:rFonts w:cstheme="minorHAnsi"/>
                <w:sz w:val="22"/>
                <w:szCs w:val="22"/>
                <w:vertAlign w:val="superscript"/>
              </w:rPr>
              <w:t>−1</w:t>
            </w:r>
          </w:p>
        </w:tc>
        <w:tc>
          <w:tcPr>
            <w:tcW w:w="1134" w:type="dxa"/>
            <w:vAlign w:val="center"/>
          </w:tcPr>
          <w:p w14:paraId="446021EC" w14:textId="77777777" w:rsidR="002B0343" w:rsidRPr="00951F0F" w:rsidRDefault="002B0343" w:rsidP="004E266B">
            <w:pPr>
              <w:spacing w:line="480" w:lineRule="auto"/>
              <w:jc w:val="both"/>
              <w:rPr>
                <w:rFonts w:cstheme="minorHAnsi"/>
                <w:sz w:val="22"/>
                <w:szCs w:val="22"/>
              </w:rPr>
            </w:pPr>
            <w:r w:rsidRPr="00951F0F">
              <w:rPr>
                <w:rFonts w:cstheme="minorHAnsi"/>
                <w:sz w:val="22"/>
                <w:szCs w:val="22"/>
              </w:rPr>
              <w:t>1 year</w:t>
            </w:r>
          </w:p>
        </w:tc>
        <w:tc>
          <w:tcPr>
            <w:tcW w:w="1276" w:type="dxa"/>
          </w:tcPr>
          <w:p w14:paraId="370246A2" w14:textId="77777777" w:rsidR="002B0343" w:rsidRPr="00951F0F" w:rsidRDefault="002B0343" w:rsidP="004E266B">
            <w:pPr>
              <w:pStyle w:val="HTMLPreformatted"/>
              <w:shd w:val="clear" w:color="auto" w:fill="FFFFFF"/>
              <w:wordWrap w:val="0"/>
              <w:rPr>
                <w:rFonts w:asciiTheme="minorHAnsi" w:hAnsiTheme="minorHAnsi" w:cstheme="minorHAnsi"/>
                <w:sz w:val="22"/>
                <w:szCs w:val="22"/>
              </w:rPr>
            </w:pPr>
            <w:r w:rsidRPr="00951F0F">
              <w:rPr>
                <w:rFonts w:asciiTheme="minorHAnsi" w:hAnsiTheme="minorHAnsi" w:cstheme="minorHAnsi"/>
                <w:sz w:val="22"/>
                <w:szCs w:val="22"/>
              </w:rPr>
              <w:t>65.9</w:t>
            </w:r>
          </w:p>
        </w:tc>
        <w:tc>
          <w:tcPr>
            <w:tcW w:w="1134" w:type="dxa"/>
          </w:tcPr>
          <w:p w14:paraId="6D5C7DE7" w14:textId="77777777" w:rsidR="002B0343" w:rsidRPr="00951F0F" w:rsidRDefault="002B0343" w:rsidP="004E266B">
            <w:pPr>
              <w:pStyle w:val="HTMLPreformatted"/>
              <w:shd w:val="clear" w:color="auto" w:fill="FFFFFF"/>
              <w:wordWrap w:val="0"/>
              <w:rPr>
                <w:rFonts w:asciiTheme="minorHAnsi" w:hAnsiTheme="minorHAnsi" w:cstheme="minorHAnsi"/>
                <w:sz w:val="22"/>
                <w:szCs w:val="22"/>
              </w:rPr>
            </w:pPr>
            <w:r w:rsidRPr="00951F0F">
              <w:rPr>
                <w:rFonts w:asciiTheme="minorHAnsi" w:hAnsiTheme="minorHAnsi" w:cstheme="minorHAnsi"/>
                <w:sz w:val="22"/>
                <w:szCs w:val="22"/>
              </w:rPr>
              <w:t>45.0</w:t>
            </w:r>
          </w:p>
        </w:tc>
      </w:tr>
      <w:tr w:rsidR="002B0343" w:rsidRPr="00951F0F" w14:paraId="66DDCA01" w14:textId="77777777" w:rsidTr="004E266B">
        <w:trPr>
          <w:trHeight w:hRule="exact" w:val="397"/>
        </w:trPr>
        <w:tc>
          <w:tcPr>
            <w:tcW w:w="1271" w:type="dxa"/>
            <w:vAlign w:val="center"/>
          </w:tcPr>
          <w:p w14:paraId="764B9B7C" w14:textId="77777777" w:rsidR="002B0343" w:rsidRPr="00951F0F" w:rsidRDefault="002B0343" w:rsidP="004E266B">
            <w:pPr>
              <w:spacing w:line="480" w:lineRule="auto"/>
              <w:jc w:val="both"/>
              <w:rPr>
                <w:rFonts w:cstheme="minorHAnsi"/>
                <w:sz w:val="22"/>
                <w:szCs w:val="22"/>
              </w:rPr>
            </w:pPr>
            <w:r w:rsidRPr="00951F0F">
              <w:rPr>
                <w:rFonts w:cstheme="minorHAnsi"/>
                <w:sz w:val="22"/>
                <w:szCs w:val="22"/>
              </w:rPr>
              <w:t>Scenario 14</w:t>
            </w:r>
          </w:p>
        </w:tc>
        <w:tc>
          <w:tcPr>
            <w:tcW w:w="1985" w:type="dxa"/>
            <w:vAlign w:val="center"/>
          </w:tcPr>
          <w:p w14:paraId="4D98DF61" w14:textId="77777777" w:rsidR="002B0343" w:rsidRPr="00951F0F" w:rsidRDefault="002B0343" w:rsidP="004E266B">
            <w:pPr>
              <w:spacing w:line="480" w:lineRule="auto"/>
              <w:jc w:val="both"/>
              <w:rPr>
                <w:rFonts w:cstheme="minorHAnsi"/>
                <w:sz w:val="22"/>
                <w:szCs w:val="22"/>
              </w:rPr>
            </w:pPr>
            <w:r w:rsidRPr="00951F0F">
              <w:rPr>
                <w:rFonts w:cstheme="minorHAnsi"/>
                <w:sz w:val="22"/>
                <w:szCs w:val="22"/>
              </w:rPr>
              <w:t>CH</w:t>
            </w:r>
            <w:r w:rsidRPr="00951F0F">
              <w:rPr>
                <w:rFonts w:cstheme="minorHAnsi"/>
                <w:sz w:val="22"/>
                <w:szCs w:val="22"/>
                <w:vertAlign w:val="subscript"/>
              </w:rPr>
              <w:t>3</w:t>
            </w:r>
            <w:r w:rsidRPr="00951F0F">
              <w:rPr>
                <w:rFonts w:cstheme="minorHAnsi"/>
                <w:sz w:val="22"/>
                <w:szCs w:val="22"/>
              </w:rPr>
              <w:t>Cl</w:t>
            </w:r>
          </w:p>
        </w:tc>
        <w:tc>
          <w:tcPr>
            <w:tcW w:w="2551" w:type="dxa"/>
            <w:vAlign w:val="center"/>
          </w:tcPr>
          <w:p w14:paraId="7CBE6579" w14:textId="77777777" w:rsidR="002B0343" w:rsidRPr="00951F0F" w:rsidRDefault="002B0343" w:rsidP="004E266B">
            <w:pPr>
              <w:spacing w:line="480" w:lineRule="auto"/>
              <w:jc w:val="both"/>
              <w:rPr>
                <w:rFonts w:cstheme="minorHAnsi"/>
                <w:sz w:val="22"/>
                <w:szCs w:val="22"/>
              </w:rPr>
            </w:pPr>
            <w:r w:rsidRPr="00951F0F">
              <w:rPr>
                <w:rFonts w:cstheme="minorHAnsi"/>
                <w:sz w:val="22"/>
                <w:szCs w:val="22"/>
              </w:rPr>
              <w:t>16000 Gg yr</w:t>
            </w:r>
            <w:r w:rsidRPr="00951F0F">
              <w:rPr>
                <w:rFonts w:cstheme="minorHAnsi"/>
                <w:sz w:val="22"/>
                <w:szCs w:val="22"/>
                <w:vertAlign w:val="superscript"/>
              </w:rPr>
              <w:t>−1</w:t>
            </w:r>
          </w:p>
        </w:tc>
        <w:tc>
          <w:tcPr>
            <w:tcW w:w="1134" w:type="dxa"/>
            <w:vAlign w:val="center"/>
          </w:tcPr>
          <w:p w14:paraId="2F47DFF9" w14:textId="77777777" w:rsidR="002B0343" w:rsidRPr="00951F0F" w:rsidRDefault="002B0343" w:rsidP="004E266B">
            <w:pPr>
              <w:spacing w:line="480" w:lineRule="auto"/>
              <w:jc w:val="both"/>
              <w:rPr>
                <w:rFonts w:cstheme="minorHAnsi"/>
                <w:sz w:val="22"/>
                <w:szCs w:val="22"/>
              </w:rPr>
            </w:pPr>
            <w:r w:rsidRPr="00951F0F">
              <w:rPr>
                <w:rFonts w:cstheme="minorHAnsi"/>
                <w:sz w:val="22"/>
                <w:szCs w:val="22"/>
              </w:rPr>
              <w:t>1 year</w:t>
            </w:r>
          </w:p>
        </w:tc>
        <w:tc>
          <w:tcPr>
            <w:tcW w:w="1276" w:type="dxa"/>
          </w:tcPr>
          <w:p w14:paraId="73682799" w14:textId="77777777" w:rsidR="002B0343" w:rsidRPr="00951F0F" w:rsidRDefault="002B0343" w:rsidP="004E266B">
            <w:pPr>
              <w:pStyle w:val="HTMLPreformatted"/>
              <w:shd w:val="clear" w:color="auto" w:fill="FFFFFF"/>
              <w:wordWrap w:val="0"/>
              <w:rPr>
                <w:rFonts w:asciiTheme="minorHAnsi" w:hAnsiTheme="minorHAnsi" w:cstheme="minorHAnsi"/>
                <w:sz w:val="22"/>
                <w:szCs w:val="22"/>
              </w:rPr>
            </w:pPr>
            <w:r w:rsidRPr="00951F0F">
              <w:rPr>
                <w:rFonts w:asciiTheme="minorHAnsi" w:hAnsiTheme="minorHAnsi" w:cstheme="minorHAnsi"/>
                <w:sz w:val="22"/>
                <w:szCs w:val="22"/>
              </w:rPr>
              <w:t>-44.3</w:t>
            </w:r>
          </w:p>
        </w:tc>
        <w:tc>
          <w:tcPr>
            <w:tcW w:w="1134" w:type="dxa"/>
          </w:tcPr>
          <w:p w14:paraId="7DC4181B" w14:textId="77777777" w:rsidR="002B0343" w:rsidRPr="00951F0F" w:rsidRDefault="002B0343" w:rsidP="004E266B">
            <w:pPr>
              <w:pStyle w:val="HTMLPreformatted"/>
              <w:shd w:val="clear" w:color="auto" w:fill="FFFFFF"/>
              <w:wordWrap w:val="0"/>
              <w:rPr>
                <w:rFonts w:asciiTheme="minorHAnsi" w:hAnsiTheme="minorHAnsi" w:cstheme="minorHAnsi"/>
                <w:sz w:val="22"/>
                <w:szCs w:val="22"/>
              </w:rPr>
            </w:pPr>
            <w:r w:rsidRPr="00951F0F">
              <w:rPr>
                <w:rFonts w:asciiTheme="minorHAnsi" w:hAnsiTheme="minorHAnsi" w:cstheme="minorHAnsi"/>
                <w:sz w:val="22"/>
                <w:szCs w:val="22"/>
              </w:rPr>
              <w:t>-8.5</w:t>
            </w:r>
          </w:p>
        </w:tc>
      </w:tr>
      <w:tr w:rsidR="002B0343" w:rsidRPr="00951F0F" w14:paraId="2618F8A8" w14:textId="77777777" w:rsidTr="004E266B">
        <w:trPr>
          <w:trHeight w:hRule="exact" w:val="397"/>
        </w:trPr>
        <w:tc>
          <w:tcPr>
            <w:tcW w:w="1271" w:type="dxa"/>
            <w:vAlign w:val="center"/>
          </w:tcPr>
          <w:p w14:paraId="659B6E7D" w14:textId="77777777" w:rsidR="002B0343" w:rsidRPr="00951F0F" w:rsidRDefault="002B0343" w:rsidP="004E266B">
            <w:pPr>
              <w:spacing w:line="480" w:lineRule="auto"/>
              <w:jc w:val="both"/>
              <w:rPr>
                <w:rFonts w:cstheme="minorHAnsi"/>
                <w:sz w:val="22"/>
                <w:szCs w:val="22"/>
              </w:rPr>
            </w:pPr>
            <w:r w:rsidRPr="00951F0F">
              <w:rPr>
                <w:rFonts w:cstheme="minorHAnsi"/>
                <w:sz w:val="22"/>
                <w:szCs w:val="22"/>
              </w:rPr>
              <w:t>Scenario 15</w:t>
            </w:r>
          </w:p>
        </w:tc>
        <w:tc>
          <w:tcPr>
            <w:tcW w:w="1985" w:type="dxa"/>
            <w:vAlign w:val="center"/>
          </w:tcPr>
          <w:p w14:paraId="16EAA15B" w14:textId="77777777" w:rsidR="002B0343" w:rsidRPr="00951F0F" w:rsidRDefault="002B0343" w:rsidP="004E266B">
            <w:pPr>
              <w:spacing w:line="480" w:lineRule="auto"/>
              <w:jc w:val="both"/>
              <w:rPr>
                <w:rFonts w:cstheme="minorHAnsi"/>
                <w:sz w:val="22"/>
                <w:szCs w:val="22"/>
              </w:rPr>
            </w:pPr>
            <w:r w:rsidRPr="00951F0F">
              <w:rPr>
                <w:rFonts w:cstheme="minorHAnsi"/>
                <w:sz w:val="22"/>
                <w:szCs w:val="22"/>
              </w:rPr>
              <w:t>CH</w:t>
            </w:r>
            <w:r w:rsidRPr="00951F0F">
              <w:rPr>
                <w:rFonts w:cstheme="minorHAnsi"/>
                <w:sz w:val="22"/>
                <w:szCs w:val="22"/>
                <w:vertAlign w:val="subscript"/>
              </w:rPr>
              <w:t>3</w:t>
            </w:r>
            <w:r w:rsidRPr="00951F0F">
              <w:rPr>
                <w:rFonts w:cstheme="minorHAnsi"/>
                <w:sz w:val="22"/>
                <w:szCs w:val="22"/>
              </w:rPr>
              <w:t>Cl</w:t>
            </w:r>
          </w:p>
        </w:tc>
        <w:tc>
          <w:tcPr>
            <w:tcW w:w="2551" w:type="dxa"/>
            <w:vAlign w:val="center"/>
          </w:tcPr>
          <w:p w14:paraId="423CE1C5" w14:textId="77777777" w:rsidR="002B0343" w:rsidRPr="00951F0F" w:rsidRDefault="002B0343" w:rsidP="004E266B">
            <w:pPr>
              <w:spacing w:line="480" w:lineRule="auto"/>
              <w:jc w:val="both"/>
              <w:rPr>
                <w:rFonts w:cstheme="minorHAnsi"/>
                <w:sz w:val="22"/>
                <w:szCs w:val="22"/>
              </w:rPr>
            </w:pPr>
            <w:r w:rsidRPr="00951F0F">
              <w:rPr>
                <w:rFonts w:cstheme="minorHAnsi"/>
                <w:sz w:val="22"/>
                <w:szCs w:val="22"/>
              </w:rPr>
              <w:t>16000 Gg yr</w:t>
            </w:r>
            <w:r w:rsidRPr="00951F0F">
              <w:rPr>
                <w:rFonts w:cstheme="minorHAnsi"/>
                <w:sz w:val="22"/>
                <w:szCs w:val="22"/>
                <w:vertAlign w:val="superscript"/>
              </w:rPr>
              <w:t>−1</w:t>
            </w:r>
          </w:p>
        </w:tc>
        <w:tc>
          <w:tcPr>
            <w:tcW w:w="1134" w:type="dxa"/>
            <w:vAlign w:val="center"/>
          </w:tcPr>
          <w:p w14:paraId="34AE27DF" w14:textId="77777777" w:rsidR="002B0343" w:rsidRPr="00951F0F" w:rsidRDefault="002B0343" w:rsidP="004E266B">
            <w:pPr>
              <w:spacing w:line="480" w:lineRule="auto"/>
              <w:jc w:val="both"/>
              <w:rPr>
                <w:rFonts w:cstheme="minorHAnsi"/>
                <w:sz w:val="22"/>
                <w:szCs w:val="22"/>
              </w:rPr>
            </w:pPr>
            <w:r w:rsidRPr="00951F0F">
              <w:rPr>
                <w:rFonts w:cstheme="minorHAnsi"/>
                <w:sz w:val="22"/>
                <w:szCs w:val="22"/>
              </w:rPr>
              <w:t>5 years</w:t>
            </w:r>
          </w:p>
        </w:tc>
        <w:tc>
          <w:tcPr>
            <w:tcW w:w="1276" w:type="dxa"/>
          </w:tcPr>
          <w:p w14:paraId="183C5FAB" w14:textId="77777777" w:rsidR="002B0343" w:rsidRPr="00951F0F" w:rsidRDefault="002B0343" w:rsidP="004E266B">
            <w:pPr>
              <w:pStyle w:val="HTMLPreformatted"/>
              <w:shd w:val="clear" w:color="auto" w:fill="FFFFFF"/>
              <w:wordWrap w:val="0"/>
              <w:rPr>
                <w:rFonts w:asciiTheme="minorHAnsi" w:hAnsiTheme="minorHAnsi" w:cstheme="minorHAnsi"/>
                <w:sz w:val="22"/>
                <w:szCs w:val="22"/>
              </w:rPr>
            </w:pPr>
            <w:r w:rsidRPr="00951F0F">
              <w:rPr>
                <w:rFonts w:asciiTheme="minorHAnsi" w:hAnsiTheme="minorHAnsi" w:cstheme="minorHAnsi"/>
                <w:sz w:val="22"/>
                <w:szCs w:val="22"/>
              </w:rPr>
              <w:t>30.4</w:t>
            </w:r>
          </w:p>
        </w:tc>
        <w:tc>
          <w:tcPr>
            <w:tcW w:w="1134" w:type="dxa"/>
          </w:tcPr>
          <w:p w14:paraId="5F2EEBCD" w14:textId="77777777" w:rsidR="002B0343" w:rsidRPr="00951F0F" w:rsidRDefault="002B0343" w:rsidP="004E266B">
            <w:pPr>
              <w:pStyle w:val="HTMLPreformatted"/>
              <w:shd w:val="clear" w:color="auto" w:fill="FFFFFF"/>
              <w:wordWrap w:val="0"/>
              <w:rPr>
                <w:rFonts w:asciiTheme="minorHAnsi" w:hAnsiTheme="minorHAnsi" w:cstheme="minorHAnsi"/>
                <w:sz w:val="22"/>
                <w:szCs w:val="22"/>
              </w:rPr>
            </w:pPr>
            <w:r w:rsidRPr="00951F0F">
              <w:rPr>
                <w:rFonts w:asciiTheme="minorHAnsi" w:hAnsiTheme="minorHAnsi" w:cstheme="minorHAnsi"/>
                <w:sz w:val="22"/>
                <w:szCs w:val="22"/>
              </w:rPr>
              <w:t>54.1</w:t>
            </w:r>
          </w:p>
        </w:tc>
      </w:tr>
      <w:tr w:rsidR="002B0343" w:rsidRPr="00951F0F" w14:paraId="5552E5E1" w14:textId="77777777" w:rsidTr="004E266B">
        <w:trPr>
          <w:trHeight w:hRule="exact" w:val="397"/>
        </w:trPr>
        <w:tc>
          <w:tcPr>
            <w:tcW w:w="1271" w:type="dxa"/>
            <w:vAlign w:val="center"/>
          </w:tcPr>
          <w:p w14:paraId="27080F10" w14:textId="77777777" w:rsidR="002B0343" w:rsidRPr="00951F0F" w:rsidRDefault="002B0343" w:rsidP="004E266B">
            <w:pPr>
              <w:spacing w:line="480" w:lineRule="auto"/>
              <w:jc w:val="both"/>
              <w:rPr>
                <w:rFonts w:cstheme="minorHAnsi"/>
                <w:sz w:val="22"/>
                <w:szCs w:val="22"/>
              </w:rPr>
            </w:pPr>
            <w:r w:rsidRPr="00951F0F">
              <w:rPr>
                <w:rFonts w:cstheme="minorHAnsi"/>
                <w:sz w:val="22"/>
                <w:szCs w:val="22"/>
              </w:rPr>
              <w:t>Scenario 16</w:t>
            </w:r>
          </w:p>
        </w:tc>
        <w:tc>
          <w:tcPr>
            <w:tcW w:w="1985" w:type="dxa"/>
            <w:vAlign w:val="center"/>
          </w:tcPr>
          <w:p w14:paraId="7B369DF8" w14:textId="77777777" w:rsidR="002B0343" w:rsidRPr="00951F0F" w:rsidRDefault="002B0343" w:rsidP="004E266B">
            <w:pPr>
              <w:spacing w:line="480" w:lineRule="auto"/>
              <w:jc w:val="both"/>
              <w:rPr>
                <w:rFonts w:cstheme="minorHAnsi"/>
                <w:sz w:val="22"/>
                <w:szCs w:val="22"/>
              </w:rPr>
            </w:pPr>
            <w:r w:rsidRPr="00951F0F">
              <w:rPr>
                <w:rFonts w:cstheme="minorHAnsi"/>
                <w:sz w:val="22"/>
                <w:szCs w:val="22"/>
              </w:rPr>
              <w:t>CH</w:t>
            </w:r>
            <w:r w:rsidRPr="00951F0F">
              <w:rPr>
                <w:rFonts w:cstheme="minorHAnsi"/>
                <w:sz w:val="22"/>
                <w:szCs w:val="22"/>
                <w:vertAlign w:val="subscript"/>
              </w:rPr>
              <w:t>3</w:t>
            </w:r>
            <w:r w:rsidRPr="00951F0F">
              <w:rPr>
                <w:rFonts w:cstheme="minorHAnsi"/>
                <w:sz w:val="22"/>
                <w:szCs w:val="22"/>
              </w:rPr>
              <w:t>Br</w:t>
            </w:r>
          </w:p>
        </w:tc>
        <w:tc>
          <w:tcPr>
            <w:tcW w:w="2551" w:type="dxa"/>
            <w:vAlign w:val="center"/>
          </w:tcPr>
          <w:p w14:paraId="79572608" w14:textId="77777777" w:rsidR="002B0343" w:rsidRPr="00951F0F" w:rsidRDefault="002B0343" w:rsidP="004E266B">
            <w:pPr>
              <w:spacing w:line="480" w:lineRule="auto"/>
              <w:jc w:val="both"/>
              <w:rPr>
                <w:rFonts w:cstheme="minorHAnsi"/>
                <w:sz w:val="22"/>
                <w:szCs w:val="22"/>
              </w:rPr>
            </w:pPr>
            <w:r w:rsidRPr="00951F0F">
              <w:rPr>
                <w:rFonts w:cstheme="minorHAnsi"/>
                <w:sz w:val="22"/>
                <w:szCs w:val="22"/>
              </w:rPr>
              <w:t>380 Gg yr</w:t>
            </w:r>
            <w:r w:rsidRPr="00951F0F">
              <w:rPr>
                <w:rFonts w:cstheme="minorHAnsi"/>
                <w:sz w:val="22"/>
                <w:szCs w:val="22"/>
                <w:vertAlign w:val="superscript"/>
              </w:rPr>
              <w:t>−1</w:t>
            </w:r>
          </w:p>
        </w:tc>
        <w:tc>
          <w:tcPr>
            <w:tcW w:w="1134" w:type="dxa"/>
            <w:vAlign w:val="center"/>
          </w:tcPr>
          <w:p w14:paraId="1F5AF353" w14:textId="77777777" w:rsidR="002B0343" w:rsidRPr="00951F0F" w:rsidRDefault="002B0343" w:rsidP="004E266B">
            <w:pPr>
              <w:spacing w:line="480" w:lineRule="auto"/>
              <w:jc w:val="both"/>
              <w:rPr>
                <w:rFonts w:cstheme="minorHAnsi"/>
                <w:sz w:val="22"/>
                <w:szCs w:val="22"/>
              </w:rPr>
            </w:pPr>
            <w:r w:rsidRPr="00951F0F">
              <w:rPr>
                <w:rFonts w:cstheme="minorHAnsi"/>
                <w:sz w:val="22"/>
                <w:szCs w:val="22"/>
              </w:rPr>
              <w:t>1 year</w:t>
            </w:r>
          </w:p>
        </w:tc>
        <w:tc>
          <w:tcPr>
            <w:tcW w:w="1276" w:type="dxa"/>
          </w:tcPr>
          <w:p w14:paraId="7F3578B6" w14:textId="77777777" w:rsidR="002B0343" w:rsidRPr="00951F0F" w:rsidRDefault="002B0343" w:rsidP="004E266B">
            <w:pPr>
              <w:pStyle w:val="HTMLPreformatted"/>
              <w:shd w:val="clear" w:color="auto" w:fill="FFFFFF"/>
              <w:wordWrap w:val="0"/>
              <w:rPr>
                <w:rFonts w:asciiTheme="minorHAnsi" w:hAnsiTheme="minorHAnsi" w:cstheme="minorHAnsi"/>
                <w:sz w:val="22"/>
                <w:szCs w:val="22"/>
              </w:rPr>
            </w:pPr>
            <w:r w:rsidRPr="00951F0F">
              <w:rPr>
                <w:rFonts w:asciiTheme="minorHAnsi" w:hAnsiTheme="minorHAnsi" w:cstheme="minorHAnsi"/>
                <w:sz w:val="22"/>
                <w:szCs w:val="22"/>
              </w:rPr>
              <w:t>105.4</w:t>
            </w:r>
          </w:p>
        </w:tc>
        <w:tc>
          <w:tcPr>
            <w:tcW w:w="1134" w:type="dxa"/>
          </w:tcPr>
          <w:p w14:paraId="4164DBD9" w14:textId="77777777" w:rsidR="002B0343" w:rsidRPr="00951F0F" w:rsidRDefault="002B0343" w:rsidP="004E266B">
            <w:pPr>
              <w:pStyle w:val="HTMLPreformatted"/>
              <w:shd w:val="clear" w:color="auto" w:fill="FFFFFF"/>
              <w:wordWrap w:val="0"/>
              <w:rPr>
                <w:rFonts w:asciiTheme="minorHAnsi" w:hAnsiTheme="minorHAnsi" w:cstheme="minorHAnsi"/>
                <w:sz w:val="22"/>
                <w:szCs w:val="22"/>
              </w:rPr>
            </w:pPr>
            <w:r w:rsidRPr="00951F0F">
              <w:rPr>
                <w:rFonts w:asciiTheme="minorHAnsi" w:hAnsiTheme="minorHAnsi" w:cstheme="minorHAnsi"/>
                <w:sz w:val="22"/>
                <w:szCs w:val="22"/>
              </w:rPr>
              <w:t>76.7</w:t>
            </w:r>
          </w:p>
        </w:tc>
      </w:tr>
      <w:tr w:rsidR="002B0343" w:rsidRPr="00951F0F" w14:paraId="54B78083" w14:textId="77777777" w:rsidTr="004E266B">
        <w:trPr>
          <w:trHeight w:hRule="exact" w:val="397"/>
        </w:trPr>
        <w:tc>
          <w:tcPr>
            <w:tcW w:w="1271" w:type="dxa"/>
            <w:vAlign w:val="center"/>
          </w:tcPr>
          <w:p w14:paraId="6849BE9B" w14:textId="77777777" w:rsidR="002B0343" w:rsidRPr="00951F0F" w:rsidRDefault="002B0343" w:rsidP="004E266B">
            <w:pPr>
              <w:spacing w:line="480" w:lineRule="auto"/>
              <w:jc w:val="both"/>
              <w:rPr>
                <w:rFonts w:cstheme="minorHAnsi"/>
                <w:sz w:val="22"/>
                <w:szCs w:val="22"/>
              </w:rPr>
            </w:pPr>
            <w:r w:rsidRPr="00951F0F">
              <w:rPr>
                <w:rFonts w:cstheme="minorHAnsi"/>
                <w:sz w:val="22"/>
                <w:szCs w:val="22"/>
              </w:rPr>
              <w:t>Scenario 17</w:t>
            </w:r>
          </w:p>
        </w:tc>
        <w:tc>
          <w:tcPr>
            <w:tcW w:w="1985" w:type="dxa"/>
            <w:vAlign w:val="center"/>
          </w:tcPr>
          <w:p w14:paraId="7022204A" w14:textId="77777777" w:rsidR="002B0343" w:rsidRPr="00951F0F" w:rsidRDefault="002B0343" w:rsidP="004E266B">
            <w:pPr>
              <w:spacing w:line="480" w:lineRule="auto"/>
              <w:jc w:val="both"/>
              <w:rPr>
                <w:rFonts w:cstheme="minorHAnsi"/>
                <w:sz w:val="22"/>
                <w:szCs w:val="22"/>
              </w:rPr>
            </w:pPr>
            <w:r w:rsidRPr="00951F0F">
              <w:rPr>
                <w:rFonts w:cstheme="minorHAnsi"/>
                <w:sz w:val="22"/>
                <w:szCs w:val="22"/>
              </w:rPr>
              <w:t>CH</w:t>
            </w:r>
            <w:r w:rsidRPr="00951F0F">
              <w:rPr>
                <w:rFonts w:cstheme="minorHAnsi"/>
                <w:sz w:val="22"/>
                <w:szCs w:val="22"/>
                <w:vertAlign w:val="subscript"/>
              </w:rPr>
              <w:t>3</w:t>
            </w:r>
            <w:r w:rsidRPr="00951F0F">
              <w:rPr>
                <w:rFonts w:cstheme="minorHAnsi"/>
                <w:sz w:val="22"/>
                <w:szCs w:val="22"/>
              </w:rPr>
              <w:t>Br</w:t>
            </w:r>
          </w:p>
        </w:tc>
        <w:tc>
          <w:tcPr>
            <w:tcW w:w="2551" w:type="dxa"/>
            <w:vAlign w:val="center"/>
          </w:tcPr>
          <w:p w14:paraId="683DAADF" w14:textId="77777777" w:rsidR="002B0343" w:rsidRPr="00951F0F" w:rsidRDefault="002B0343" w:rsidP="004E266B">
            <w:pPr>
              <w:spacing w:line="480" w:lineRule="auto"/>
              <w:jc w:val="both"/>
              <w:rPr>
                <w:rFonts w:cstheme="minorHAnsi"/>
                <w:sz w:val="22"/>
                <w:szCs w:val="22"/>
              </w:rPr>
            </w:pPr>
            <w:r w:rsidRPr="00951F0F">
              <w:rPr>
                <w:rFonts w:cstheme="minorHAnsi"/>
                <w:sz w:val="22"/>
                <w:szCs w:val="22"/>
              </w:rPr>
              <w:t>380 Gg yr</w:t>
            </w:r>
            <w:r w:rsidRPr="00951F0F">
              <w:rPr>
                <w:rFonts w:cstheme="minorHAnsi"/>
                <w:sz w:val="22"/>
                <w:szCs w:val="22"/>
                <w:vertAlign w:val="superscript"/>
              </w:rPr>
              <w:t>−1</w:t>
            </w:r>
          </w:p>
        </w:tc>
        <w:tc>
          <w:tcPr>
            <w:tcW w:w="1134" w:type="dxa"/>
            <w:vAlign w:val="center"/>
          </w:tcPr>
          <w:p w14:paraId="20D10DBF" w14:textId="77777777" w:rsidR="002B0343" w:rsidRPr="00951F0F" w:rsidRDefault="002B0343" w:rsidP="004E266B">
            <w:pPr>
              <w:spacing w:line="480" w:lineRule="auto"/>
              <w:jc w:val="both"/>
              <w:rPr>
                <w:rFonts w:cstheme="minorHAnsi"/>
                <w:sz w:val="22"/>
                <w:szCs w:val="22"/>
              </w:rPr>
            </w:pPr>
            <w:r w:rsidRPr="00951F0F">
              <w:rPr>
                <w:rFonts w:cstheme="minorHAnsi"/>
                <w:sz w:val="22"/>
                <w:szCs w:val="22"/>
              </w:rPr>
              <w:t>5 years</w:t>
            </w:r>
          </w:p>
        </w:tc>
        <w:tc>
          <w:tcPr>
            <w:tcW w:w="1276" w:type="dxa"/>
          </w:tcPr>
          <w:p w14:paraId="0F091EF9" w14:textId="77777777" w:rsidR="002B0343" w:rsidRPr="00951F0F" w:rsidRDefault="002B0343" w:rsidP="004E266B">
            <w:pPr>
              <w:pStyle w:val="HTMLPreformatted"/>
              <w:shd w:val="clear" w:color="auto" w:fill="FFFFFF"/>
              <w:wordWrap w:val="0"/>
              <w:rPr>
                <w:rFonts w:asciiTheme="minorHAnsi" w:hAnsiTheme="minorHAnsi" w:cstheme="minorHAnsi"/>
                <w:sz w:val="22"/>
                <w:szCs w:val="22"/>
              </w:rPr>
            </w:pPr>
            <w:r w:rsidRPr="00951F0F">
              <w:rPr>
                <w:rFonts w:asciiTheme="minorHAnsi" w:hAnsiTheme="minorHAnsi" w:cstheme="minorHAnsi"/>
                <w:sz w:val="22"/>
                <w:szCs w:val="22"/>
              </w:rPr>
              <w:t>310.9</w:t>
            </w:r>
          </w:p>
        </w:tc>
        <w:tc>
          <w:tcPr>
            <w:tcW w:w="1134" w:type="dxa"/>
          </w:tcPr>
          <w:p w14:paraId="6BF5EDFA" w14:textId="77777777" w:rsidR="002B0343" w:rsidRPr="00951F0F" w:rsidRDefault="002B0343" w:rsidP="004E266B">
            <w:pPr>
              <w:pStyle w:val="HTMLPreformatted"/>
              <w:shd w:val="clear" w:color="auto" w:fill="FFFFFF"/>
              <w:wordWrap w:val="0"/>
              <w:rPr>
                <w:rFonts w:asciiTheme="minorHAnsi" w:hAnsiTheme="minorHAnsi" w:cstheme="minorHAnsi"/>
                <w:sz w:val="22"/>
                <w:szCs w:val="22"/>
              </w:rPr>
            </w:pPr>
            <w:r w:rsidRPr="00951F0F">
              <w:rPr>
                <w:rFonts w:asciiTheme="minorHAnsi" w:hAnsiTheme="minorHAnsi" w:cstheme="minorHAnsi"/>
                <w:sz w:val="22"/>
                <w:szCs w:val="22"/>
              </w:rPr>
              <w:t>275.9</w:t>
            </w:r>
          </w:p>
        </w:tc>
      </w:tr>
    </w:tbl>
    <w:p w14:paraId="1ECA02A0" w14:textId="77777777" w:rsidR="002B0343" w:rsidRPr="00951F0F" w:rsidRDefault="002B0343" w:rsidP="002B0343">
      <w:pPr>
        <w:spacing w:line="480" w:lineRule="auto"/>
        <w:jc w:val="both"/>
        <w:rPr>
          <w:rFonts w:cstheme="minorHAnsi"/>
        </w:rPr>
      </w:pPr>
    </w:p>
    <w:p w14:paraId="0B1D782D" w14:textId="542B83A8" w:rsidR="002B0343" w:rsidRPr="00951F0F" w:rsidRDefault="002B0343" w:rsidP="002B0343">
      <w:pPr>
        <w:spacing w:line="480" w:lineRule="auto"/>
        <w:jc w:val="both"/>
        <w:rPr>
          <w:rFonts w:cstheme="minorHAnsi"/>
        </w:rPr>
      </w:pPr>
      <w:r w:rsidRPr="00951F0F">
        <w:rPr>
          <w:rFonts w:cstheme="minorHAnsi"/>
        </w:rPr>
        <w:t xml:space="preserve">Table </w:t>
      </w:r>
      <w:r w:rsidR="001F3A29">
        <w:rPr>
          <w:rFonts w:cstheme="minorHAnsi"/>
        </w:rPr>
        <w:t>1</w:t>
      </w:r>
      <w:r w:rsidRPr="00951F0F">
        <w:rPr>
          <w:rFonts w:cstheme="minorHAnsi"/>
        </w:rPr>
        <w:t>: Summary of simulations used in this study. The Base simulation, run from 1960-2100, follows the experimental design of the WCRP/SPARC Chemistry Climate Model Initiative REF-C2 experiment and uses the RCP6.0 scenario for future greenhouse gas concentrations and the WMO (2014) A1 scenario for future ODSs concentrations. The Scenario simulations, run from 2012 to 2100 also follow these emissions scenarios, but include an additional halogen emission pulse. For each scenario the species, magnitude and duration of this emissions pulse is given in the table. For the Scenario simulations, all the additional halogen emissions start in 2012. IODs are in DU years.</w:t>
      </w:r>
      <w:r w:rsidRPr="00951F0F">
        <w:rPr>
          <w:rFonts w:cstheme="minorHAnsi"/>
        </w:rPr>
        <w:br w:type="page"/>
      </w:r>
    </w:p>
    <w:tbl>
      <w:tblPr>
        <w:tblStyle w:val="TableGrid"/>
        <w:tblW w:w="8074" w:type="dxa"/>
        <w:tblLayout w:type="fixed"/>
        <w:tblLook w:val="04A0" w:firstRow="1" w:lastRow="0" w:firstColumn="1" w:lastColumn="0" w:noHBand="0" w:noVBand="1"/>
      </w:tblPr>
      <w:tblGrid>
        <w:gridCol w:w="1838"/>
        <w:gridCol w:w="1559"/>
        <w:gridCol w:w="1559"/>
        <w:gridCol w:w="1559"/>
        <w:gridCol w:w="1559"/>
      </w:tblGrid>
      <w:tr w:rsidR="001F3A29" w:rsidRPr="00951F0F" w14:paraId="73F5C337" w14:textId="77777777" w:rsidTr="004E266B">
        <w:tc>
          <w:tcPr>
            <w:tcW w:w="1838" w:type="dxa"/>
            <w:vAlign w:val="center"/>
          </w:tcPr>
          <w:p w14:paraId="2CA3B585" w14:textId="77777777" w:rsidR="001F3A29" w:rsidRPr="00951F0F" w:rsidRDefault="001F3A29" w:rsidP="004E266B">
            <w:pPr>
              <w:spacing w:line="480" w:lineRule="auto"/>
              <w:jc w:val="center"/>
              <w:rPr>
                <w:rFonts w:cstheme="minorHAnsi"/>
              </w:rPr>
            </w:pPr>
            <w:r w:rsidRPr="00951F0F">
              <w:rPr>
                <w:rFonts w:cstheme="minorHAnsi"/>
              </w:rPr>
              <w:lastRenderedPageBreak/>
              <w:t>Species emitted</w:t>
            </w:r>
          </w:p>
        </w:tc>
        <w:tc>
          <w:tcPr>
            <w:tcW w:w="1559" w:type="dxa"/>
            <w:vAlign w:val="center"/>
          </w:tcPr>
          <w:p w14:paraId="1F777035" w14:textId="77777777" w:rsidR="001F3A29" w:rsidRPr="00951F0F" w:rsidRDefault="00402810" w:rsidP="004E266B">
            <w:pPr>
              <w:spacing w:line="480" w:lineRule="auto"/>
              <w:jc w:val="center"/>
              <w:rPr>
                <w:rFonts w:cstheme="minorHAnsi"/>
                <w:i/>
                <w:iCs/>
              </w:rPr>
            </w:pPr>
            <m:oMathPara>
              <m:oMath>
                <m:sSub>
                  <m:sSubPr>
                    <m:ctrlPr>
                      <w:rPr>
                        <w:rFonts w:ascii="Cambria Math" w:hAnsi="Cambria Math" w:cstheme="minorHAnsi"/>
                        <w:i/>
                      </w:rPr>
                    </m:ctrlPr>
                  </m:sSubPr>
                  <m:e>
                    <m:r>
                      <w:rPr>
                        <w:rFonts w:ascii="Cambria Math" w:hAnsi="Cambria Math" w:cstheme="minorHAnsi"/>
                      </w:rPr>
                      <m:t>τ</m:t>
                    </m:r>
                  </m:e>
                  <m:sub>
                    <m:r>
                      <w:rPr>
                        <w:rFonts w:ascii="Cambria Math" w:hAnsi="Cambria Math" w:cstheme="minorHAnsi"/>
                      </w:rPr>
                      <m:t>atmos</m:t>
                    </m:r>
                  </m:sub>
                </m:sSub>
              </m:oMath>
            </m:oMathPara>
          </w:p>
          <w:p w14:paraId="44186045" w14:textId="77777777" w:rsidR="001F3A29" w:rsidRPr="00951F0F" w:rsidRDefault="001F3A29" w:rsidP="004E266B">
            <w:pPr>
              <w:spacing w:line="480" w:lineRule="auto"/>
              <w:jc w:val="center"/>
              <w:rPr>
                <w:rFonts w:cstheme="minorHAnsi"/>
                <w:i/>
                <w:iCs/>
              </w:rPr>
            </w:pPr>
            <w:r w:rsidRPr="00951F0F">
              <w:rPr>
                <w:rFonts w:cstheme="minorHAnsi"/>
                <w:i/>
                <w:iCs/>
              </w:rPr>
              <w:t>(Modelled)</w:t>
            </w:r>
          </w:p>
        </w:tc>
        <w:tc>
          <w:tcPr>
            <w:tcW w:w="1559" w:type="dxa"/>
            <w:vAlign w:val="center"/>
          </w:tcPr>
          <w:p w14:paraId="763207B0" w14:textId="77777777" w:rsidR="001F3A29" w:rsidRPr="00951F0F" w:rsidRDefault="00402810" w:rsidP="004E266B">
            <w:pPr>
              <w:spacing w:line="480" w:lineRule="auto"/>
              <w:jc w:val="center"/>
              <w:rPr>
                <w:rFonts w:cstheme="minorHAnsi"/>
                <w:i/>
                <w:iCs/>
              </w:rPr>
            </w:pPr>
            <m:oMathPara>
              <m:oMath>
                <m:sSub>
                  <m:sSubPr>
                    <m:ctrlPr>
                      <w:rPr>
                        <w:rFonts w:ascii="Cambria Math" w:hAnsi="Cambria Math" w:cstheme="minorHAnsi"/>
                        <w:i/>
                      </w:rPr>
                    </m:ctrlPr>
                  </m:sSubPr>
                  <m:e>
                    <m:r>
                      <w:rPr>
                        <w:rFonts w:ascii="Cambria Math" w:hAnsi="Cambria Math" w:cstheme="minorHAnsi"/>
                      </w:rPr>
                      <m:t>τ</m:t>
                    </m:r>
                  </m:e>
                  <m:sub>
                    <m:r>
                      <w:rPr>
                        <w:rFonts w:ascii="Cambria Math" w:hAnsi="Cambria Math" w:cstheme="minorHAnsi"/>
                      </w:rPr>
                      <m:t>atmos</m:t>
                    </m:r>
                  </m:sub>
                </m:sSub>
              </m:oMath>
            </m:oMathPara>
          </w:p>
          <w:p w14:paraId="785DD5DB" w14:textId="77777777" w:rsidR="001F3A29" w:rsidRPr="00951F0F" w:rsidRDefault="001F3A29" w:rsidP="004E266B">
            <w:pPr>
              <w:spacing w:line="480" w:lineRule="auto"/>
              <w:jc w:val="center"/>
              <w:rPr>
                <w:rFonts w:cstheme="minorHAnsi"/>
                <w:i/>
                <w:iCs/>
              </w:rPr>
            </w:pPr>
            <w:r w:rsidRPr="00951F0F">
              <w:rPr>
                <w:rFonts w:cstheme="minorHAnsi"/>
                <w:i/>
                <w:iCs/>
              </w:rPr>
              <w:t>(Literature)</w:t>
            </w:r>
          </w:p>
        </w:tc>
        <w:tc>
          <w:tcPr>
            <w:tcW w:w="1559" w:type="dxa"/>
            <w:vAlign w:val="center"/>
          </w:tcPr>
          <w:p w14:paraId="42E23A8E" w14:textId="77777777" w:rsidR="001F3A29" w:rsidRPr="00951F0F" w:rsidRDefault="00402810" w:rsidP="004E266B">
            <w:pPr>
              <w:spacing w:line="480" w:lineRule="auto"/>
              <w:jc w:val="center"/>
              <w:rPr>
                <w:rFonts w:cstheme="minorHAnsi"/>
                <w:i/>
                <w:iCs/>
              </w:rPr>
            </w:pPr>
            <m:oMathPara>
              <m:oMath>
                <m:sSub>
                  <m:sSubPr>
                    <m:ctrlPr>
                      <w:rPr>
                        <w:rFonts w:ascii="Cambria Math" w:hAnsi="Cambria Math" w:cstheme="minorHAnsi"/>
                        <w:i/>
                      </w:rPr>
                    </m:ctrlPr>
                  </m:sSubPr>
                  <m:e>
                    <m:r>
                      <w:rPr>
                        <w:rFonts w:ascii="Cambria Math" w:hAnsi="Cambria Math" w:cstheme="minorHAnsi"/>
                      </w:rPr>
                      <m:t>τ</m:t>
                    </m:r>
                  </m:e>
                  <m:sub>
                    <m:r>
                      <w:rPr>
                        <w:rFonts w:ascii="Cambria Math" w:hAnsi="Cambria Math" w:cstheme="minorHAnsi"/>
                      </w:rPr>
                      <m:t>strat</m:t>
                    </m:r>
                  </m:sub>
                </m:sSub>
              </m:oMath>
            </m:oMathPara>
          </w:p>
          <w:p w14:paraId="7BED2722" w14:textId="77777777" w:rsidR="001F3A29" w:rsidRPr="00951F0F" w:rsidRDefault="001F3A29" w:rsidP="004E266B">
            <w:pPr>
              <w:spacing w:line="480" w:lineRule="auto"/>
              <w:jc w:val="center"/>
              <w:rPr>
                <w:rFonts w:cstheme="minorHAnsi"/>
                <w:i/>
                <w:iCs/>
              </w:rPr>
            </w:pPr>
            <w:r w:rsidRPr="00951F0F">
              <w:rPr>
                <w:rFonts w:cstheme="minorHAnsi"/>
                <w:i/>
                <w:iCs/>
              </w:rPr>
              <w:t>(Modelled)</w:t>
            </w:r>
          </w:p>
        </w:tc>
        <w:tc>
          <w:tcPr>
            <w:tcW w:w="1559" w:type="dxa"/>
            <w:vAlign w:val="center"/>
          </w:tcPr>
          <w:p w14:paraId="5403437A" w14:textId="77777777" w:rsidR="001F3A29" w:rsidRPr="00951F0F" w:rsidRDefault="00402810" w:rsidP="004E266B">
            <w:pPr>
              <w:spacing w:line="480" w:lineRule="auto"/>
              <w:jc w:val="center"/>
              <w:rPr>
                <w:rFonts w:cstheme="minorHAnsi"/>
                <w:i/>
                <w:iCs/>
              </w:rPr>
            </w:pPr>
            <m:oMathPara>
              <m:oMath>
                <m:sSub>
                  <m:sSubPr>
                    <m:ctrlPr>
                      <w:rPr>
                        <w:rFonts w:ascii="Cambria Math" w:hAnsi="Cambria Math" w:cstheme="minorHAnsi"/>
                        <w:i/>
                      </w:rPr>
                    </m:ctrlPr>
                  </m:sSubPr>
                  <m:e>
                    <m:r>
                      <w:rPr>
                        <w:rFonts w:ascii="Cambria Math" w:hAnsi="Cambria Math" w:cstheme="minorHAnsi"/>
                      </w:rPr>
                      <m:t>τ</m:t>
                    </m:r>
                  </m:e>
                  <m:sub>
                    <m:r>
                      <w:rPr>
                        <w:rFonts w:ascii="Cambria Math" w:hAnsi="Cambria Math" w:cstheme="minorHAnsi"/>
                      </w:rPr>
                      <m:t>strat</m:t>
                    </m:r>
                  </m:sub>
                </m:sSub>
              </m:oMath>
            </m:oMathPara>
          </w:p>
          <w:p w14:paraId="1C40908A" w14:textId="77777777" w:rsidR="001F3A29" w:rsidRPr="00951F0F" w:rsidRDefault="001F3A29" w:rsidP="004E266B">
            <w:pPr>
              <w:spacing w:line="480" w:lineRule="auto"/>
              <w:jc w:val="center"/>
              <w:rPr>
                <w:rFonts w:cstheme="minorHAnsi"/>
                <w:i/>
                <w:iCs/>
              </w:rPr>
            </w:pPr>
            <w:r w:rsidRPr="00951F0F">
              <w:rPr>
                <w:rFonts w:cstheme="minorHAnsi"/>
                <w:i/>
                <w:iCs/>
              </w:rPr>
              <w:t>(Literature)</w:t>
            </w:r>
          </w:p>
        </w:tc>
      </w:tr>
      <w:tr w:rsidR="001F3A29" w:rsidRPr="00951F0F" w14:paraId="37D95C26" w14:textId="77777777" w:rsidTr="004E266B">
        <w:tc>
          <w:tcPr>
            <w:tcW w:w="1838" w:type="dxa"/>
            <w:vAlign w:val="center"/>
          </w:tcPr>
          <w:p w14:paraId="364F00F4" w14:textId="77777777" w:rsidR="001F3A29" w:rsidRPr="00951F0F" w:rsidRDefault="001F3A29" w:rsidP="004E266B">
            <w:pPr>
              <w:spacing w:line="480" w:lineRule="auto"/>
              <w:jc w:val="center"/>
              <w:rPr>
                <w:rFonts w:cstheme="minorHAnsi"/>
              </w:rPr>
            </w:pPr>
            <w:r w:rsidRPr="00951F0F">
              <w:rPr>
                <w:rFonts w:cstheme="minorHAnsi"/>
              </w:rPr>
              <w:t>CFC-11</w:t>
            </w:r>
          </w:p>
        </w:tc>
        <w:tc>
          <w:tcPr>
            <w:tcW w:w="1559" w:type="dxa"/>
            <w:vAlign w:val="center"/>
          </w:tcPr>
          <w:p w14:paraId="0FE460BE" w14:textId="77777777" w:rsidR="001F3A29" w:rsidRPr="00951F0F" w:rsidRDefault="001F3A29" w:rsidP="004E266B">
            <w:pPr>
              <w:spacing w:line="480" w:lineRule="auto"/>
              <w:jc w:val="center"/>
              <w:rPr>
                <w:rFonts w:cstheme="minorHAnsi"/>
              </w:rPr>
            </w:pPr>
            <w:r w:rsidRPr="00951F0F">
              <w:rPr>
                <w:rFonts w:cstheme="minorHAnsi"/>
              </w:rPr>
              <w:t>55.7</w:t>
            </w:r>
          </w:p>
        </w:tc>
        <w:tc>
          <w:tcPr>
            <w:tcW w:w="1559" w:type="dxa"/>
            <w:vAlign w:val="center"/>
          </w:tcPr>
          <w:p w14:paraId="4760132B" w14:textId="77777777" w:rsidR="001F3A29" w:rsidRPr="00951F0F" w:rsidRDefault="001F3A29" w:rsidP="004E266B">
            <w:pPr>
              <w:spacing w:line="480" w:lineRule="auto"/>
              <w:jc w:val="center"/>
              <w:rPr>
                <w:rFonts w:cstheme="minorHAnsi"/>
              </w:rPr>
            </w:pPr>
            <w:r w:rsidRPr="00951F0F">
              <w:rPr>
                <w:rFonts w:cstheme="minorHAnsi"/>
              </w:rPr>
              <w:t>52.0</w:t>
            </w:r>
          </w:p>
        </w:tc>
        <w:tc>
          <w:tcPr>
            <w:tcW w:w="1559" w:type="dxa"/>
            <w:vAlign w:val="center"/>
          </w:tcPr>
          <w:p w14:paraId="4BCC30A9" w14:textId="77777777" w:rsidR="001F3A29" w:rsidRPr="00951F0F" w:rsidRDefault="001F3A29" w:rsidP="004E266B">
            <w:pPr>
              <w:spacing w:line="480" w:lineRule="auto"/>
              <w:jc w:val="center"/>
              <w:rPr>
                <w:rFonts w:cstheme="minorHAnsi"/>
              </w:rPr>
            </w:pPr>
            <w:r w:rsidRPr="00951F0F">
              <w:rPr>
                <w:rFonts w:cstheme="minorHAnsi"/>
              </w:rPr>
              <w:t>55.7</w:t>
            </w:r>
          </w:p>
        </w:tc>
        <w:tc>
          <w:tcPr>
            <w:tcW w:w="1559" w:type="dxa"/>
            <w:vAlign w:val="center"/>
          </w:tcPr>
          <w:p w14:paraId="7373ADA4" w14:textId="77777777" w:rsidR="001F3A29" w:rsidRPr="00951F0F" w:rsidRDefault="001F3A29" w:rsidP="004E266B">
            <w:pPr>
              <w:spacing w:line="480" w:lineRule="auto"/>
              <w:jc w:val="center"/>
              <w:rPr>
                <w:rFonts w:cstheme="minorHAnsi"/>
              </w:rPr>
            </w:pPr>
            <w:r w:rsidRPr="00951F0F">
              <w:rPr>
                <w:rFonts w:cstheme="minorHAnsi"/>
              </w:rPr>
              <w:t>55.0</w:t>
            </w:r>
          </w:p>
        </w:tc>
      </w:tr>
      <w:tr w:rsidR="001F3A29" w:rsidRPr="00951F0F" w14:paraId="38C0C865" w14:textId="77777777" w:rsidTr="004E266B">
        <w:tc>
          <w:tcPr>
            <w:tcW w:w="1838" w:type="dxa"/>
            <w:vAlign w:val="center"/>
          </w:tcPr>
          <w:p w14:paraId="28B0E31D" w14:textId="77777777" w:rsidR="001F3A29" w:rsidRPr="00951F0F" w:rsidRDefault="001F3A29" w:rsidP="004E266B">
            <w:pPr>
              <w:spacing w:line="480" w:lineRule="auto"/>
              <w:jc w:val="center"/>
              <w:rPr>
                <w:rFonts w:cstheme="minorHAnsi"/>
                <w:b/>
              </w:rPr>
            </w:pPr>
            <w:r w:rsidRPr="00951F0F">
              <w:rPr>
                <w:rFonts w:cstheme="minorHAnsi"/>
              </w:rPr>
              <w:t>CFC-12</w:t>
            </w:r>
          </w:p>
        </w:tc>
        <w:tc>
          <w:tcPr>
            <w:tcW w:w="1559" w:type="dxa"/>
            <w:vAlign w:val="center"/>
          </w:tcPr>
          <w:p w14:paraId="2505AA0D" w14:textId="77777777" w:rsidR="001F3A29" w:rsidRPr="00951F0F" w:rsidRDefault="001F3A29" w:rsidP="004E266B">
            <w:pPr>
              <w:spacing w:line="480" w:lineRule="auto"/>
              <w:jc w:val="center"/>
              <w:rPr>
                <w:rFonts w:cstheme="minorHAnsi"/>
              </w:rPr>
            </w:pPr>
            <w:r w:rsidRPr="00951F0F">
              <w:rPr>
                <w:rFonts w:cstheme="minorHAnsi"/>
              </w:rPr>
              <w:t>103.0</w:t>
            </w:r>
          </w:p>
        </w:tc>
        <w:tc>
          <w:tcPr>
            <w:tcW w:w="1559" w:type="dxa"/>
            <w:vAlign w:val="center"/>
          </w:tcPr>
          <w:p w14:paraId="65597862" w14:textId="77777777" w:rsidR="001F3A29" w:rsidRPr="00951F0F" w:rsidRDefault="001F3A29" w:rsidP="004E266B">
            <w:pPr>
              <w:spacing w:line="480" w:lineRule="auto"/>
              <w:jc w:val="center"/>
              <w:rPr>
                <w:rFonts w:cstheme="minorHAnsi"/>
              </w:rPr>
            </w:pPr>
            <w:r w:rsidRPr="00951F0F">
              <w:rPr>
                <w:rFonts w:cstheme="minorHAnsi"/>
              </w:rPr>
              <w:t>102.0</w:t>
            </w:r>
          </w:p>
        </w:tc>
        <w:tc>
          <w:tcPr>
            <w:tcW w:w="1559" w:type="dxa"/>
            <w:vAlign w:val="center"/>
          </w:tcPr>
          <w:p w14:paraId="346C2244" w14:textId="77777777" w:rsidR="001F3A29" w:rsidRPr="00951F0F" w:rsidRDefault="001F3A29" w:rsidP="004E266B">
            <w:pPr>
              <w:spacing w:line="480" w:lineRule="auto"/>
              <w:jc w:val="center"/>
              <w:rPr>
                <w:rFonts w:cstheme="minorHAnsi"/>
              </w:rPr>
            </w:pPr>
            <w:r w:rsidRPr="00951F0F">
              <w:rPr>
                <w:rFonts w:cstheme="minorHAnsi"/>
              </w:rPr>
              <w:t>103.0</w:t>
            </w:r>
          </w:p>
        </w:tc>
        <w:tc>
          <w:tcPr>
            <w:tcW w:w="1559" w:type="dxa"/>
            <w:vAlign w:val="center"/>
          </w:tcPr>
          <w:p w14:paraId="336B5C4D" w14:textId="77777777" w:rsidR="001F3A29" w:rsidRPr="00951F0F" w:rsidRDefault="001F3A29" w:rsidP="004E266B">
            <w:pPr>
              <w:spacing w:line="480" w:lineRule="auto"/>
              <w:jc w:val="center"/>
              <w:rPr>
                <w:rFonts w:cstheme="minorHAnsi"/>
              </w:rPr>
            </w:pPr>
            <w:r w:rsidRPr="00951F0F">
              <w:rPr>
                <w:rFonts w:cstheme="minorHAnsi"/>
              </w:rPr>
              <w:t>103.0</w:t>
            </w:r>
          </w:p>
        </w:tc>
      </w:tr>
      <w:tr w:rsidR="001F3A29" w:rsidRPr="00951F0F" w14:paraId="7D8A0443" w14:textId="77777777" w:rsidTr="004E266B">
        <w:tc>
          <w:tcPr>
            <w:tcW w:w="1838" w:type="dxa"/>
            <w:vAlign w:val="center"/>
          </w:tcPr>
          <w:p w14:paraId="56D49D09" w14:textId="77777777" w:rsidR="001F3A29" w:rsidRPr="00951F0F" w:rsidRDefault="001F3A29" w:rsidP="004E266B">
            <w:pPr>
              <w:spacing w:line="480" w:lineRule="auto"/>
              <w:jc w:val="center"/>
              <w:rPr>
                <w:rFonts w:cstheme="minorHAnsi"/>
              </w:rPr>
            </w:pPr>
            <w:r w:rsidRPr="00951F0F">
              <w:rPr>
                <w:rFonts w:cstheme="minorHAnsi"/>
              </w:rPr>
              <w:t>CH</w:t>
            </w:r>
            <w:r w:rsidRPr="00951F0F">
              <w:rPr>
                <w:rFonts w:cstheme="minorHAnsi"/>
                <w:vertAlign w:val="subscript"/>
              </w:rPr>
              <w:t>3</w:t>
            </w:r>
            <w:r w:rsidRPr="00951F0F">
              <w:rPr>
                <w:rFonts w:cstheme="minorHAnsi"/>
              </w:rPr>
              <w:t>CCl</w:t>
            </w:r>
            <w:r w:rsidRPr="00951F0F">
              <w:rPr>
                <w:rFonts w:cstheme="minorHAnsi"/>
                <w:vertAlign w:val="subscript"/>
              </w:rPr>
              <w:t>3</w:t>
            </w:r>
          </w:p>
        </w:tc>
        <w:tc>
          <w:tcPr>
            <w:tcW w:w="1559" w:type="dxa"/>
            <w:vAlign w:val="center"/>
          </w:tcPr>
          <w:p w14:paraId="35995403" w14:textId="77777777" w:rsidR="001F3A29" w:rsidRPr="00951F0F" w:rsidRDefault="001F3A29" w:rsidP="004E266B">
            <w:pPr>
              <w:spacing w:line="480" w:lineRule="auto"/>
              <w:jc w:val="center"/>
              <w:rPr>
                <w:rFonts w:cstheme="minorHAnsi"/>
              </w:rPr>
            </w:pPr>
            <w:r w:rsidRPr="00951F0F">
              <w:rPr>
                <w:rFonts w:cstheme="minorHAnsi"/>
              </w:rPr>
              <w:t>4.4</w:t>
            </w:r>
          </w:p>
        </w:tc>
        <w:tc>
          <w:tcPr>
            <w:tcW w:w="1559" w:type="dxa"/>
            <w:vAlign w:val="center"/>
          </w:tcPr>
          <w:p w14:paraId="5638C696" w14:textId="77777777" w:rsidR="001F3A29" w:rsidRPr="00951F0F" w:rsidRDefault="001F3A29" w:rsidP="004E266B">
            <w:pPr>
              <w:spacing w:line="480" w:lineRule="auto"/>
              <w:jc w:val="center"/>
              <w:rPr>
                <w:rFonts w:cstheme="minorHAnsi"/>
              </w:rPr>
            </w:pPr>
            <w:r w:rsidRPr="00951F0F">
              <w:rPr>
                <w:rFonts w:cstheme="minorHAnsi"/>
              </w:rPr>
              <w:t>5.0</w:t>
            </w:r>
          </w:p>
        </w:tc>
        <w:tc>
          <w:tcPr>
            <w:tcW w:w="1559" w:type="dxa"/>
            <w:vAlign w:val="center"/>
          </w:tcPr>
          <w:p w14:paraId="5B275DFA" w14:textId="77777777" w:rsidR="001F3A29" w:rsidRPr="00951F0F" w:rsidRDefault="001F3A29" w:rsidP="004E266B">
            <w:pPr>
              <w:spacing w:line="480" w:lineRule="auto"/>
              <w:jc w:val="center"/>
              <w:rPr>
                <w:rFonts w:cstheme="minorHAnsi"/>
              </w:rPr>
            </w:pPr>
            <w:r w:rsidRPr="00951F0F">
              <w:rPr>
                <w:rFonts w:cstheme="minorHAnsi"/>
              </w:rPr>
              <w:t>41.6</w:t>
            </w:r>
          </w:p>
        </w:tc>
        <w:tc>
          <w:tcPr>
            <w:tcW w:w="1559" w:type="dxa"/>
            <w:vAlign w:val="center"/>
          </w:tcPr>
          <w:p w14:paraId="104D38D5" w14:textId="77777777" w:rsidR="001F3A29" w:rsidRPr="00951F0F" w:rsidRDefault="001F3A29" w:rsidP="004E266B">
            <w:pPr>
              <w:spacing w:line="480" w:lineRule="auto"/>
              <w:jc w:val="center"/>
              <w:rPr>
                <w:rFonts w:cstheme="minorHAnsi"/>
              </w:rPr>
            </w:pPr>
            <w:r w:rsidRPr="00951F0F">
              <w:rPr>
                <w:rFonts w:cstheme="minorHAnsi"/>
              </w:rPr>
              <w:t>38.0</w:t>
            </w:r>
          </w:p>
        </w:tc>
      </w:tr>
      <w:tr w:rsidR="001F3A29" w:rsidRPr="00951F0F" w14:paraId="60C846A6" w14:textId="77777777" w:rsidTr="004E266B">
        <w:tc>
          <w:tcPr>
            <w:tcW w:w="1838" w:type="dxa"/>
            <w:vAlign w:val="center"/>
          </w:tcPr>
          <w:p w14:paraId="32D28A15" w14:textId="77777777" w:rsidR="001F3A29" w:rsidRPr="00951F0F" w:rsidRDefault="001F3A29" w:rsidP="004E266B">
            <w:pPr>
              <w:spacing w:line="480" w:lineRule="auto"/>
              <w:jc w:val="center"/>
              <w:rPr>
                <w:rFonts w:cstheme="minorHAnsi"/>
              </w:rPr>
            </w:pPr>
            <w:r w:rsidRPr="00951F0F">
              <w:rPr>
                <w:rFonts w:cstheme="minorHAnsi"/>
              </w:rPr>
              <w:t>CH</w:t>
            </w:r>
            <w:r w:rsidRPr="00951F0F">
              <w:rPr>
                <w:rFonts w:cstheme="minorHAnsi"/>
                <w:vertAlign w:val="subscript"/>
              </w:rPr>
              <w:t>3</w:t>
            </w:r>
            <w:r w:rsidRPr="00951F0F">
              <w:rPr>
                <w:rFonts w:cstheme="minorHAnsi"/>
              </w:rPr>
              <w:t>Cl</w:t>
            </w:r>
          </w:p>
        </w:tc>
        <w:tc>
          <w:tcPr>
            <w:tcW w:w="1559" w:type="dxa"/>
            <w:vAlign w:val="center"/>
          </w:tcPr>
          <w:p w14:paraId="52081853" w14:textId="77777777" w:rsidR="001F3A29" w:rsidRPr="00951F0F" w:rsidRDefault="001F3A29" w:rsidP="004E266B">
            <w:pPr>
              <w:spacing w:line="480" w:lineRule="auto"/>
              <w:jc w:val="center"/>
              <w:rPr>
                <w:rFonts w:cstheme="minorHAnsi"/>
              </w:rPr>
            </w:pPr>
            <w:r w:rsidRPr="00951F0F">
              <w:rPr>
                <w:rFonts w:cstheme="minorHAnsi"/>
              </w:rPr>
              <w:t>1.2</w:t>
            </w:r>
          </w:p>
        </w:tc>
        <w:tc>
          <w:tcPr>
            <w:tcW w:w="1559" w:type="dxa"/>
            <w:vAlign w:val="center"/>
          </w:tcPr>
          <w:p w14:paraId="1B9A1A0C" w14:textId="77777777" w:rsidR="001F3A29" w:rsidRPr="00951F0F" w:rsidRDefault="001F3A29" w:rsidP="004E266B">
            <w:pPr>
              <w:spacing w:line="480" w:lineRule="auto"/>
              <w:jc w:val="center"/>
              <w:rPr>
                <w:rFonts w:cstheme="minorHAnsi"/>
              </w:rPr>
            </w:pPr>
            <w:r w:rsidRPr="00951F0F">
              <w:rPr>
                <w:rFonts w:cstheme="minorHAnsi"/>
              </w:rPr>
              <w:t>0.9</w:t>
            </w:r>
          </w:p>
        </w:tc>
        <w:tc>
          <w:tcPr>
            <w:tcW w:w="1559" w:type="dxa"/>
            <w:vAlign w:val="center"/>
          </w:tcPr>
          <w:p w14:paraId="01E5F570" w14:textId="77777777" w:rsidR="001F3A29" w:rsidRPr="00951F0F" w:rsidRDefault="001F3A29" w:rsidP="004E266B">
            <w:pPr>
              <w:spacing w:line="480" w:lineRule="auto"/>
              <w:jc w:val="center"/>
              <w:rPr>
                <w:rFonts w:cstheme="minorHAnsi"/>
              </w:rPr>
            </w:pPr>
            <w:r w:rsidRPr="00951F0F">
              <w:rPr>
                <w:rFonts w:cstheme="minorHAnsi"/>
              </w:rPr>
              <w:t>38.3</w:t>
            </w:r>
          </w:p>
        </w:tc>
        <w:tc>
          <w:tcPr>
            <w:tcW w:w="1559" w:type="dxa"/>
            <w:vAlign w:val="center"/>
          </w:tcPr>
          <w:p w14:paraId="6E056A34" w14:textId="77777777" w:rsidR="001F3A29" w:rsidRPr="00951F0F" w:rsidRDefault="001F3A29" w:rsidP="004E266B">
            <w:pPr>
              <w:spacing w:line="480" w:lineRule="auto"/>
              <w:jc w:val="center"/>
              <w:rPr>
                <w:rFonts w:cstheme="minorHAnsi"/>
              </w:rPr>
            </w:pPr>
            <w:r w:rsidRPr="00951F0F">
              <w:rPr>
                <w:rFonts w:cstheme="minorHAnsi"/>
              </w:rPr>
              <w:t>30.4</w:t>
            </w:r>
          </w:p>
        </w:tc>
      </w:tr>
      <w:tr w:rsidR="001F3A29" w:rsidRPr="00951F0F" w14:paraId="0BC05EFE" w14:textId="77777777" w:rsidTr="004E266B">
        <w:tc>
          <w:tcPr>
            <w:tcW w:w="1838" w:type="dxa"/>
            <w:vAlign w:val="center"/>
          </w:tcPr>
          <w:p w14:paraId="7E4B4583" w14:textId="77777777" w:rsidR="001F3A29" w:rsidRPr="00951F0F" w:rsidRDefault="001F3A29" w:rsidP="004E266B">
            <w:pPr>
              <w:spacing w:line="480" w:lineRule="auto"/>
              <w:jc w:val="center"/>
              <w:rPr>
                <w:rFonts w:cstheme="minorHAnsi"/>
              </w:rPr>
            </w:pPr>
            <w:r w:rsidRPr="00951F0F">
              <w:rPr>
                <w:rFonts w:cstheme="minorHAnsi"/>
              </w:rPr>
              <w:t>CH</w:t>
            </w:r>
            <w:r w:rsidRPr="00951F0F">
              <w:rPr>
                <w:rFonts w:cstheme="minorHAnsi"/>
                <w:vertAlign w:val="subscript"/>
              </w:rPr>
              <w:t>3</w:t>
            </w:r>
            <w:r w:rsidRPr="00951F0F">
              <w:rPr>
                <w:rFonts w:cstheme="minorHAnsi"/>
              </w:rPr>
              <w:t>Br</w:t>
            </w:r>
          </w:p>
        </w:tc>
        <w:tc>
          <w:tcPr>
            <w:tcW w:w="1559" w:type="dxa"/>
            <w:vAlign w:val="center"/>
          </w:tcPr>
          <w:p w14:paraId="28B6B26B" w14:textId="77777777" w:rsidR="001F3A29" w:rsidRPr="00951F0F" w:rsidRDefault="001F3A29" w:rsidP="004E266B">
            <w:pPr>
              <w:spacing w:line="480" w:lineRule="auto"/>
              <w:jc w:val="center"/>
              <w:rPr>
                <w:rFonts w:cstheme="minorHAnsi"/>
              </w:rPr>
            </w:pPr>
            <w:r w:rsidRPr="00951F0F">
              <w:rPr>
                <w:rFonts w:cstheme="minorHAnsi"/>
              </w:rPr>
              <w:t>1.3</w:t>
            </w:r>
          </w:p>
        </w:tc>
        <w:tc>
          <w:tcPr>
            <w:tcW w:w="1559" w:type="dxa"/>
            <w:vAlign w:val="center"/>
          </w:tcPr>
          <w:p w14:paraId="03E78838" w14:textId="77777777" w:rsidR="001F3A29" w:rsidRPr="00951F0F" w:rsidRDefault="001F3A29" w:rsidP="004E266B">
            <w:pPr>
              <w:spacing w:line="480" w:lineRule="auto"/>
              <w:jc w:val="center"/>
              <w:rPr>
                <w:rFonts w:cstheme="minorHAnsi"/>
              </w:rPr>
            </w:pPr>
            <w:r w:rsidRPr="00951F0F">
              <w:rPr>
                <w:rFonts w:cstheme="minorHAnsi"/>
              </w:rPr>
              <w:t>0.8</w:t>
            </w:r>
          </w:p>
        </w:tc>
        <w:tc>
          <w:tcPr>
            <w:tcW w:w="1559" w:type="dxa"/>
            <w:vAlign w:val="center"/>
          </w:tcPr>
          <w:p w14:paraId="64617B8C" w14:textId="77777777" w:rsidR="001F3A29" w:rsidRPr="00951F0F" w:rsidRDefault="001F3A29" w:rsidP="004E266B">
            <w:pPr>
              <w:spacing w:line="480" w:lineRule="auto"/>
              <w:jc w:val="center"/>
              <w:rPr>
                <w:rFonts w:cstheme="minorHAnsi"/>
              </w:rPr>
            </w:pPr>
            <w:r w:rsidRPr="00951F0F">
              <w:rPr>
                <w:rFonts w:cstheme="minorHAnsi"/>
              </w:rPr>
              <w:t>32.1</w:t>
            </w:r>
          </w:p>
        </w:tc>
        <w:tc>
          <w:tcPr>
            <w:tcW w:w="1559" w:type="dxa"/>
            <w:vAlign w:val="center"/>
          </w:tcPr>
          <w:p w14:paraId="0ACD9456" w14:textId="77777777" w:rsidR="001F3A29" w:rsidRPr="00951F0F" w:rsidRDefault="001F3A29" w:rsidP="004E266B">
            <w:pPr>
              <w:spacing w:line="480" w:lineRule="auto"/>
              <w:jc w:val="center"/>
              <w:rPr>
                <w:rFonts w:cstheme="minorHAnsi"/>
              </w:rPr>
            </w:pPr>
            <w:r w:rsidRPr="00951F0F">
              <w:rPr>
                <w:rFonts w:cstheme="minorHAnsi"/>
              </w:rPr>
              <w:t>26.3</w:t>
            </w:r>
          </w:p>
        </w:tc>
      </w:tr>
    </w:tbl>
    <w:p w14:paraId="6E08EF24" w14:textId="77777777" w:rsidR="001F3A29" w:rsidRPr="00951F0F" w:rsidRDefault="001F3A29" w:rsidP="001F3A29">
      <w:pPr>
        <w:spacing w:line="480" w:lineRule="auto"/>
        <w:jc w:val="both"/>
        <w:rPr>
          <w:rFonts w:cstheme="minorHAnsi"/>
        </w:rPr>
      </w:pPr>
    </w:p>
    <w:p w14:paraId="67CB331C" w14:textId="77777777" w:rsidR="001F3A29" w:rsidRPr="00951F0F" w:rsidRDefault="001F3A29" w:rsidP="001F3A29">
      <w:pPr>
        <w:spacing w:line="480" w:lineRule="auto"/>
        <w:jc w:val="both"/>
        <w:rPr>
          <w:rFonts w:cstheme="minorHAnsi"/>
        </w:rPr>
      </w:pPr>
      <w:r w:rsidRPr="00951F0F">
        <w:rPr>
          <w:rFonts w:cstheme="minorHAnsi"/>
        </w:rPr>
        <w:t xml:space="preserve">Table </w:t>
      </w:r>
      <w:r>
        <w:rPr>
          <w:rFonts w:cstheme="minorHAnsi"/>
        </w:rPr>
        <w:t>2</w:t>
      </w:r>
      <w:r w:rsidRPr="00951F0F">
        <w:rPr>
          <w:rFonts w:cstheme="minorHAnsi"/>
        </w:rPr>
        <w:t>: Whole atmosphere (</w:t>
      </w:r>
      <w:proofErr w:type="spellStart"/>
      <w:r w:rsidRPr="00951F0F">
        <w:rPr>
          <w:rFonts w:cstheme="minorHAnsi"/>
          <w:i/>
        </w:rPr>
        <w:t>τ</w:t>
      </w:r>
      <w:r w:rsidRPr="00951F0F">
        <w:rPr>
          <w:rFonts w:cstheme="minorHAnsi"/>
          <w:i/>
          <w:vertAlign w:val="subscript"/>
        </w:rPr>
        <w:t>atmos</w:t>
      </w:r>
      <w:proofErr w:type="spellEnd"/>
      <w:r w:rsidRPr="00951F0F">
        <w:rPr>
          <w:rFonts w:cstheme="minorHAnsi"/>
        </w:rPr>
        <w:t>) and stratospheric (</w:t>
      </w:r>
      <w:proofErr w:type="spellStart"/>
      <w:r w:rsidRPr="00951F0F">
        <w:rPr>
          <w:rFonts w:cstheme="minorHAnsi"/>
          <w:i/>
        </w:rPr>
        <w:t>τ</w:t>
      </w:r>
      <w:r w:rsidRPr="00951F0F">
        <w:rPr>
          <w:rFonts w:cstheme="minorHAnsi"/>
          <w:i/>
          <w:vertAlign w:val="subscript"/>
        </w:rPr>
        <w:t>strat</w:t>
      </w:r>
      <w:proofErr w:type="spellEnd"/>
      <w:r w:rsidRPr="00951F0F">
        <w:rPr>
          <w:rFonts w:cstheme="minorHAnsi"/>
        </w:rPr>
        <w:t>) lifetimes (years) of CFC-11, CFC-12, CH</w:t>
      </w:r>
      <w:r w:rsidRPr="00951F0F">
        <w:rPr>
          <w:rFonts w:cstheme="minorHAnsi"/>
          <w:vertAlign w:val="subscript"/>
        </w:rPr>
        <w:t>3</w:t>
      </w:r>
      <w:r w:rsidRPr="00951F0F">
        <w:rPr>
          <w:rFonts w:cstheme="minorHAnsi"/>
        </w:rPr>
        <w:t>CCl</w:t>
      </w:r>
      <w:r w:rsidRPr="00951F0F">
        <w:rPr>
          <w:rFonts w:cstheme="minorHAnsi"/>
          <w:vertAlign w:val="subscript"/>
        </w:rPr>
        <w:t xml:space="preserve">3, </w:t>
      </w:r>
      <w:r w:rsidRPr="00951F0F">
        <w:rPr>
          <w:rFonts w:cstheme="minorHAnsi"/>
        </w:rPr>
        <w:t>CH</w:t>
      </w:r>
      <w:r w:rsidRPr="00951F0F">
        <w:rPr>
          <w:rFonts w:cstheme="minorHAnsi"/>
          <w:vertAlign w:val="subscript"/>
        </w:rPr>
        <w:t>3</w:t>
      </w:r>
      <w:r w:rsidRPr="00951F0F">
        <w:rPr>
          <w:rFonts w:cstheme="minorHAnsi"/>
        </w:rPr>
        <w:t>Cl and CH</w:t>
      </w:r>
      <w:r w:rsidRPr="00951F0F">
        <w:rPr>
          <w:rFonts w:cstheme="minorHAnsi"/>
          <w:vertAlign w:val="subscript"/>
        </w:rPr>
        <w:t>3</w:t>
      </w:r>
      <w:r w:rsidRPr="00951F0F">
        <w:rPr>
          <w:rFonts w:cstheme="minorHAnsi"/>
        </w:rPr>
        <w:t>Br calculated using the UM-UKCA model and taken from the literature (WMO, 2018)</w:t>
      </w:r>
      <w:r w:rsidRPr="00951F0F">
        <w:rPr>
          <w:rFonts w:cstheme="minorHAnsi"/>
          <w:vertAlign w:val="superscript"/>
        </w:rPr>
        <w:t>1</w:t>
      </w:r>
      <w:r w:rsidRPr="00951F0F">
        <w:rPr>
          <w:rFonts w:cstheme="minorHAnsi"/>
        </w:rPr>
        <w:t>.</w:t>
      </w:r>
    </w:p>
    <w:p w14:paraId="79749CE6" w14:textId="77777777" w:rsidR="001F3A29" w:rsidRDefault="001F3A29" w:rsidP="001F3A29">
      <w:pPr>
        <w:rPr>
          <w:rFonts w:cstheme="minorHAnsi"/>
        </w:rPr>
      </w:pPr>
      <w:r>
        <w:rPr>
          <w:rFonts w:cstheme="minorHAnsi"/>
        </w:rPr>
        <w:br w:type="page"/>
      </w:r>
    </w:p>
    <w:p w14:paraId="6F1DBB1F" w14:textId="049807A8" w:rsidR="00122CE8" w:rsidRDefault="00122CE8">
      <w:pPr>
        <w:rPr>
          <w:rFonts w:cstheme="minorHAnsi"/>
          <w:color w:val="212529"/>
          <w:shd w:val="clear" w:color="auto" w:fill="FFFFFF"/>
        </w:rPr>
      </w:pPr>
    </w:p>
    <w:p w14:paraId="09A6C37E" w14:textId="017D065E" w:rsidR="004A2148" w:rsidRPr="00C8168D" w:rsidRDefault="004A2148" w:rsidP="00CA0363">
      <w:pPr>
        <w:spacing w:after="120" w:line="480" w:lineRule="auto"/>
        <w:rPr>
          <w:rFonts w:cstheme="minorHAnsi"/>
          <w:b/>
          <w:bCs/>
          <w:color w:val="212529"/>
          <w:shd w:val="clear" w:color="auto" w:fill="FFFFFF"/>
        </w:rPr>
      </w:pPr>
      <w:r w:rsidRPr="00C8168D">
        <w:rPr>
          <w:rFonts w:cstheme="minorHAnsi"/>
          <w:b/>
          <w:bCs/>
          <w:color w:val="212529"/>
          <w:shd w:val="clear" w:color="auto" w:fill="FFFFFF"/>
        </w:rPr>
        <w:t>Figure</w:t>
      </w:r>
      <w:r w:rsidR="00122CE8" w:rsidRPr="00C8168D">
        <w:rPr>
          <w:rFonts w:cstheme="minorHAnsi"/>
          <w:b/>
          <w:bCs/>
          <w:color w:val="212529"/>
          <w:shd w:val="clear" w:color="auto" w:fill="FFFFFF"/>
        </w:rPr>
        <w:t xml:space="preserve">s </w:t>
      </w:r>
      <w:r w:rsidR="002703A6" w:rsidRPr="00C8168D">
        <w:rPr>
          <w:rFonts w:cstheme="minorHAnsi"/>
          <w:b/>
          <w:bCs/>
          <w:color w:val="212529"/>
          <w:shd w:val="clear" w:color="auto" w:fill="FFFFFF"/>
        </w:rPr>
        <w:t>legend</w:t>
      </w:r>
      <w:r w:rsidRPr="00C8168D">
        <w:rPr>
          <w:rFonts w:cstheme="minorHAnsi"/>
          <w:b/>
          <w:bCs/>
          <w:color w:val="212529"/>
          <w:shd w:val="clear" w:color="auto" w:fill="FFFFFF"/>
        </w:rPr>
        <w:t>s</w:t>
      </w:r>
    </w:p>
    <w:p w14:paraId="012C5EC0" w14:textId="1DAB65B2" w:rsidR="00122CE8" w:rsidRDefault="00DF141F" w:rsidP="004A2148">
      <w:pPr>
        <w:spacing w:line="480" w:lineRule="auto"/>
        <w:jc w:val="both"/>
        <w:rPr>
          <w:rFonts w:cstheme="minorHAnsi"/>
        </w:rPr>
      </w:pPr>
      <w:r>
        <w:rPr>
          <w:rFonts w:cstheme="minorHAnsi"/>
          <w:noProof/>
        </w:rPr>
        <w:drawing>
          <wp:inline distT="0" distB="0" distL="0" distR="0" wp14:anchorId="5369296A" wp14:editId="73BBBB1F">
            <wp:extent cx="4881904" cy="3021178"/>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4887580" cy="3024691"/>
                    </a:xfrm>
                    <a:prstGeom prst="rect">
                      <a:avLst/>
                    </a:prstGeom>
                  </pic:spPr>
                </pic:pic>
              </a:graphicData>
            </a:graphic>
          </wp:inline>
        </w:drawing>
      </w:r>
    </w:p>
    <w:p w14:paraId="0DDD5183" w14:textId="49C248FA" w:rsidR="00C8168D" w:rsidRDefault="004A2148" w:rsidP="004A2148">
      <w:pPr>
        <w:spacing w:line="480" w:lineRule="auto"/>
        <w:jc w:val="both"/>
        <w:rPr>
          <w:rFonts w:cstheme="minorHAnsi"/>
        </w:rPr>
      </w:pPr>
      <w:r w:rsidRPr="00C8168D">
        <w:rPr>
          <w:rFonts w:cstheme="minorHAnsi"/>
          <w:b/>
          <w:bCs/>
        </w:rPr>
        <w:t>Figure 1.</w:t>
      </w:r>
      <w:r w:rsidRPr="00951F0F">
        <w:rPr>
          <w:rFonts w:cstheme="minorHAnsi"/>
        </w:rPr>
        <w:t xml:space="preserve"> </w:t>
      </w:r>
      <w:r w:rsidRPr="00C8168D">
        <w:rPr>
          <w:rFonts w:cstheme="minorHAnsi"/>
          <w:b/>
          <w:bCs/>
        </w:rPr>
        <w:t>A schematic of ozone recovery under different halogen emission scenarios based on chemistry-climate model calculations.</w:t>
      </w:r>
      <w:r w:rsidRPr="00951F0F">
        <w:rPr>
          <w:rFonts w:cstheme="minorHAnsi"/>
        </w:rPr>
        <w:t xml:space="preserve"> Global mean column ozone (DU) is plotted against time from 1960 to 2100. The black curve represents a Base case where the Montreal Protocol schedule is followed. The blue curve represents a case where some additional emissions of a long-lived ODS occur, while the red curve is representative of emission of a short-lived halocarbon. The blue and red shaded areas are the integrated ozone depletions (IODs) consequent on the additional emissions. The yellow shaded area is the IOD for the Base case relative to some historical (or projected future) value, integrated from the time that the additional emissions occur.</w:t>
      </w:r>
    </w:p>
    <w:p w14:paraId="3D767F54" w14:textId="769D7569" w:rsidR="00C8168D" w:rsidRDefault="00DF141F" w:rsidP="004A2148">
      <w:pPr>
        <w:spacing w:line="480" w:lineRule="auto"/>
        <w:jc w:val="both"/>
        <w:rPr>
          <w:rFonts w:cstheme="minorHAnsi"/>
        </w:rPr>
      </w:pPr>
      <w:r>
        <w:rPr>
          <w:rFonts w:cstheme="minorHAnsi"/>
          <w:noProof/>
        </w:rPr>
        <w:lastRenderedPageBreak/>
        <w:drawing>
          <wp:inline distT="0" distB="0" distL="0" distR="0" wp14:anchorId="11AE363B" wp14:editId="20ED3266">
            <wp:extent cx="5945756" cy="3679546"/>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5956947" cy="3686472"/>
                    </a:xfrm>
                    <a:prstGeom prst="rect">
                      <a:avLst/>
                    </a:prstGeom>
                  </pic:spPr>
                </pic:pic>
              </a:graphicData>
            </a:graphic>
          </wp:inline>
        </w:drawing>
      </w:r>
    </w:p>
    <w:p w14:paraId="0A1BF39B" w14:textId="522D4903" w:rsidR="00C8168D" w:rsidRPr="00951F0F" w:rsidRDefault="00C8168D" w:rsidP="00C8168D">
      <w:pPr>
        <w:spacing w:line="480" w:lineRule="auto"/>
        <w:jc w:val="both"/>
        <w:rPr>
          <w:rFonts w:cstheme="minorHAnsi"/>
        </w:rPr>
      </w:pPr>
      <w:r w:rsidRPr="00C8168D">
        <w:rPr>
          <w:rFonts w:cstheme="minorHAnsi"/>
          <w:b/>
          <w:bCs/>
        </w:rPr>
        <w:t>Figure 2. Total column ozone trajectories calculated in our chemistry-climate model</w:t>
      </w:r>
      <w:r>
        <w:rPr>
          <w:rFonts w:cstheme="minorHAnsi"/>
          <w:b/>
          <w:bCs/>
        </w:rPr>
        <w:t>.</w:t>
      </w:r>
      <w:r w:rsidRPr="00C8168D">
        <w:rPr>
          <w:rFonts w:cstheme="minorHAnsi"/>
          <w:b/>
          <w:bCs/>
          <w:vertAlign w:val="superscript"/>
        </w:rPr>
        <w:t>24</w:t>
      </w:r>
      <w:r w:rsidRPr="00951F0F">
        <w:rPr>
          <w:rFonts w:cstheme="minorHAnsi"/>
        </w:rPr>
        <w:t xml:space="preserve"> </w:t>
      </w:r>
      <w:r>
        <w:rPr>
          <w:rFonts w:cstheme="minorHAnsi"/>
        </w:rPr>
        <w:t xml:space="preserve">The </w:t>
      </w:r>
      <w:r w:rsidRPr="00951F0F">
        <w:rPr>
          <w:rFonts w:cstheme="minorHAnsi"/>
        </w:rPr>
        <w:t>black line</w:t>
      </w:r>
      <w:r>
        <w:rPr>
          <w:rFonts w:cstheme="minorHAnsi"/>
        </w:rPr>
        <w:t>s show the Base case</w:t>
      </w:r>
      <w:r w:rsidRPr="00951F0F">
        <w:rPr>
          <w:rFonts w:cstheme="minorHAnsi"/>
        </w:rPr>
        <w:t xml:space="preserve">, assuming full compliance with the Montreal Protocol. Thin </w:t>
      </w:r>
      <w:r>
        <w:rPr>
          <w:rFonts w:cstheme="minorHAnsi"/>
        </w:rPr>
        <w:t xml:space="preserve">coloured </w:t>
      </w:r>
      <w:r w:rsidRPr="00951F0F">
        <w:rPr>
          <w:rFonts w:cstheme="minorHAnsi"/>
        </w:rPr>
        <w:t>lines show annual mean TCO from simulations with additional emissions of CFC-11 (green), CH</w:t>
      </w:r>
      <w:r w:rsidRPr="00951F0F">
        <w:rPr>
          <w:rFonts w:cstheme="minorHAnsi"/>
          <w:vertAlign w:val="subscript"/>
        </w:rPr>
        <w:t>3</w:t>
      </w:r>
      <w:r w:rsidRPr="00951F0F">
        <w:rPr>
          <w:rFonts w:cstheme="minorHAnsi"/>
        </w:rPr>
        <w:t>CCl</w:t>
      </w:r>
      <w:r w:rsidRPr="00951F0F">
        <w:rPr>
          <w:rFonts w:cstheme="minorHAnsi"/>
          <w:vertAlign w:val="subscript"/>
        </w:rPr>
        <w:t>3</w:t>
      </w:r>
      <w:r w:rsidRPr="00951F0F">
        <w:rPr>
          <w:rFonts w:cstheme="minorHAnsi"/>
        </w:rPr>
        <w:t xml:space="preserve"> (MCF; blue) and CH</w:t>
      </w:r>
      <w:r w:rsidRPr="00951F0F">
        <w:rPr>
          <w:rFonts w:cstheme="minorHAnsi"/>
          <w:vertAlign w:val="subscript"/>
        </w:rPr>
        <w:t>3</w:t>
      </w:r>
      <w:r w:rsidRPr="00951F0F">
        <w:rPr>
          <w:rFonts w:cstheme="minorHAnsi"/>
        </w:rPr>
        <w:t>Br (brown), where the legend gives the annual emission strength and the duration of the emissions, commencing in 2012. Thicker curves show the same data smoothed with an 11-point boxcar smoothing.</w:t>
      </w:r>
    </w:p>
    <w:p w14:paraId="31BA3A7B" w14:textId="1F7E642F" w:rsidR="00C8168D" w:rsidRDefault="00DF141F" w:rsidP="004A2148">
      <w:pPr>
        <w:spacing w:line="480" w:lineRule="auto"/>
        <w:jc w:val="both"/>
        <w:rPr>
          <w:rFonts w:cstheme="minorHAnsi"/>
        </w:rPr>
      </w:pPr>
      <w:r>
        <w:rPr>
          <w:rFonts w:cstheme="minorHAnsi"/>
          <w:noProof/>
        </w:rPr>
        <w:lastRenderedPageBreak/>
        <w:drawing>
          <wp:inline distT="0" distB="0" distL="0" distR="0" wp14:anchorId="4ED62ECC" wp14:editId="4580275C">
            <wp:extent cx="5219700" cy="2946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a:extLst>
                        <a:ext uri="{28A0092B-C50C-407E-A947-70E740481C1C}">
                          <a14:useLocalDpi xmlns:a14="http://schemas.microsoft.com/office/drawing/2010/main" val="0"/>
                        </a:ext>
                      </a:extLst>
                    </a:blip>
                    <a:stretch>
                      <a:fillRect/>
                    </a:stretch>
                  </pic:blipFill>
                  <pic:spPr>
                    <a:xfrm>
                      <a:off x="0" y="0"/>
                      <a:ext cx="5219700" cy="2946400"/>
                    </a:xfrm>
                    <a:prstGeom prst="rect">
                      <a:avLst/>
                    </a:prstGeom>
                  </pic:spPr>
                </pic:pic>
              </a:graphicData>
            </a:graphic>
          </wp:inline>
        </w:drawing>
      </w:r>
    </w:p>
    <w:p w14:paraId="30BE2E39" w14:textId="45B6F3EA" w:rsidR="00C8168D" w:rsidRDefault="00C8168D" w:rsidP="00CA0363">
      <w:pPr>
        <w:spacing w:line="480" w:lineRule="auto"/>
        <w:jc w:val="both"/>
        <w:rPr>
          <w:rFonts w:cstheme="minorHAnsi"/>
        </w:rPr>
      </w:pPr>
      <w:r w:rsidRPr="00007516">
        <w:rPr>
          <w:rFonts w:cstheme="minorHAnsi"/>
          <w:b/>
          <w:bCs/>
        </w:rPr>
        <w:t xml:space="preserve">Figure 3. </w:t>
      </w:r>
      <w:r w:rsidR="00007516">
        <w:rPr>
          <w:rFonts w:cstheme="minorHAnsi"/>
          <w:b/>
          <w:bCs/>
        </w:rPr>
        <w:t xml:space="preserve">Relationship between integrated ozone depletion (IOD), total halogen emissions and the stratospheric and whole atmosphere lifetimes. </w:t>
      </w:r>
      <w:r w:rsidRPr="00007516">
        <w:rPr>
          <w:rFonts w:cstheme="minorHAnsi"/>
        </w:rPr>
        <w:t xml:space="preserve">Integrated ozone depletion (in DU years) from all UM-UKCA integrations </w:t>
      </w:r>
      <w:r w:rsidR="00007516">
        <w:rPr>
          <w:rFonts w:cstheme="minorHAnsi"/>
        </w:rPr>
        <w:t xml:space="preserve">is </w:t>
      </w:r>
      <w:r w:rsidRPr="00007516">
        <w:rPr>
          <w:rFonts w:cstheme="minorHAnsi"/>
        </w:rPr>
        <w:t xml:space="preserve">plotted against the total halogen emission in </w:t>
      </w:r>
      <w:proofErr w:type="spellStart"/>
      <w:r w:rsidRPr="00007516">
        <w:rPr>
          <w:rFonts w:cstheme="minorHAnsi"/>
        </w:rPr>
        <w:t>Tg</w:t>
      </w:r>
      <w:proofErr w:type="spellEnd"/>
      <w:r w:rsidRPr="00007516">
        <w:rPr>
          <w:rFonts w:cstheme="minorHAnsi"/>
        </w:rPr>
        <w:t xml:space="preserve"> Cl, </w:t>
      </w:r>
      <w:proofErr w:type="spellStart"/>
      <w:r w:rsidRPr="00007516">
        <w:rPr>
          <w:rFonts w:cstheme="minorHAnsi"/>
        </w:rPr>
        <w:t>E</w:t>
      </w:r>
      <w:r w:rsidRPr="00007516">
        <w:rPr>
          <w:rFonts w:cstheme="minorHAnsi"/>
          <w:vertAlign w:val="subscript"/>
        </w:rPr>
        <w:t>Eq</w:t>
      </w:r>
      <w:proofErr w:type="spellEnd"/>
      <w:r w:rsidRPr="00007516">
        <w:rPr>
          <w:rFonts w:cstheme="minorHAnsi"/>
        </w:rPr>
        <w:t xml:space="preserve">, multiplied by the whole atmosphere lifetime of the emitted species divided by its stratospheric lifetime. </w:t>
      </w:r>
      <w:r w:rsidRPr="00951F0F">
        <w:rPr>
          <w:rFonts w:cstheme="minorHAnsi"/>
        </w:rPr>
        <w:t xml:space="preserve">The correlation coefficient, r, is 0.84 and the grey shading </w:t>
      </w:r>
      <w:r w:rsidRPr="00951F0F">
        <w:rPr>
          <w:rFonts w:cstheme="minorHAnsi"/>
          <w:iCs/>
        </w:rPr>
        <w:t>represents the 95% confidence interval</w:t>
      </w:r>
      <w:r w:rsidRPr="00951F0F">
        <w:rPr>
          <w:rFonts w:cstheme="minorHAnsi"/>
        </w:rPr>
        <w:t xml:space="preserve"> around the line of best fit</w:t>
      </w:r>
      <w:r w:rsidRPr="00951F0F">
        <w:rPr>
          <w:rFonts w:cstheme="minorHAnsi"/>
          <w:iCs/>
        </w:rPr>
        <w:t xml:space="preserve">. </w:t>
      </w:r>
      <w:r>
        <w:rPr>
          <w:rFonts w:cstheme="minorHAnsi"/>
          <w:iCs/>
        </w:rPr>
        <w:t xml:space="preserve">Even when the scenario with the largest emission of CFC-11 and CFC-12 is not included, the correlation coefficient remains high (0.75). </w:t>
      </w:r>
      <w:r w:rsidRPr="00951F0F">
        <w:rPr>
          <w:rFonts w:cstheme="minorHAnsi"/>
          <w:iCs/>
        </w:rPr>
        <w:t>The magnitude and duration of emissions is given in the legend. Closed circles represent scenarios in which emissions are assumed to go directly into the atmosphere. Open circles represent scenarios in which 75 Gg yr</w:t>
      </w:r>
      <w:r w:rsidRPr="00951F0F">
        <w:rPr>
          <w:rFonts w:cstheme="minorHAnsi"/>
          <w:iCs/>
          <w:vertAlign w:val="superscript"/>
        </w:rPr>
        <w:t>-1</w:t>
      </w:r>
      <w:r w:rsidRPr="00951F0F">
        <w:rPr>
          <w:rFonts w:cstheme="minorHAnsi"/>
          <w:iCs/>
        </w:rPr>
        <w:t xml:space="preserve"> goes into a bank and the remaining 15 Gg yr</w:t>
      </w:r>
      <w:r w:rsidRPr="00951F0F">
        <w:rPr>
          <w:rFonts w:cstheme="minorHAnsi"/>
          <w:iCs/>
          <w:vertAlign w:val="superscript"/>
        </w:rPr>
        <w:t>-1</w:t>
      </w:r>
      <w:r w:rsidRPr="00951F0F">
        <w:rPr>
          <w:rFonts w:cstheme="minorHAnsi"/>
          <w:iCs/>
        </w:rPr>
        <w:t xml:space="preserve"> is emitted directly. IOD uncertainty is estimated using an ensemble of UM-UKCA simulations following the same surface boundary conditions (i.e., emissions), which indicate that IOD differences can be as large as 48 DU years for simulations with the same halogen emissions over the time range considered here (2012-2100).</w:t>
      </w:r>
    </w:p>
    <w:p w14:paraId="59A62924" w14:textId="77777777" w:rsidR="00007516" w:rsidRDefault="00007516" w:rsidP="00CA0363">
      <w:pPr>
        <w:spacing w:line="480" w:lineRule="auto"/>
        <w:jc w:val="both"/>
        <w:rPr>
          <w:rFonts w:cstheme="minorHAnsi"/>
        </w:rPr>
      </w:pPr>
    </w:p>
    <w:p w14:paraId="2E1B3373" w14:textId="0E908760" w:rsidR="00CA0363" w:rsidRPr="00C8168D" w:rsidRDefault="00CA0363" w:rsidP="00CA0363">
      <w:pPr>
        <w:spacing w:line="480" w:lineRule="auto"/>
        <w:jc w:val="both"/>
        <w:rPr>
          <w:rFonts w:cstheme="minorHAnsi"/>
        </w:rPr>
      </w:pPr>
      <w:r w:rsidRPr="00951F0F">
        <w:rPr>
          <w:rFonts w:cstheme="minorHAnsi"/>
          <w:b/>
        </w:rPr>
        <w:lastRenderedPageBreak/>
        <w:t>Methods</w:t>
      </w:r>
    </w:p>
    <w:p w14:paraId="64917E58" w14:textId="3EBD31FA" w:rsidR="00CA0363" w:rsidRPr="00951F0F" w:rsidRDefault="00CA0363" w:rsidP="00CA0363">
      <w:pPr>
        <w:spacing w:line="480" w:lineRule="auto"/>
        <w:jc w:val="both"/>
        <w:rPr>
          <w:rFonts w:cstheme="minorHAnsi"/>
        </w:rPr>
      </w:pPr>
      <w:r w:rsidRPr="00951F0F">
        <w:rPr>
          <w:rFonts w:cstheme="minorHAnsi"/>
          <w:b/>
        </w:rPr>
        <w:t>Simulations</w:t>
      </w:r>
      <w:r w:rsidRPr="00951F0F">
        <w:rPr>
          <w:rFonts w:cstheme="minorHAnsi"/>
        </w:rPr>
        <w:t>: In this study, we use simulations performed with the UM-UKCA chemistry-climate model (CCM). The UM-UKCA model consists of the HadGEM3-A configuration of version 7.3 of the Met Office's Unified Model</w:t>
      </w:r>
      <w:r w:rsidR="0027502E" w:rsidRPr="00951F0F">
        <w:rPr>
          <w:rFonts w:cstheme="minorHAnsi"/>
          <w:vertAlign w:val="superscript"/>
        </w:rPr>
        <w:t>30</w:t>
      </w:r>
      <w:r w:rsidRPr="00951F0F">
        <w:rPr>
          <w:rFonts w:cstheme="minorHAnsi"/>
        </w:rPr>
        <w:t xml:space="preserve"> coupled to the United Kingdom Chemistry and Aerosol scheme that explicitly considers individual halogen source gases</w:t>
      </w:r>
      <w:r w:rsidR="0027502E" w:rsidRPr="00951F0F">
        <w:rPr>
          <w:rFonts w:cstheme="minorHAnsi"/>
          <w:vertAlign w:val="superscript"/>
        </w:rPr>
        <w:t>31</w:t>
      </w:r>
      <w:r w:rsidRPr="00951F0F">
        <w:rPr>
          <w:rFonts w:cstheme="minorHAnsi"/>
        </w:rPr>
        <w:t>. The model has a horizontal resolution of 2.5</w:t>
      </w:r>
      <w:r w:rsidRPr="00951F0F">
        <w:rPr>
          <w:rFonts w:ascii="Cambria Math" w:hAnsi="Cambria Math" w:cs="Cambria Math"/>
        </w:rPr>
        <w:t>°</w:t>
      </w:r>
      <w:r w:rsidRPr="00951F0F">
        <w:rPr>
          <w:rFonts w:cstheme="minorHAnsi"/>
        </w:rPr>
        <w:t xml:space="preserve"> latitude × 3.75</w:t>
      </w:r>
      <w:r w:rsidRPr="00951F0F">
        <w:rPr>
          <w:rFonts w:ascii="Cambria Math" w:hAnsi="Cambria Math" w:cs="Cambria Math"/>
        </w:rPr>
        <w:t>°</w:t>
      </w:r>
      <w:r w:rsidRPr="00951F0F">
        <w:rPr>
          <w:rFonts w:cstheme="minorHAnsi"/>
        </w:rPr>
        <w:t xml:space="preserve"> longitude, and 60 vertical levels following a hybrid sigma-geometric height coordinate, extending from the surface to a model top at 84 km.</w:t>
      </w:r>
    </w:p>
    <w:p w14:paraId="3CA8DF52" w14:textId="014F166D" w:rsidR="00CA0363" w:rsidRPr="00951F0F" w:rsidRDefault="00CA0363" w:rsidP="00CA0363">
      <w:pPr>
        <w:spacing w:line="480" w:lineRule="auto"/>
        <w:jc w:val="both"/>
        <w:rPr>
          <w:rFonts w:cstheme="minorHAnsi"/>
        </w:rPr>
      </w:pPr>
      <w:r w:rsidRPr="00951F0F">
        <w:rPr>
          <w:rFonts w:cstheme="minorHAnsi"/>
        </w:rPr>
        <w:t>A baseline simulation (Base) was run from 1960 to 2100 following the experimental design of the WCRP/SPARC Chemistry-Climate Model Initiative (CCMI) REF-C2 experiment</w:t>
      </w:r>
      <w:r w:rsidRPr="00951F0F">
        <w:rPr>
          <w:rFonts w:cstheme="minorHAnsi"/>
          <w:vertAlign w:val="superscript"/>
        </w:rPr>
        <w:t>3</w:t>
      </w:r>
      <w:r w:rsidR="0027502E" w:rsidRPr="00951F0F">
        <w:rPr>
          <w:rFonts w:cstheme="minorHAnsi"/>
          <w:vertAlign w:val="superscript"/>
        </w:rPr>
        <w:t>2</w:t>
      </w:r>
      <w:r w:rsidRPr="00951F0F">
        <w:rPr>
          <w:rFonts w:cstheme="minorHAnsi"/>
        </w:rPr>
        <w:t>, using the RCP6.0 scenario for future greenhouse gas concentrations and the WMO (2014) A1 scenario for future ODSs concentrations</w:t>
      </w:r>
      <w:r w:rsidRPr="00951F0F">
        <w:rPr>
          <w:rFonts w:cstheme="minorHAnsi"/>
          <w:vertAlign w:val="superscript"/>
        </w:rPr>
        <w:t>3</w:t>
      </w:r>
      <w:r w:rsidR="0027502E" w:rsidRPr="00951F0F">
        <w:rPr>
          <w:rFonts w:cstheme="minorHAnsi"/>
          <w:vertAlign w:val="superscript"/>
        </w:rPr>
        <w:t>3</w:t>
      </w:r>
      <w:r w:rsidRPr="00951F0F">
        <w:rPr>
          <w:rFonts w:cstheme="minorHAnsi"/>
        </w:rPr>
        <w:t>. A further 17 scenarios were performed, running from 2012 to 2099, using a range of halogenated ODS lower boundary conditions. These scenarios considered emission of CFC-11, CFC-12, CH</w:t>
      </w:r>
      <w:r w:rsidRPr="00951F0F">
        <w:rPr>
          <w:rFonts w:cstheme="minorHAnsi"/>
          <w:vertAlign w:val="subscript"/>
        </w:rPr>
        <w:t>3</w:t>
      </w:r>
      <w:r w:rsidRPr="00951F0F">
        <w:rPr>
          <w:rFonts w:cstheme="minorHAnsi"/>
        </w:rPr>
        <w:t>CCl</w:t>
      </w:r>
      <w:r w:rsidRPr="00951F0F">
        <w:rPr>
          <w:rFonts w:cstheme="minorHAnsi"/>
          <w:vertAlign w:val="subscript"/>
        </w:rPr>
        <w:t>3</w:t>
      </w:r>
      <w:r w:rsidRPr="00951F0F">
        <w:rPr>
          <w:rFonts w:cstheme="minorHAnsi"/>
        </w:rPr>
        <w:t>, CH</w:t>
      </w:r>
      <w:r w:rsidRPr="00951F0F">
        <w:rPr>
          <w:rFonts w:cstheme="minorHAnsi"/>
          <w:vertAlign w:val="subscript"/>
        </w:rPr>
        <w:t>3</w:t>
      </w:r>
      <w:r w:rsidRPr="00951F0F">
        <w:rPr>
          <w:rFonts w:cstheme="minorHAnsi"/>
        </w:rPr>
        <w:t>Cl, and CH</w:t>
      </w:r>
      <w:r w:rsidRPr="00951F0F">
        <w:rPr>
          <w:rFonts w:cstheme="minorHAnsi"/>
          <w:vertAlign w:val="subscript"/>
        </w:rPr>
        <w:t>3</w:t>
      </w:r>
      <w:r w:rsidRPr="00951F0F">
        <w:rPr>
          <w:rFonts w:cstheme="minorHAnsi"/>
        </w:rPr>
        <w:t xml:space="preserve">Br in addition to that already assumed in the WMO (2014) A1 scenario. The emission strength and duration of these scenarios are provided in Table </w:t>
      </w:r>
      <w:r w:rsidR="001F3A29">
        <w:rPr>
          <w:rFonts w:cstheme="minorHAnsi"/>
        </w:rPr>
        <w:t>1</w:t>
      </w:r>
      <w:r w:rsidRPr="00951F0F">
        <w:rPr>
          <w:rFonts w:cstheme="minorHAnsi"/>
        </w:rPr>
        <w:t xml:space="preserve">. Timeseries of global averaged total column ozone for each of the simulations is shown in </w:t>
      </w:r>
      <w:r w:rsidR="002B0343">
        <w:rPr>
          <w:rFonts w:cstheme="minorHAnsi"/>
        </w:rPr>
        <w:t xml:space="preserve">Extended Data </w:t>
      </w:r>
      <w:r w:rsidRPr="00951F0F">
        <w:rPr>
          <w:rFonts w:cstheme="minorHAnsi"/>
        </w:rPr>
        <w:t>Figure 1.</w:t>
      </w:r>
    </w:p>
    <w:p w14:paraId="358C0F1A" w14:textId="77777777" w:rsidR="00CA0363" w:rsidRPr="00951F0F" w:rsidRDefault="00CA0363" w:rsidP="00CA0363">
      <w:pPr>
        <w:spacing w:line="480" w:lineRule="auto"/>
        <w:jc w:val="both"/>
        <w:rPr>
          <w:rFonts w:cstheme="minorHAnsi"/>
        </w:rPr>
      </w:pPr>
    </w:p>
    <w:p w14:paraId="592C28C4" w14:textId="29992546" w:rsidR="00CA0363" w:rsidRPr="00951F0F" w:rsidRDefault="00CA0363" w:rsidP="00CA0363">
      <w:pPr>
        <w:spacing w:line="480" w:lineRule="auto"/>
        <w:jc w:val="both"/>
        <w:rPr>
          <w:rFonts w:cstheme="minorHAnsi"/>
        </w:rPr>
      </w:pPr>
      <w:r w:rsidRPr="00951F0F">
        <w:rPr>
          <w:rFonts w:cstheme="minorHAnsi"/>
          <w:b/>
        </w:rPr>
        <w:t>Calculating the stratospheric release</w:t>
      </w:r>
      <w:r w:rsidRPr="00951F0F">
        <w:rPr>
          <w:rFonts w:cstheme="minorHAnsi"/>
        </w:rPr>
        <w:t xml:space="preserve">: The tropospheric and stratospheric lifetimes of a species, </w:t>
      </w:r>
      <w:r w:rsidRPr="00951F0F">
        <w:rPr>
          <w:rFonts w:cstheme="minorHAnsi"/>
        </w:rPr>
        <w:sym w:font="Symbol" w:char="F043"/>
      </w:r>
      <w:r w:rsidRPr="00951F0F">
        <w:rPr>
          <w:rFonts w:cstheme="minorHAnsi"/>
        </w:rPr>
        <w:t xml:space="preserve">, are related to its overall </w:t>
      </w:r>
      <w:r w:rsidR="00022F8D" w:rsidRPr="00951F0F">
        <w:rPr>
          <w:rFonts w:cstheme="minorHAnsi"/>
        </w:rPr>
        <w:t xml:space="preserve">atmospheric </w:t>
      </w:r>
      <w:r w:rsidRPr="00951F0F">
        <w:rPr>
          <w:rFonts w:cstheme="minorHAnsi"/>
        </w:rPr>
        <w:t>lifetime by</w:t>
      </w:r>
    </w:p>
    <w:p w14:paraId="37306514" w14:textId="4F4E1B3A" w:rsidR="00CA0363" w:rsidRPr="00951F0F" w:rsidRDefault="00402810" w:rsidP="00CA0363">
      <w:pPr>
        <w:spacing w:after="60" w:line="480" w:lineRule="auto"/>
        <w:rPr>
          <w:rFonts w:cstheme="minorHAnsi"/>
        </w:rPr>
      </w:pPr>
      <m:oMathPara>
        <m:oMath>
          <m:f>
            <m:fPr>
              <m:ctrlPr>
                <w:rPr>
                  <w:rFonts w:ascii="Cambria Math" w:hAnsi="Cambria Math" w:cstheme="minorHAnsi"/>
                  <w:i/>
                </w:rPr>
              </m:ctrlPr>
            </m:fPr>
            <m:num>
              <m:r>
                <w:rPr>
                  <w:rFonts w:ascii="Cambria Math" w:hAnsi="Cambria Math" w:cstheme="minorHAnsi"/>
                </w:rPr>
                <m:t>1</m:t>
              </m:r>
            </m:num>
            <m:den>
              <m:sSub>
                <m:sSubPr>
                  <m:ctrlPr>
                    <w:rPr>
                      <w:rFonts w:ascii="Cambria Math" w:hAnsi="Cambria Math" w:cstheme="minorHAnsi"/>
                      <w:i/>
                    </w:rPr>
                  </m:ctrlPr>
                </m:sSubPr>
                <m:e>
                  <m:r>
                    <w:rPr>
                      <w:rFonts w:ascii="Cambria Math" w:hAnsi="Cambria Math" w:cstheme="minorHAnsi"/>
                    </w:rPr>
                    <m:t>τ</m:t>
                  </m:r>
                </m:e>
                <m:sub>
                  <m:r>
                    <w:rPr>
                      <w:rFonts w:ascii="Cambria Math" w:hAnsi="Cambria Math" w:cstheme="minorHAnsi"/>
                    </w:rPr>
                    <m:t>atmos</m:t>
                  </m:r>
                </m:sub>
              </m:sSub>
            </m:den>
          </m:f>
          <m:r>
            <w:rPr>
              <w:rFonts w:ascii="Cambria Math" w:hAnsi="Cambria Math" w:cstheme="minorHAnsi"/>
            </w:rPr>
            <m:t>=</m:t>
          </m:r>
          <m:f>
            <m:fPr>
              <m:ctrlPr>
                <w:rPr>
                  <w:rFonts w:ascii="Cambria Math" w:hAnsi="Cambria Math" w:cstheme="minorHAnsi"/>
                  <w:i/>
                </w:rPr>
              </m:ctrlPr>
            </m:fPr>
            <m:num>
              <m:r>
                <w:rPr>
                  <w:rFonts w:ascii="Cambria Math" w:hAnsi="Cambria Math" w:cstheme="minorHAnsi"/>
                </w:rPr>
                <m:t>1</m:t>
              </m:r>
            </m:num>
            <m:den>
              <m:sSub>
                <m:sSubPr>
                  <m:ctrlPr>
                    <w:rPr>
                      <w:rFonts w:ascii="Cambria Math" w:hAnsi="Cambria Math" w:cstheme="minorHAnsi"/>
                      <w:i/>
                    </w:rPr>
                  </m:ctrlPr>
                </m:sSubPr>
                <m:e>
                  <m:r>
                    <w:rPr>
                      <w:rFonts w:ascii="Cambria Math" w:hAnsi="Cambria Math" w:cstheme="minorHAnsi"/>
                    </w:rPr>
                    <m:t>τ</m:t>
                  </m:r>
                </m:e>
                <m:sub>
                  <m:r>
                    <w:rPr>
                      <w:rFonts w:ascii="Cambria Math" w:hAnsi="Cambria Math" w:cstheme="minorHAnsi"/>
                    </w:rPr>
                    <m:t>strat</m:t>
                  </m:r>
                </m:sub>
              </m:sSub>
            </m:den>
          </m:f>
          <m:r>
            <w:rPr>
              <w:rFonts w:ascii="Cambria Math" w:hAnsi="Cambria Math" w:cstheme="minorHAnsi"/>
            </w:rPr>
            <m:t xml:space="preserve">+  </m:t>
          </m:r>
          <m:f>
            <m:fPr>
              <m:ctrlPr>
                <w:rPr>
                  <w:rFonts w:ascii="Cambria Math" w:hAnsi="Cambria Math" w:cstheme="minorHAnsi"/>
                  <w:i/>
                </w:rPr>
              </m:ctrlPr>
            </m:fPr>
            <m:num>
              <m:r>
                <w:rPr>
                  <w:rFonts w:ascii="Cambria Math" w:hAnsi="Cambria Math" w:cstheme="minorHAnsi"/>
                </w:rPr>
                <m:t>1</m:t>
              </m:r>
            </m:num>
            <m:den>
              <m:sSub>
                <m:sSubPr>
                  <m:ctrlPr>
                    <w:rPr>
                      <w:rFonts w:ascii="Cambria Math" w:hAnsi="Cambria Math" w:cstheme="minorHAnsi"/>
                      <w:i/>
                    </w:rPr>
                  </m:ctrlPr>
                </m:sSubPr>
                <m:e>
                  <m:r>
                    <w:rPr>
                      <w:rFonts w:ascii="Cambria Math" w:hAnsi="Cambria Math" w:cstheme="minorHAnsi"/>
                    </w:rPr>
                    <m:t>τ</m:t>
                  </m:r>
                </m:e>
                <m:sub>
                  <m:r>
                    <w:rPr>
                      <w:rFonts w:ascii="Cambria Math" w:hAnsi="Cambria Math" w:cstheme="minorHAnsi"/>
                    </w:rPr>
                    <m:t>trop</m:t>
                  </m:r>
                </m:sub>
              </m:sSub>
            </m:den>
          </m:f>
          <m:r>
            <w:rPr>
              <w:rFonts w:ascii="Cambria Math" w:hAnsi="Cambria Math" w:cstheme="minorHAnsi"/>
            </w:rPr>
            <m:t xml:space="preserve">  </m:t>
          </m:r>
        </m:oMath>
      </m:oMathPara>
    </w:p>
    <w:p w14:paraId="56A27546" w14:textId="5B83FE75" w:rsidR="00CA0363" w:rsidRPr="00951F0F" w:rsidRDefault="00FC2364" w:rsidP="00CA0363">
      <w:pPr>
        <w:spacing w:line="480" w:lineRule="auto"/>
        <w:jc w:val="both"/>
        <w:rPr>
          <w:rFonts w:cstheme="minorHAnsi"/>
        </w:rPr>
      </w:pPr>
      <w:r w:rsidRPr="00951F0F">
        <w:rPr>
          <w:rFonts w:cstheme="minorHAnsi"/>
        </w:rPr>
        <w:t xml:space="preserve">and the </w:t>
      </w:r>
      <w:r w:rsidR="00CA0363" w:rsidRPr="00951F0F">
        <w:rPr>
          <w:rFonts w:cstheme="minorHAnsi"/>
        </w:rPr>
        <w:t xml:space="preserve">overall </w:t>
      </w:r>
      <w:r w:rsidR="003524C3" w:rsidRPr="00951F0F">
        <w:rPr>
          <w:rFonts w:cstheme="minorHAnsi"/>
        </w:rPr>
        <w:t xml:space="preserve">atmospheric </w:t>
      </w:r>
      <w:r w:rsidR="00CA0363" w:rsidRPr="00951F0F">
        <w:rPr>
          <w:rFonts w:cstheme="minorHAnsi"/>
        </w:rPr>
        <w:t xml:space="preserve">loss </w:t>
      </w:r>
      <w:r w:rsidRPr="00951F0F">
        <w:rPr>
          <w:rFonts w:cstheme="minorHAnsi"/>
        </w:rPr>
        <w:t xml:space="preserve">rate of the species </w:t>
      </w:r>
      <w:r w:rsidR="00CA0363" w:rsidRPr="00951F0F">
        <w:rPr>
          <w:rFonts w:cstheme="minorHAnsi"/>
        </w:rPr>
        <w:t>is given by</w:t>
      </w:r>
    </w:p>
    <w:p w14:paraId="7001263B" w14:textId="53DE525E" w:rsidR="00E479B0" w:rsidRPr="00951F0F" w:rsidRDefault="00402810" w:rsidP="00CA0363">
      <w:pPr>
        <w:spacing w:line="480" w:lineRule="auto"/>
        <w:jc w:val="both"/>
        <w:rPr>
          <w:rFonts w:eastAsiaTheme="minorEastAsia" w:cstheme="minorHAnsi"/>
        </w:rPr>
      </w:pPr>
      <m:oMathPara>
        <m:oMath>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dX</m:t>
                  </m:r>
                </m:e>
                <m:sub>
                  <m:r>
                    <w:rPr>
                      <w:rFonts w:ascii="Cambria Math" w:hAnsi="Cambria Math" w:cstheme="minorHAnsi"/>
                    </w:rPr>
                    <m:t>a</m:t>
                  </m:r>
                </m:sub>
              </m:sSub>
            </m:num>
            <m:den>
              <m:r>
                <w:rPr>
                  <w:rFonts w:ascii="Cambria Math" w:hAnsi="Cambria Math" w:cstheme="minorHAnsi"/>
                </w:rPr>
                <m:t>dt</m:t>
              </m:r>
            </m:den>
          </m:f>
          <m:r>
            <w:rPr>
              <w:rFonts w:ascii="Cambria Math" w:hAnsi="Cambria Math" w:cstheme="minorHAnsi"/>
            </w:rPr>
            <m:t xml:space="preserve">= </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dX</m:t>
                  </m:r>
                </m:e>
                <m:sub>
                  <m:r>
                    <w:rPr>
                      <w:rFonts w:ascii="Cambria Math" w:hAnsi="Cambria Math" w:cstheme="minorHAnsi"/>
                    </w:rPr>
                    <m:t>strat</m:t>
                  </m:r>
                </m:sub>
              </m:sSub>
            </m:num>
            <m:den>
              <m:r>
                <w:rPr>
                  <w:rFonts w:ascii="Cambria Math" w:hAnsi="Cambria Math" w:cstheme="minorHAnsi"/>
                </w:rPr>
                <m:t>dt</m:t>
              </m:r>
            </m:den>
          </m:f>
          <m:r>
            <w:rPr>
              <w:rFonts w:ascii="Cambria Math" w:hAnsi="Cambria Math" w:cstheme="minorHAnsi"/>
            </w:rPr>
            <m:t xml:space="preserve">+ </m:t>
          </m:r>
          <m:f>
            <m:fPr>
              <m:ctrlPr>
                <w:rPr>
                  <w:rFonts w:ascii="Cambria Math" w:hAnsi="Cambria Math" w:cstheme="minorHAnsi"/>
                  <w:i/>
                </w:rPr>
              </m:ctrlPr>
            </m:fPr>
            <m:num>
              <m:r>
                <w:rPr>
                  <w:rFonts w:ascii="Cambria Math" w:hAnsi="Cambria Math" w:cstheme="minorHAnsi"/>
                </w:rPr>
                <m:t>d</m:t>
              </m:r>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trop</m:t>
                  </m:r>
                </m:sub>
              </m:sSub>
            </m:num>
            <m:den>
              <m:r>
                <w:rPr>
                  <w:rFonts w:ascii="Cambria Math" w:hAnsi="Cambria Math" w:cstheme="minorHAnsi"/>
                </w:rPr>
                <m:t>dt</m:t>
              </m:r>
            </m:den>
          </m:f>
        </m:oMath>
      </m:oMathPara>
    </w:p>
    <w:p w14:paraId="7BE3546A" w14:textId="4B3D8DB0" w:rsidR="004B1E8C" w:rsidRPr="00951F0F" w:rsidRDefault="00402810" w:rsidP="004B1E8C">
      <w:pPr>
        <w:spacing w:line="480" w:lineRule="auto"/>
        <w:jc w:val="both"/>
        <w:rPr>
          <w:rFonts w:eastAsiaTheme="minorEastAsia" w:cstheme="minorHAnsi"/>
        </w:rPr>
      </w:pPr>
      <m:oMathPara>
        <m:oMath>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dX</m:t>
                  </m:r>
                </m:e>
                <m:sub>
                  <m:r>
                    <w:rPr>
                      <w:rFonts w:ascii="Cambria Math" w:hAnsi="Cambria Math" w:cstheme="minorHAnsi"/>
                    </w:rPr>
                    <m:t>a</m:t>
                  </m:r>
                </m:sub>
              </m:sSub>
            </m:num>
            <m:den>
              <m:r>
                <w:rPr>
                  <w:rFonts w:ascii="Cambria Math" w:hAnsi="Cambria Math" w:cstheme="minorHAnsi"/>
                </w:rPr>
                <m:t>dt</m:t>
              </m:r>
            </m:den>
          </m:f>
          <m:r>
            <w:rPr>
              <w:rFonts w:ascii="Cambria Math" w:hAnsi="Cambria Math" w:cstheme="minorHAnsi"/>
            </w:rPr>
            <m:t xml:space="preserve">= - </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a</m:t>
                  </m:r>
                </m:sub>
              </m:sSub>
            </m:num>
            <m:den>
              <m:sSub>
                <m:sSubPr>
                  <m:ctrlPr>
                    <w:rPr>
                      <w:rFonts w:ascii="Cambria Math" w:hAnsi="Cambria Math" w:cstheme="minorHAnsi"/>
                      <w:i/>
                    </w:rPr>
                  </m:ctrlPr>
                </m:sSubPr>
                <m:e>
                  <m:r>
                    <w:rPr>
                      <w:rFonts w:ascii="Cambria Math" w:hAnsi="Cambria Math" w:cstheme="minorHAnsi"/>
                    </w:rPr>
                    <m:t>τ</m:t>
                  </m:r>
                </m:e>
                <m:sub>
                  <m:r>
                    <w:rPr>
                      <w:rFonts w:ascii="Cambria Math" w:hAnsi="Cambria Math" w:cstheme="minorHAnsi"/>
                    </w:rPr>
                    <m:t>strat</m:t>
                  </m:r>
                </m:sub>
              </m:sSub>
            </m:den>
          </m:f>
          <m:r>
            <w:rPr>
              <w:rFonts w:ascii="Cambria Math" w:hAnsi="Cambria Math" w:cstheme="minorHAnsi"/>
            </w:rPr>
            <m:t>-</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a</m:t>
                  </m:r>
                </m:sub>
              </m:sSub>
            </m:num>
            <m:den>
              <m:sSub>
                <m:sSubPr>
                  <m:ctrlPr>
                    <w:rPr>
                      <w:rFonts w:ascii="Cambria Math" w:hAnsi="Cambria Math" w:cstheme="minorHAnsi"/>
                      <w:i/>
                    </w:rPr>
                  </m:ctrlPr>
                </m:sSubPr>
                <m:e>
                  <m:r>
                    <w:rPr>
                      <w:rFonts w:ascii="Cambria Math" w:hAnsi="Cambria Math" w:cstheme="minorHAnsi"/>
                    </w:rPr>
                    <m:t>τ</m:t>
                  </m:r>
                </m:e>
                <m:sub>
                  <m:r>
                    <w:rPr>
                      <w:rFonts w:ascii="Cambria Math" w:hAnsi="Cambria Math" w:cstheme="minorHAnsi"/>
                    </w:rPr>
                    <m:t>trop</m:t>
                  </m:r>
                </m:sub>
              </m:sSub>
            </m:den>
          </m:f>
          <m:r>
            <w:rPr>
              <w:rFonts w:ascii="Cambria Math" w:eastAsiaTheme="minorEastAsia" w:hAnsi="Cambria Math" w:cstheme="minorHAnsi"/>
            </w:rPr>
            <m:t xml:space="preserve">= - </m:t>
          </m:r>
          <m:f>
            <m:fPr>
              <m:ctrlPr>
                <w:rPr>
                  <w:rFonts w:ascii="Cambria Math" w:eastAsiaTheme="minorEastAsia" w:hAnsi="Cambria Math" w:cstheme="minorHAnsi"/>
                  <w:i/>
                </w:rPr>
              </m:ctrlPr>
            </m:fPr>
            <m:num>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a</m:t>
                  </m:r>
                </m:sub>
              </m:sSub>
            </m:num>
            <m:den>
              <m:sSub>
                <m:sSubPr>
                  <m:ctrlPr>
                    <w:rPr>
                      <w:rFonts w:ascii="Cambria Math" w:eastAsiaTheme="minorEastAsia" w:hAnsi="Cambria Math" w:cstheme="minorHAnsi"/>
                      <w:i/>
                    </w:rPr>
                  </m:ctrlPr>
                </m:sSubPr>
                <m:e>
                  <m:r>
                    <w:rPr>
                      <w:rFonts w:ascii="Cambria Math" w:eastAsiaTheme="minorEastAsia" w:hAnsi="Cambria Math" w:cstheme="minorHAnsi"/>
                    </w:rPr>
                    <m:t>τ</m:t>
                  </m:r>
                </m:e>
                <m:sub>
                  <m:r>
                    <w:rPr>
                      <w:rFonts w:ascii="Cambria Math" w:eastAsiaTheme="minorEastAsia" w:hAnsi="Cambria Math" w:cstheme="minorHAnsi"/>
                    </w:rPr>
                    <m:t>atmos</m:t>
                  </m:r>
                </m:sub>
              </m:sSub>
            </m:den>
          </m:f>
        </m:oMath>
      </m:oMathPara>
    </w:p>
    <w:p w14:paraId="66CE0B28" w14:textId="537E10BC" w:rsidR="00CA0363" w:rsidRPr="00951F0F" w:rsidRDefault="00CA0363" w:rsidP="00CA0363">
      <w:pPr>
        <w:spacing w:line="480" w:lineRule="auto"/>
        <w:jc w:val="both"/>
        <w:rPr>
          <w:rFonts w:cstheme="minorHAnsi"/>
        </w:rPr>
      </w:pPr>
      <w:r w:rsidRPr="00951F0F">
        <w:rPr>
          <w:rFonts w:cstheme="minorHAnsi"/>
        </w:rPr>
        <w:t xml:space="preserve">where </w:t>
      </w:r>
      <w:r w:rsidR="000804D1" w:rsidRPr="00951F0F">
        <w:rPr>
          <w:rFonts w:cstheme="minorHAnsi"/>
        </w:rPr>
        <w:sym w:font="Symbol" w:char="F043"/>
      </w:r>
      <w:r w:rsidR="000804D1" w:rsidRPr="00951F0F">
        <w:rPr>
          <w:rFonts w:cstheme="minorHAnsi"/>
          <w:vertAlign w:val="subscript"/>
        </w:rPr>
        <w:t>a</w:t>
      </w:r>
      <w:r w:rsidRPr="00951F0F">
        <w:rPr>
          <w:rFonts w:cstheme="minorHAnsi"/>
        </w:rPr>
        <w:t xml:space="preserve"> is the globally averaged abundance of </w:t>
      </w:r>
      <w:r w:rsidR="000804D1" w:rsidRPr="00951F0F">
        <w:rPr>
          <w:rFonts w:cstheme="minorHAnsi"/>
        </w:rPr>
        <w:sym w:font="Symbol" w:char="F043"/>
      </w:r>
      <w:r w:rsidR="0039394E" w:rsidRPr="00951F0F">
        <w:rPr>
          <w:rFonts w:cstheme="minorHAnsi"/>
        </w:rPr>
        <w:t xml:space="preserve">. </w:t>
      </w:r>
      <w:r w:rsidRPr="00951F0F">
        <w:rPr>
          <w:rFonts w:cstheme="minorHAnsi"/>
        </w:rPr>
        <w:t xml:space="preserve">So, the ratio of the </w:t>
      </w:r>
      <w:r w:rsidR="00C9110C" w:rsidRPr="00951F0F">
        <w:rPr>
          <w:rFonts w:cstheme="minorHAnsi"/>
        </w:rPr>
        <w:t xml:space="preserve">amount of </w:t>
      </w:r>
      <w:r w:rsidR="000804D1" w:rsidRPr="00951F0F">
        <w:rPr>
          <w:rFonts w:cstheme="minorHAnsi"/>
        </w:rPr>
        <w:sym w:font="Symbol" w:char="F043"/>
      </w:r>
      <w:r w:rsidR="00C9110C" w:rsidRPr="00951F0F">
        <w:rPr>
          <w:rFonts w:cstheme="minorHAnsi"/>
        </w:rPr>
        <w:t xml:space="preserve"> destroyed in the stratosphere to the amount destroyed in the whole atmosphere</w:t>
      </w:r>
      <w:r w:rsidRPr="00951F0F">
        <w:rPr>
          <w:rFonts w:cstheme="minorHAnsi"/>
        </w:rPr>
        <w:t xml:space="preserve"> </w:t>
      </w:r>
      <w:r w:rsidR="00FC2364" w:rsidRPr="00951F0F">
        <w:rPr>
          <w:rFonts w:cstheme="minorHAnsi"/>
        </w:rPr>
        <w:t>is:</w:t>
      </w:r>
    </w:p>
    <w:p w14:paraId="1353BA6E" w14:textId="22652ED5" w:rsidR="00D61C19" w:rsidRPr="00951F0F" w:rsidRDefault="00402810" w:rsidP="00CA0363">
      <w:pPr>
        <w:spacing w:line="480" w:lineRule="auto"/>
        <w:jc w:val="both"/>
        <w:rPr>
          <w:rFonts w:cstheme="minorHAnsi"/>
        </w:rPr>
      </w:pPr>
      <m:oMathPara>
        <m:oMath>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dX</m:t>
                  </m:r>
                </m:e>
                <m:sub>
                  <m:r>
                    <w:rPr>
                      <w:rFonts w:ascii="Cambria Math" w:hAnsi="Cambria Math" w:cstheme="minorHAnsi"/>
                    </w:rPr>
                    <m:t>strat</m:t>
                  </m:r>
                </m:sub>
              </m:sSub>
            </m:num>
            <m:den>
              <m:sSub>
                <m:sSubPr>
                  <m:ctrlPr>
                    <w:rPr>
                      <w:rFonts w:ascii="Cambria Math" w:hAnsi="Cambria Math" w:cstheme="minorHAnsi"/>
                      <w:i/>
                    </w:rPr>
                  </m:ctrlPr>
                </m:sSubPr>
                <m:e>
                  <m:r>
                    <w:rPr>
                      <w:rFonts w:ascii="Cambria Math" w:hAnsi="Cambria Math" w:cstheme="minorHAnsi"/>
                    </w:rPr>
                    <m:t>dX</m:t>
                  </m:r>
                </m:e>
                <m:sub>
                  <m:r>
                    <w:rPr>
                      <w:rFonts w:ascii="Cambria Math" w:hAnsi="Cambria Math" w:cstheme="minorHAnsi"/>
                    </w:rPr>
                    <m:t>a</m:t>
                  </m:r>
                </m:sub>
              </m:sSub>
            </m:den>
          </m:f>
          <m:r>
            <w:rPr>
              <w:rFonts w:ascii="Cambria Math" w:hAnsi="Cambria Math" w:cstheme="minorHAnsi"/>
            </w:rPr>
            <m:t xml:space="preserve">= </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τ</m:t>
                  </m:r>
                </m:e>
                <m:sub>
                  <m:r>
                    <w:rPr>
                      <w:rFonts w:ascii="Cambria Math" w:hAnsi="Cambria Math" w:cstheme="minorHAnsi"/>
                    </w:rPr>
                    <m:t>atmos</m:t>
                  </m:r>
                </m:sub>
              </m:sSub>
            </m:num>
            <m:den>
              <m:sSub>
                <m:sSubPr>
                  <m:ctrlPr>
                    <w:rPr>
                      <w:rFonts w:ascii="Cambria Math" w:hAnsi="Cambria Math" w:cstheme="minorHAnsi"/>
                      <w:i/>
                    </w:rPr>
                  </m:ctrlPr>
                </m:sSubPr>
                <m:e>
                  <m:r>
                    <w:rPr>
                      <w:rFonts w:ascii="Cambria Math" w:hAnsi="Cambria Math" w:cstheme="minorHAnsi"/>
                    </w:rPr>
                    <m:t>τ</m:t>
                  </m:r>
                </m:e>
                <m:sub>
                  <m:r>
                    <w:rPr>
                      <w:rFonts w:ascii="Cambria Math" w:hAnsi="Cambria Math" w:cstheme="minorHAnsi"/>
                    </w:rPr>
                    <m:t>strat</m:t>
                  </m:r>
                </m:sub>
              </m:sSub>
            </m:den>
          </m:f>
        </m:oMath>
      </m:oMathPara>
    </w:p>
    <w:p w14:paraId="4D66C9F1" w14:textId="61652ADD" w:rsidR="00CA0363" w:rsidRPr="00951F0F" w:rsidRDefault="00CA0363" w:rsidP="00022F8D">
      <w:pPr>
        <w:spacing w:line="480" w:lineRule="auto"/>
        <w:jc w:val="both"/>
        <w:rPr>
          <w:rFonts w:eastAsiaTheme="minorEastAsia" w:cstheme="minorHAnsi"/>
        </w:rPr>
      </w:pPr>
    </w:p>
    <w:p w14:paraId="7B5E0DFF" w14:textId="24B633C3" w:rsidR="00CA0363" w:rsidRPr="00951F0F" w:rsidRDefault="00CA0363" w:rsidP="00CA0363">
      <w:pPr>
        <w:spacing w:line="480" w:lineRule="auto"/>
        <w:jc w:val="both"/>
        <w:rPr>
          <w:rFonts w:cstheme="minorHAnsi"/>
          <w:iCs/>
        </w:rPr>
      </w:pPr>
      <w:r w:rsidRPr="00951F0F">
        <w:rPr>
          <w:rFonts w:cstheme="minorHAnsi"/>
          <w:b/>
          <w:bCs/>
        </w:rPr>
        <w:t>Estimating uncertainty in IOD:</w:t>
      </w:r>
      <w:r w:rsidRPr="00951F0F">
        <w:rPr>
          <w:rFonts w:cstheme="minorHAnsi"/>
        </w:rPr>
        <w:t xml:space="preserve"> </w:t>
      </w:r>
      <w:r w:rsidRPr="00951F0F">
        <w:rPr>
          <w:rFonts w:cstheme="minorHAnsi"/>
          <w:iCs/>
        </w:rPr>
        <w:t>IOD is influenced not just by halogen emissions, but also by differences between model simulations arising from dynamical variability. We estimate the impact of this variability on our IOD calculations using an ensemble of UM-UKCA simulations performed with the same surface boundary conditions (REF-C2 simulations performed as part of the CCMI project</w:t>
      </w:r>
      <w:r w:rsidRPr="00951F0F">
        <w:rPr>
          <w:rFonts w:cstheme="minorHAnsi"/>
          <w:iCs/>
          <w:vertAlign w:val="superscript"/>
        </w:rPr>
        <w:t>3</w:t>
      </w:r>
      <w:r w:rsidR="0002089C" w:rsidRPr="00951F0F">
        <w:rPr>
          <w:rFonts w:cstheme="minorHAnsi"/>
          <w:iCs/>
          <w:vertAlign w:val="superscript"/>
        </w:rPr>
        <w:t>2</w:t>
      </w:r>
      <w:r w:rsidRPr="00951F0F">
        <w:rPr>
          <w:rFonts w:cstheme="minorHAnsi"/>
          <w:iCs/>
        </w:rPr>
        <w:t xml:space="preserve">). As these simulations have the same surface boundary conditions, stratospheric halogen changes do not explain the IOD differences between these simulations. It was found that these scenarios could differ by up to 48 DU years over the time range considered here (2012-2100), and we use this value in Figure 3 as an estimate of the uncertainty in IOD. </w:t>
      </w:r>
    </w:p>
    <w:p w14:paraId="7156FAF1" w14:textId="521C0E44" w:rsidR="00666EFC" w:rsidRPr="00951F0F" w:rsidRDefault="00E51639" w:rsidP="00CA0363">
      <w:pPr>
        <w:spacing w:line="480" w:lineRule="auto"/>
        <w:jc w:val="both"/>
        <w:rPr>
          <w:rFonts w:cstheme="minorHAnsi"/>
        </w:rPr>
      </w:pPr>
      <w:r w:rsidRPr="00951F0F">
        <w:rPr>
          <w:rFonts w:cstheme="minorHAnsi"/>
        </w:rPr>
        <w:t>We have calculated the IOD over the length of our integrations (see Figure 3). However, once several lifetimes of the perturbation have passed, any differences between the calculated IOD and the IOD from the Base integration will arise purely from the variability inherent in our chemistry/climate integrations. We did find, in the case of the short-lived gases included in our UM-UKCA integrations, that differences from Base were calculated long after the halogen perturbation had decayed. For this reason, the IOD could also be calculated just over the perturbation period, which for short-lived gases we took to be the duration of the emission pulse plus 5 times the whole atmospheric lifetime (</w:t>
      </w:r>
      <w:r w:rsidRPr="00951F0F">
        <w:rPr>
          <w:rFonts w:cstheme="minorHAnsi"/>
        </w:rPr>
        <w:sym w:font="Symbol" w:char="F074"/>
      </w:r>
      <w:proofErr w:type="spellStart"/>
      <w:r w:rsidRPr="00951F0F">
        <w:rPr>
          <w:rFonts w:cstheme="minorHAnsi"/>
          <w:vertAlign w:val="subscript"/>
        </w:rPr>
        <w:t>atmos</w:t>
      </w:r>
      <w:proofErr w:type="spellEnd"/>
      <w:r w:rsidRPr="00951F0F">
        <w:rPr>
          <w:rFonts w:cstheme="minorHAnsi"/>
        </w:rPr>
        <w:t xml:space="preserve">) plus </w:t>
      </w:r>
      <w:r w:rsidR="007B4AE8">
        <w:rPr>
          <w:rFonts w:cstheme="minorHAnsi"/>
        </w:rPr>
        <w:t>the time for removal from the stratosphere (for which we used 7</w:t>
      </w:r>
      <w:r w:rsidR="001F3A29">
        <w:rPr>
          <w:rFonts w:cstheme="minorHAnsi"/>
        </w:rPr>
        <w:t xml:space="preserve"> </w:t>
      </w:r>
      <w:r w:rsidR="007B4AE8">
        <w:rPr>
          <w:rFonts w:cstheme="minorHAnsi"/>
        </w:rPr>
        <w:t>years, the typical</w:t>
      </w:r>
      <w:r w:rsidRPr="00951F0F">
        <w:rPr>
          <w:rFonts w:cstheme="minorHAnsi"/>
        </w:rPr>
        <w:t xml:space="preserve"> </w:t>
      </w:r>
      <w:r w:rsidR="008E3AD7" w:rsidRPr="00951F0F">
        <w:rPr>
          <w:rFonts w:cstheme="minorHAnsi"/>
        </w:rPr>
        <w:t xml:space="preserve">maximum mean </w:t>
      </w:r>
      <w:r w:rsidRPr="00951F0F">
        <w:rPr>
          <w:rFonts w:cstheme="minorHAnsi"/>
        </w:rPr>
        <w:t xml:space="preserve">age of air in the polar </w:t>
      </w:r>
      <w:r w:rsidRPr="00951F0F">
        <w:rPr>
          <w:rFonts w:cstheme="minorHAnsi"/>
        </w:rPr>
        <w:lastRenderedPageBreak/>
        <w:t>lower stratosphere</w:t>
      </w:r>
      <w:r w:rsidR="007B4AE8" w:rsidRPr="00CD2E21">
        <w:rPr>
          <w:rFonts w:cstheme="minorHAnsi"/>
          <w:vertAlign w:val="superscript"/>
        </w:rPr>
        <w:t>22,23</w:t>
      </w:r>
      <w:r w:rsidR="007B4AE8">
        <w:rPr>
          <w:rFonts w:cstheme="minorHAnsi"/>
        </w:rPr>
        <w:t>)</w:t>
      </w:r>
      <w:r w:rsidRPr="00951F0F">
        <w:rPr>
          <w:rFonts w:cstheme="minorHAnsi"/>
        </w:rPr>
        <w:t>. So, for a scenario in which CH</w:t>
      </w:r>
      <w:r w:rsidRPr="00951F0F">
        <w:rPr>
          <w:rFonts w:cstheme="minorHAnsi"/>
          <w:vertAlign w:val="subscript"/>
        </w:rPr>
        <w:t>3</w:t>
      </w:r>
      <w:r w:rsidRPr="00951F0F">
        <w:rPr>
          <w:rFonts w:cstheme="minorHAnsi"/>
        </w:rPr>
        <w:t xml:space="preserve">Cl (modelled </w:t>
      </w:r>
      <w:r w:rsidRPr="00951F0F">
        <w:rPr>
          <w:rFonts w:cstheme="minorHAnsi"/>
        </w:rPr>
        <w:sym w:font="Symbol" w:char="F074"/>
      </w:r>
      <w:proofErr w:type="spellStart"/>
      <w:r w:rsidRPr="00951F0F">
        <w:rPr>
          <w:rFonts w:cstheme="minorHAnsi"/>
          <w:vertAlign w:val="subscript"/>
        </w:rPr>
        <w:t>atmos</w:t>
      </w:r>
      <w:proofErr w:type="spellEnd"/>
      <w:r w:rsidRPr="00951F0F">
        <w:rPr>
          <w:rFonts w:cstheme="minorHAnsi"/>
        </w:rPr>
        <w:t xml:space="preserve"> = 1.2 years) is emitted for 5 years, the IOD would be calculated over a time horizon of 18 years. </w:t>
      </w:r>
      <w:r w:rsidR="002B0343">
        <w:rPr>
          <w:rFonts w:cstheme="minorHAnsi"/>
        </w:rPr>
        <w:t xml:space="preserve">Extended Data </w:t>
      </w:r>
      <w:r w:rsidR="002C3CB9" w:rsidRPr="00951F0F">
        <w:rPr>
          <w:rFonts w:cstheme="minorHAnsi"/>
        </w:rPr>
        <w:t xml:space="preserve">Figure 2 plots IODs calculated in this way (with the IODs for long-lived gases calculated as previously) versus the total halogen emission in </w:t>
      </w:r>
      <w:proofErr w:type="spellStart"/>
      <w:r w:rsidR="002C3CB9" w:rsidRPr="00951F0F">
        <w:rPr>
          <w:rFonts w:cstheme="minorHAnsi"/>
        </w:rPr>
        <w:t>Tg</w:t>
      </w:r>
      <w:proofErr w:type="spellEnd"/>
      <w:r w:rsidR="002C3CB9" w:rsidRPr="00951F0F">
        <w:rPr>
          <w:rFonts w:cstheme="minorHAnsi"/>
        </w:rPr>
        <w:t xml:space="preserve"> Cl, </w:t>
      </w:r>
      <w:proofErr w:type="spellStart"/>
      <w:r w:rsidR="002C3CB9" w:rsidRPr="00951F0F">
        <w:rPr>
          <w:rFonts w:cstheme="minorHAnsi"/>
        </w:rPr>
        <w:t>E</w:t>
      </w:r>
      <w:r w:rsidR="002C3CB9" w:rsidRPr="00951F0F">
        <w:rPr>
          <w:rFonts w:cstheme="minorHAnsi"/>
          <w:vertAlign w:val="subscript"/>
        </w:rPr>
        <w:t>Eq</w:t>
      </w:r>
      <w:proofErr w:type="spellEnd"/>
      <w:r w:rsidR="002C3CB9" w:rsidRPr="00951F0F">
        <w:rPr>
          <w:rFonts w:cstheme="minorHAnsi"/>
        </w:rPr>
        <w:t xml:space="preserve">, multiplied by </w:t>
      </w:r>
      <w:r w:rsidR="002C3CB9" w:rsidRPr="00951F0F">
        <w:rPr>
          <w:rFonts w:cstheme="minorHAnsi"/>
        </w:rPr>
        <w:sym w:font="Symbol" w:char="F074"/>
      </w:r>
      <w:proofErr w:type="spellStart"/>
      <w:r w:rsidR="002C3CB9" w:rsidRPr="00951F0F">
        <w:rPr>
          <w:rFonts w:cstheme="minorHAnsi"/>
          <w:vertAlign w:val="subscript"/>
        </w:rPr>
        <w:t>atmos</w:t>
      </w:r>
      <w:proofErr w:type="spellEnd"/>
      <w:r w:rsidR="002C3CB9" w:rsidRPr="00951F0F">
        <w:rPr>
          <w:rFonts w:cstheme="minorHAnsi"/>
        </w:rPr>
        <w:t>/</w:t>
      </w:r>
      <w:r w:rsidR="002C3CB9" w:rsidRPr="00951F0F">
        <w:rPr>
          <w:rFonts w:cstheme="minorHAnsi"/>
        </w:rPr>
        <w:sym w:font="Symbol" w:char="F074"/>
      </w:r>
      <w:proofErr w:type="spellStart"/>
      <w:r w:rsidR="002C3CB9" w:rsidRPr="00951F0F">
        <w:rPr>
          <w:rFonts w:cstheme="minorHAnsi"/>
          <w:vertAlign w:val="subscript"/>
        </w:rPr>
        <w:t>strat</w:t>
      </w:r>
      <w:proofErr w:type="spellEnd"/>
      <w:r w:rsidR="002C3CB9" w:rsidRPr="00951F0F">
        <w:rPr>
          <w:rFonts w:cstheme="minorHAnsi"/>
        </w:rPr>
        <w:t xml:space="preserve">. </w:t>
      </w:r>
      <w:r w:rsidR="00C926D3" w:rsidRPr="00951F0F">
        <w:rPr>
          <w:rFonts w:cstheme="minorHAnsi"/>
        </w:rPr>
        <w:t>In this case the correlation coefficient</w:t>
      </w:r>
      <w:r w:rsidR="002C3CB9" w:rsidRPr="00951F0F">
        <w:rPr>
          <w:rFonts w:cstheme="minorHAnsi"/>
        </w:rPr>
        <w:t xml:space="preserve"> </w:t>
      </w:r>
      <w:r w:rsidR="00C926D3" w:rsidRPr="00951F0F">
        <w:rPr>
          <w:rFonts w:cstheme="minorHAnsi"/>
        </w:rPr>
        <w:t>is improved</w:t>
      </w:r>
      <w:r w:rsidR="002C3CB9" w:rsidRPr="00951F0F">
        <w:rPr>
          <w:rFonts w:cstheme="minorHAnsi"/>
        </w:rPr>
        <w:t>, relative to Figure 3</w:t>
      </w:r>
      <w:r w:rsidR="00C926D3" w:rsidRPr="00951F0F">
        <w:rPr>
          <w:rFonts w:cstheme="minorHAnsi"/>
        </w:rPr>
        <w:t>, to r=0.9</w:t>
      </w:r>
      <w:r w:rsidR="00D01258" w:rsidRPr="00951F0F">
        <w:rPr>
          <w:rFonts w:cstheme="minorHAnsi"/>
        </w:rPr>
        <w:t>0</w:t>
      </w:r>
      <w:r w:rsidR="00C926D3" w:rsidRPr="00951F0F">
        <w:rPr>
          <w:rFonts w:cstheme="minorHAnsi"/>
        </w:rPr>
        <w:t>, but the gradient remains the same (</w:t>
      </w:r>
      <w:r w:rsidR="00C926D3" w:rsidRPr="00951F0F">
        <w:rPr>
          <w:rFonts w:cstheme="minorHAnsi"/>
          <w:i/>
        </w:rPr>
        <w:t>K</w:t>
      </w:r>
      <w:r w:rsidR="0002089C" w:rsidRPr="00951F0F">
        <w:rPr>
          <w:rFonts w:cstheme="minorHAnsi"/>
        </w:rPr>
        <w:t xml:space="preserve"> </w:t>
      </w:r>
      <w:r w:rsidR="00C926D3" w:rsidRPr="00951F0F">
        <w:rPr>
          <w:rFonts w:cstheme="minorHAnsi"/>
        </w:rPr>
        <w:t>=</w:t>
      </w:r>
      <w:r w:rsidR="0002089C" w:rsidRPr="00951F0F">
        <w:rPr>
          <w:rFonts w:cstheme="minorHAnsi"/>
        </w:rPr>
        <w:t xml:space="preserve"> </w:t>
      </w:r>
      <w:r w:rsidR="00C926D3" w:rsidRPr="00951F0F">
        <w:rPr>
          <w:rFonts w:cstheme="minorHAnsi"/>
        </w:rPr>
        <w:t>100</w:t>
      </w:r>
      <w:r w:rsidR="00C926D3" w:rsidRPr="00951F0F">
        <w:rPr>
          <w:rFonts w:ascii="Calibri" w:hAnsi="Calibri" w:cs="Calibri"/>
        </w:rPr>
        <w:t>±</w:t>
      </w:r>
      <w:r w:rsidR="00C926D3" w:rsidRPr="00951F0F">
        <w:rPr>
          <w:rFonts w:cstheme="minorHAnsi"/>
        </w:rPr>
        <w:t>1</w:t>
      </w:r>
      <w:r w:rsidR="00F03553" w:rsidRPr="00951F0F">
        <w:rPr>
          <w:rFonts w:cstheme="minorHAnsi"/>
        </w:rPr>
        <w:t>1</w:t>
      </w:r>
      <w:r w:rsidR="00C926D3" w:rsidRPr="00951F0F">
        <w:rPr>
          <w:rFonts w:cstheme="minorHAnsi"/>
        </w:rPr>
        <w:t xml:space="preserve"> DU/</w:t>
      </w:r>
      <w:proofErr w:type="spellStart"/>
      <w:proofErr w:type="gramStart"/>
      <w:r w:rsidR="00C926D3" w:rsidRPr="00951F0F">
        <w:rPr>
          <w:rFonts w:cstheme="minorHAnsi"/>
        </w:rPr>
        <w:t>Tg</w:t>
      </w:r>
      <w:proofErr w:type="spellEnd"/>
      <w:r w:rsidR="00C926D3" w:rsidRPr="00951F0F">
        <w:rPr>
          <w:rFonts w:cstheme="minorHAnsi"/>
        </w:rPr>
        <w:t>(</w:t>
      </w:r>
      <w:proofErr w:type="gramEnd"/>
      <w:r w:rsidR="00C926D3" w:rsidRPr="00951F0F">
        <w:rPr>
          <w:rFonts w:cstheme="minorHAnsi"/>
        </w:rPr>
        <w:t>Cl)</w:t>
      </w:r>
      <w:r w:rsidR="00F03553" w:rsidRPr="00951F0F">
        <w:rPr>
          <w:rFonts w:cstheme="minorHAnsi"/>
        </w:rPr>
        <w:t>)</w:t>
      </w:r>
      <w:r w:rsidR="002C3CB9" w:rsidRPr="00951F0F">
        <w:rPr>
          <w:rFonts w:cstheme="minorHAnsi"/>
        </w:rPr>
        <w:t xml:space="preserve">. </w:t>
      </w:r>
    </w:p>
    <w:p w14:paraId="624BDB9B" w14:textId="77777777" w:rsidR="00CA0363" w:rsidRPr="00951F0F" w:rsidRDefault="00CA0363" w:rsidP="00CA0363">
      <w:pPr>
        <w:spacing w:line="480" w:lineRule="auto"/>
        <w:jc w:val="both"/>
        <w:rPr>
          <w:rFonts w:eastAsiaTheme="minorEastAsia" w:cstheme="minorHAnsi"/>
        </w:rPr>
      </w:pPr>
    </w:p>
    <w:p w14:paraId="1334BFC6" w14:textId="30ACDC6E" w:rsidR="00CA0363" w:rsidRPr="00951F0F" w:rsidRDefault="00CA0363" w:rsidP="00CA0363">
      <w:pPr>
        <w:spacing w:after="60" w:line="480" w:lineRule="auto"/>
        <w:jc w:val="both"/>
        <w:rPr>
          <w:rFonts w:cstheme="minorHAnsi"/>
        </w:rPr>
      </w:pPr>
      <w:r w:rsidRPr="00951F0F">
        <w:rPr>
          <w:rFonts w:cstheme="minorHAnsi"/>
          <w:b/>
        </w:rPr>
        <w:t>Relationship to Ozone Depletion Potential (ODP)</w:t>
      </w:r>
      <w:r w:rsidRPr="00951F0F">
        <w:rPr>
          <w:rFonts w:cstheme="minorHAnsi"/>
        </w:rPr>
        <w:t>: The ODP is a measure of the stratospheric ozone destroyed per unit mass of emissions of a long-lived source gas compared to CFC-11. It can be estimated directly from models for any emission scenario or, in the case of continuous steady-state emissions, by the semi-empirical ODP</w:t>
      </w:r>
      <w:r w:rsidR="000804D1" w:rsidRPr="00951F0F">
        <w:rPr>
          <w:rFonts w:cstheme="minorHAnsi"/>
        </w:rPr>
        <w:t>. In the case of model-based estimates, there is clearly a correspondenc</w:t>
      </w:r>
      <w:r w:rsidR="00551C54" w:rsidRPr="00951F0F">
        <w:rPr>
          <w:rFonts w:cstheme="minorHAnsi"/>
        </w:rPr>
        <w:t>e between the IOD and ODP. They are both based on the calculation</w:t>
      </w:r>
      <w:r w:rsidR="000804D1" w:rsidRPr="00951F0F">
        <w:rPr>
          <w:rFonts w:cstheme="minorHAnsi"/>
        </w:rPr>
        <w:t xml:space="preserve"> of ozone depletion in the model following an assumed emission of the ODS (and in the case of ODP, a similar emissi</w:t>
      </w:r>
      <w:r w:rsidR="00551C54" w:rsidRPr="00951F0F">
        <w:rPr>
          <w:rFonts w:cstheme="minorHAnsi"/>
        </w:rPr>
        <w:t>on of CFC-11), although</w:t>
      </w:r>
      <w:r w:rsidR="000804D1" w:rsidRPr="00951F0F">
        <w:rPr>
          <w:rFonts w:cstheme="minorHAnsi"/>
        </w:rPr>
        <w:t xml:space="preserve"> as an absolute measure of impact of emissions on ozone, the IOD is advantageous for applicatio</w:t>
      </w:r>
      <w:r w:rsidR="00083568" w:rsidRPr="00951F0F">
        <w:rPr>
          <w:rFonts w:cstheme="minorHAnsi"/>
        </w:rPr>
        <w:t>n to ozone recovery. For ODP estimat</w:t>
      </w:r>
      <w:r w:rsidR="00551C54" w:rsidRPr="00951F0F">
        <w:rPr>
          <w:rFonts w:cstheme="minorHAnsi"/>
        </w:rPr>
        <w:t>es which are partly based on em</w:t>
      </w:r>
      <w:r w:rsidR="00083568" w:rsidRPr="00951F0F">
        <w:rPr>
          <w:rFonts w:cstheme="minorHAnsi"/>
        </w:rPr>
        <w:t>pirical quantities</w:t>
      </w:r>
      <w:r w:rsidR="00551C54" w:rsidRPr="00951F0F">
        <w:rPr>
          <w:rFonts w:cstheme="minorHAnsi"/>
        </w:rPr>
        <w:t>,</w:t>
      </w:r>
      <w:r w:rsidR="00083568" w:rsidRPr="00951F0F">
        <w:rPr>
          <w:rFonts w:cstheme="minorHAnsi"/>
        </w:rPr>
        <w:t xml:space="preserve"> we can demons</w:t>
      </w:r>
      <w:r w:rsidR="00551C54" w:rsidRPr="00951F0F">
        <w:rPr>
          <w:rFonts w:cstheme="minorHAnsi"/>
        </w:rPr>
        <w:t>t</w:t>
      </w:r>
      <w:r w:rsidR="00083568" w:rsidRPr="00951F0F">
        <w:rPr>
          <w:rFonts w:cstheme="minorHAnsi"/>
        </w:rPr>
        <w:t xml:space="preserve">rate the correspondence between IOD and ODP. </w:t>
      </w:r>
      <w:r w:rsidR="00551C54" w:rsidRPr="00951F0F">
        <w:rPr>
          <w:rFonts w:cstheme="minorHAnsi"/>
        </w:rPr>
        <w:t>For example, t</w:t>
      </w:r>
      <w:r w:rsidR="00083568" w:rsidRPr="00951F0F">
        <w:rPr>
          <w:rFonts w:cstheme="minorHAnsi"/>
        </w:rPr>
        <w:t>he semi-empirical ODP is given by</w:t>
      </w:r>
      <w:r w:rsidR="00083568" w:rsidRPr="00951F0F">
        <w:rPr>
          <w:rFonts w:cstheme="minorHAnsi"/>
          <w:vertAlign w:val="superscript"/>
        </w:rPr>
        <w:t>29</w:t>
      </w:r>
    </w:p>
    <w:p w14:paraId="69ADC912" w14:textId="00F41CCA" w:rsidR="00CA0363" w:rsidRPr="00951F0F" w:rsidRDefault="00402810" w:rsidP="00CA0363">
      <w:pPr>
        <w:spacing w:after="60" w:line="480" w:lineRule="auto"/>
        <w:jc w:val="both"/>
        <w:rPr>
          <w:rFonts w:eastAsiaTheme="minorEastAsia" w:cstheme="minorHAnsi"/>
        </w:rPr>
      </w:pPr>
      <m:oMathPara>
        <m:oMath>
          <m:sSub>
            <m:sSubPr>
              <m:ctrlPr>
                <w:rPr>
                  <w:rFonts w:ascii="Cambria Math" w:hAnsi="Cambria Math" w:cstheme="minorHAnsi"/>
                  <w:i/>
                </w:rPr>
              </m:ctrlPr>
            </m:sSubPr>
            <m:e>
              <m:r>
                <w:rPr>
                  <w:rFonts w:ascii="Cambria Math" w:hAnsi="Cambria Math" w:cstheme="minorHAnsi"/>
                </w:rPr>
                <m:t>ODP</m:t>
              </m:r>
            </m:e>
            <m:sub>
              <m:r>
                <w:rPr>
                  <w:rFonts w:ascii="Cambria Math" w:hAnsi="Cambria Math" w:cstheme="minorHAnsi"/>
                </w:rPr>
                <m:t>i</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φ</m:t>
              </m:r>
            </m:e>
            <m:sub>
              <m:r>
                <w:rPr>
                  <w:rFonts w:ascii="Cambria Math" w:hAnsi="Cambria Math" w:cstheme="minorHAnsi"/>
                </w:rPr>
                <m:t>i</m:t>
              </m:r>
            </m:sub>
          </m:sSub>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α</m:t>
              </m:r>
            </m:e>
            <m:sub>
              <m:r>
                <w:rPr>
                  <w:rFonts w:ascii="Cambria Math" w:hAnsi="Cambria Math" w:cstheme="minorHAnsi"/>
                </w:rPr>
                <m:t>i</m:t>
              </m:r>
            </m:sub>
          </m:sSub>
          <m:r>
            <w:rPr>
              <w:rFonts w:ascii="Cambria Math" w:hAnsi="Cambria Math" w:cstheme="minorHAnsi"/>
            </w:rPr>
            <m:t xml:space="preserve"> </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τ</m:t>
                  </m:r>
                </m:e>
                <m:sub>
                  <m:r>
                    <w:rPr>
                      <w:rFonts w:ascii="Cambria Math" w:hAnsi="Cambria Math" w:cstheme="minorHAnsi"/>
                    </w:rPr>
                    <m:t>i</m:t>
                  </m:r>
                </m:sub>
              </m:sSub>
            </m:num>
            <m:den>
              <m:sSub>
                <m:sSubPr>
                  <m:ctrlPr>
                    <w:rPr>
                      <w:rFonts w:ascii="Cambria Math" w:hAnsi="Cambria Math" w:cstheme="minorHAnsi"/>
                      <w:i/>
                    </w:rPr>
                  </m:ctrlPr>
                </m:sSubPr>
                <m:e>
                  <m:r>
                    <w:rPr>
                      <w:rFonts w:ascii="Cambria Math" w:hAnsi="Cambria Math" w:cstheme="minorHAnsi"/>
                    </w:rPr>
                    <m:t>τ</m:t>
                  </m:r>
                </m:e>
                <m:sub>
                  <m:r>
                    <w:rPr>
                      <w:rFonts w:ascii="Cambria Math" w:hAnsi="Cambria Math" w:cstheme="minorHAnsi"/>
                    </w:rPr>
                    <m:t>cfc11</m:t>
                  </m:r>
                </m:sub>
              </m:sSub>
            </m:den>
          </m:f>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M</m:t>
                  </m:r>
                </m:e>
                <m:sub>
                  <m:r>
                    <w:rPr>
                      <w:rFonts w:ascii="Cambria Math" w:hAnsi="Cambria Math" w:cstheme="minorHAnsi"/>
                    </w:rPr>
                    <m:t>cfc11</m:t>
                  </m:r>
                </m:sub>
              </m:sSub>
            </m:num>
            <m:den>
              <m:sSub>
                <m:sSubPr>
                  <m:ctrlPr>
                    <w:rPr>
                      <w:rFonts w:ascii="Cambria Math" w:hAnsi="Cambria Math" w:cstheme="minorHAnsi"/>
                      <w:i/>
                    </w:rPr>
                  </m:ctrlPr>
                </m:sSubPr>
                <m:e>
                  <m:r>
                    <w:rPr>
                      <w:rFonts w:ascii="Cambria Math" w:hAnsi="Cambria Math" w:cstheme="minorHAnsi"/>
                    </w:rPr>
                    <m:t>M</m:t>
                  </m:r>
                </m:e>
                <m:sub>
                  <m:r>
                    <w:rPr>
                      <w:rFonts w:ascii="Cambria Math" w:hAnsi="Cambria Math" w:cstheme="minorHAnsi"/>
                    </w:rPr>
                    <m:t>i</m:t>
                  </m:r>
                </m:sub>
              </m:sSub>
            </m:den>
          </m:f>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i</m:t>
                  </m:r>
                </m:sub>
              </m:sSub>
            </m:num>
            <m:den>
              <m:r>
                <w:rPr>
                  <w:rFonts w:ascii="Cambria Math" w:hAnsi="Cambria Math" w:cstheme="minorHAnsi"/>
                </w:rPr>
                <m:t>3</m:t>
              </m:r>
            </m:den>
          </m:f>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φ</m:t>
              </m:r>
            </m:e>
            <m:sub>
              <m:r>
                <w:rPr>
                  <w:rFonts w:ascii="Cambria Math" w:hAnsi="Cambria Math" w:cstheme="minorHAnsi"/>
                </w:rPr>
                <m:t>i</m:t>
              </m:r>
            </m:sub>
          </m:sSub>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α</m:t>
              </m:r>
            </m:e>
            <m:sub>
              <m:r>
                <w:rPr>
                  <w:rFonts w:ascii="Cambria Math" w:hAnsi="Cambria Math" w:cstheme="minorHAnsi"/>
                </w:rPr>
                <m:t>i</m:t>
              </m:r>
            </m:sub>
          </m:sSub>
          <m:r>
            <w:rPr>
              <w:rFonts w:ascii="Cambria Math" w:hAnsi="Cambria Math" w:cstheme="minorHAnsi"/>
            </w:rPr>
            <m:t xml:space="preserve">  </m:t>
          </m:r>
          <m:sSub>
            <m:sSubPr>
              <m:ctrlPr>
                <w:rPr>
                  <w:rFonts w:ascii="Cambria Math" w:hAnsi="Cambria Math" w:cstheme="minorHAnsi"/>
                  <w:i/>
                </w:rPr>
              </m:ctrlPr>
            </m:sSubPr>
            <m:e>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τ N</m:t>
                      </m:r>
                    </m:num>
                    <m:den>
                      <m:r>
                        <w:rPr>
                          <w:rFonts w:ascii="Cambria Math" w:hAnsi="Cambria Math" w:cstheme="minorHAnsi"/>
                        </w:rPr>
                        <m:t>M</m:t>
                      </m:r>
                    </m:den>
                  </m:f>
                </m:e>
              </m:d>
            </m:e>
            <m:sub>
              <m:r>
                <w:rPr>
                  <w:rFonts w:ascii="Cambria Math" w:hAnsi="Cambria Math" w:cstheme="minorHAnsi"/>
                </w:rPr>
                <m:t>i</m:t>
              </m:r>
            </m:sub>
          </m:sSub>
          <m:r>
            <w:rPr>
              <w:rFonts w:ascii="Cambria Math" w:hAnsi="Cambria Math" w:cstheme="minorHAnsi"/>
            </w:rPr>
            <m:t>/</m:t>
          </m:r>
          <m:d>
            <m:dPr>
              <m:ctrlPr>
                <w:rPr>
                  <w:rFonts w:ascii="Cambria Math" w:hAnsi="Cambria Math" w:cstheme="minorHAnsi"/>
                  <w:i/>
                </w:rPr>
              </m:ctrlPr>
            </m:dPr>
            <m:e>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3 τ</m:t>
                      </m:r>
                    </m:e>
                    <m:sub>
                      <m:r>
                        <w:rPr>
                          <w:rFonts w:ascii="Cambria Math" w:hAnsi="Cambria Math" w:cstheme="minorHAnsi"/>
                        </w:rPr>
                        <m:t>cfc11</m:t>
                      </m:r>
                    </m:sub>
                  </m:sSub>
                </m:num>
                <m:den>
                  <m:sSub>
                    <m:sSubPr>
                      <m:ctrlPr>
                        <w:rPr>
                          <w:rFonts w:ascii="Cambria Math" w:hAnsi="Cambria Math" w:cstheme="minorHAnsi"/>
                          <w:i/>
                        </w:rPr>
                      </m:ctrlPr>
                    </m:sSubPr>
                    <m:e>
                      <m:r>
                        <w:rPr>
                          <w:rFonts w:ascii="Cambria Math" w:hAnsi="Cambria Math" w:cstheme="minorHAnsi"/>
                        </w:rPr>
                        <m:t>M</m:t>
                      </m:r>
                    </m:e>
                    <m:sub>
                      <m:r>
                        <w:rPr>
                          <w:rFonts w:ascii="Cambria Math" w:hAnsi="Cambria Math" w:cstheme="minorHAnsi"/>
                        </w:rPr>
                        <m:t>cfc11</m:t>
                      </m:r>
                    </m:sub>
                  </m:sSub>
                </m:den>
              </m:f>
            </m:e>
          </m:d>
        </m:oMath>
      </m:oMathPara>
    </w:p>
    <w:p w14:paraId="4B07B5F1" w14:textId="06ED692D" w:rsidR="00CA0363" w:rsidRPr="00951F0F" w:rsidRDefault="00CA0363" w:rsidP="00CA0363">
      <w:pPr>
        <w:spacing w:after="60" w:line="480" w:lineRule="auto"/>
        <w:jc w:val="both"/>
        <w:rPr>
          <w:rFonts w:cstheme="minorHAnsi"/>
        </w:rPr>
      </w:pPr>
      <w:r w:rsidRPr="00951F0F">
        <w:rPr>
          <w:rFonts w:cstheme="minorHAnsi"/>
        </w:rPr>
        <w:t xml:space="preserve">where </w:t>
      </w:r>
      <w:r w:rsidRPr="00951F0F">
        <w:rPr>
          <w:rFonts w:cstheme="minorHAnsi"/>
          <w:i/>
        </w:rPr>
        <w:t>φ</w:t>
      </w:r>
      <w:r w:rsidRPr="00951F0F">
        <w:rPr>
          <w:rFonts w:cstheme="minorHAnsi"/>
        </w:rPr>
        <w:t xml:space="preserve"> is the mean fractional release in stratosphere of species </w:t>
      </w:r>
      <w:proofErr w:type="spellStart"/>
      <w:r w:rsidRPr="00951F0F">
        <w:rPr>
          <w:rFonts w:cstheme="minorHAnsi"/>
          <w:i/>
        </w:rPr>
        <w:t>i</w:t>
      </w:r>
      <w:proofErr w:type="spellEnd"/>
      <w:r w:rsidRPr="00951F0F">
        <w:rPr>
          <w:rFonts w:cstheme="minorHAnsi"/>
        </w:rPr>
        <w:t xml:space="preserve"> compared to CFC-11, </w:t>
      </w:r>
      <w:r w:rsidRPr="00951F0F">
        <w:rPr>
          <w:rFonts w:cstheme="minorHAnsi"/>
          <w:i/>
        </w:rPr>
        <w:t>α</w:t>
      </w:r>
      <w:r w:rsidRPr="00951F0F">
        <w:rPr>
          <w:rFonts w:cstheme="minorHAnsi"/>
        </w:rPr>
        <w:t xml:space="preserve"> is the relative efficiency factor for bromine species (= 1 for chlorine species), </w:t>
      </w:r>
      <w:r w:rsidRPr="00951F0F">
        <w:rPr>
          <w:rFonts w:cstheme="minorHAnsi"/>
          <w:i/>
        </w:rPr>
        <w:t>τ</w:t>
      </w:r>
      <w:r w:rsidRPr="00951F0F">
        <w:rPr>
          <w:rFonts w:cstheme="minorHAnsi"/>
        </w:rPr>
        <w:t xml:space="preserve"> is </w:t>
      </w:r>
      <w:r w:rsidR="00630695" w:rsidRPr="00951F0F">
        <w:rPr>
          <w:rFonts w:cstheme="minorHAnsi"/>
        </w:rPr>
        <w:t xml:space="preserve">here </w:t>
      </w:r>
      <w:r w:rsidRPr="00951F0F">
        <w:rPr>
          <w:rFonts w:cstheme="minorHAnsi"/>
        </w:rPr>
        <w:t xml:space="preserve">the total atmospheric lifetime, </w:t>
      </w:r>
      <w:r w:rsidRPr="00951F0F">
        <w:rPr>
          <w:rFonts w:cstheme="minorHAnsi"/>
          <w:i/>
        </w:rPr>
        <w:t>M</w:t>
      </w:r>
      <w:r w:rsidRPr="00951F0F">
        <w:rPr>
          <w:rFonts w:cstheme="minorHAnsi"/>
        </w:rPr>
        <w:t xml:space="preserve"> is the relative molecular mass and </w:t>
      </w:r>
      <w:r w:rsidRPr="00951F0F">
        <w:rPr>
          <w:rFonts w:cstheme="minorHAnsi"/>
          <w:i/>
        </w:rPr>
        <w:t>N</w:t>
      </w:r>
      <w:r w:rsidRPr="00951F0F">
        <w:rPr>
          <w:rFonts w:cstheme="minorHAnsi"/>
        </w:rPr>
        <w:t xml:space="preserve"> is the number of Cl (or Br) atoms in the molecule. Our relationship (Equation 1) for the IOD of a species </w:t>
      </w:r>
      <w:proofErr w:type="spellStart"/>
      <w:r w:rsidRPr="00951F0F">
        <w:rPr>
          <w:rFonts w:cstheme="minorHAnsi"/>
          <w:i/>
        </w:rPr>
        <w:t>i</w:t>
      </w:r>
      <w:proofErr w:type="spellEnd"/>
      <w:r w:rsidRPr="00951F0F">
        <w:rPr>
          <w:rFonts w:cstheme="minorHAnsi"/>
        </w:rPr>
        <w:t xml:space="preserve"> derived from the CCM results is:</w:t>
      </w:r>
    </w:p>
    <w:p w14:paraId="01DBC8CE" w14:textId="2359F6AD" w:rsidR="00CA0363" w:rsidRPr="00951F0F" w:rsidRDefault="00CA0363" w:rsidP="00CA0363">
      <w:pPr>
        <w:spacing w:after="60" w:line="480" w:lineRule="auto"/>
        <w:jc w:val="both"/>
        <w:rPr>
          <w:rFonts w:cstheme="minorHAnsi"/>
        </w:rPr>
      </w:pPr>
      <m:oMathPara>
        <m:oMath>
          <m:r>
            <w:rPr>
              <w:rFonts w:ascii="Cambria Math" w:hAnsi="Cambria Math" w:cstheme="minorHAnsi"/>
            </w:rPr>
            <w:lastRenderedPageBreak/>
            <m:t xml:space="preserve">IOD=K </m:t>
          </m:r>
          <m:sSub>
            <m:sSubPr>
              <m:ctrlPr>
                <w:rPr>
                  <w:rFonts w:ascii="Cambria Math" w:hAnsi="Cambria Math" w:cstheme="minorHAnsi"/>
                  <w:i/>
                </w:rPr>
              </m:ctrlPr>
            </m:sSubPr>
            <m:e>
              <m:r>
                <w:rPr>
                  <w:rFonts w:ascii="Cambria Math" w:hAnsi="Cambria Math" w:cstheme="minorHAnsi"/>
                </w:rPr>
                <m:t>E</m:t>
              </m:r>
            </m:e>
            <m:sub>
              <m:r>
                <w:rPr>
                  <w:rFonts w:ascii="Cambria Math" w:hAnsi="Cambria Math" w:cstheme="minorHAnsi"/>
                </w:rPr>
                <m:t>Eq</m:t>
              </m:r>
            </m:sub>
          </m:sSub>
          <m:r>
            <w:rPr>
              <w:rFonts w:ascii="Cambria Math" w:hAnsi="Cambria Math" w:cstheme="minorHAnsi"/>
            </w:rPr>
            <m:t xml:space="preserve"> </m:t>
          </m:r>
          <m:d>
            <m:dPr>
              <m:ctrlPr>
                <w:rPr>
                  <w:rFonts w:ascii="Cambria Math" w:hAnsi="Cambria Math" w:cstheme="minorHAnsi"/>
                  <w:i/>
                </w:rPr>
              </m:ctrlPr>
            </m:dPr>
            <m:e>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τ</m:t>
                      </m:r>
                    </m:e>
                    <m:sub>
                      <m:r>
                        <w:rPr>
                          <w:rFonts w:ascii="Cambria Math" w:hAnsi="Cambria Math" w:cstheme="minorHAnsi"/>
                        </w:rPr>
                        <m:t>atmos</m:t>
                      </m:r>
                    </m:sub>
                  </m:sSub>
                </m:num>
                <m:den>
                  <m:sSub>
                    <m:sSubPr>
                      <m:ctrlPr>
                        <w:rPr>
                          <w:rFonts w:ascii="Cambria Math" w:hAnsi="Cambria Math" w:cstheme="minorHAnsi"/>
                          <w:i/>
                        </w:rPr>
                      </m:ctrlPr>
                    </m:sSubPr>
                    <m:e>
                      <m:r>
                        <w:rPr>
                          <w:rFonts w:ascii="Cambria Math" w:hAnsi="Cambria Math" w:cstheme="minorHAnsi"/>
                        </w:rPr>
                        <m:t>τ</m:t>
                      </m:r>
                    </m:e>
                    <m:sub>
                      <m:r>
                        <w:rPr>
                          <w:rFonts w:ascii="Cambria Math" w:hAnsi="Cambria Math" w:cstheme="minorHAnsi"/>
                        </w:rPr>
                        <m:t>strat</m:t>
                      </m:r>
                    </m:sub>
                  </m:sSub>
                </m:den>
              </m:f>
            </m:e>
          </m:d>
          <m:r>
            <w:rPr>
              <w:rFonts w:ascii="Cambria Math" w:hAnsi="Cambria Math" w:cstheme="minorHAnsi"/>
            </w:rPr>
            <m:t xml:space="preserve"> </m:t>
          </m:r>
        </m:oMath>
      </m:oMathPara>
    </w:p>
    <w:p w14:paraId="67B329AD" w14:textId="47E9DA6A" w:rsidR="00CA0363" w:rsidRPr="00951F0F" w:rsidRDefault="00CA0363" w:rsidP="00CA0363">
      <w:pPr>
        <w:spacing w:after="60" w:line="480" w:lineRule="auto"/>
        <w:jc w:val="both"/>
        <w:rPr>
          <w:rFonts w:cstheme="minorHAnsi"/>
        </w:rPr>
      </w:pPr>
      <w:r w:rsidRPr="00951F0F">
        <w:rPr>
          <w:rFonts w:cstheme="minorHAnsi"/>
        </w:rPr>
        <w:t xml:space="preserve">where </w:t>
      </w:r>
      <w:r w:rsidRPr="00951F0F">
        <w:rPr>
          <w:rFonts w:cstheme="minorHAnsi"/>
          <w:i/>
        </w:rPr>
        <w:t>K</w:t>
      </w:r>
      <w:r w:rsidRPr="00951F0F">
        <w:rPr>
          <w:rFonts w:cstheme="minorHAnsi"/>
        </w:rPr>
        <w:t xml:space="preserve"> is the slope of Figure 3, </w:t>
      </w:r>
      <w:proofErr w:type="spellStart"/>
      <w:r w:rsidR="00E55631" w:rsidRPr="00951F0F">
        <w:rPr>
          <w:rFonts w:cstheme="minorHAnsi"/>
          <w:i/>
        </w:rPr>
        <w:t>τ</w:t>
      </w:r>
      <w:r w:rsidR="00E55631" w:rsidRPr="00951F0F">
        <w:rPr>
          <w:rFonts w:cstheme="minorHAnsi"/>
          <w:i/>
          <w:vertAlign w:val="subscript"/>
        </w:rPr>
        <w:t>atmos</w:t>
      </w:r>
      <w:proofErr w:type="spellEnd"/>
      <w:r w:rsidR="00E55631" w:rsidRPr="00951F0F">
        <w:rPr>
          <w:rFonts w:cstheme="minorHAnsi"/>
          <w:i/>
        </w:rPr>
        <w:t xml:space="preserve"> </w:t>
      </w:r>
      <w:r w:rsidR="00E55631" w:rsidRPr="00951F0F">
        <w:rPr>
          <w:rFonts w:cstheme="minorHAnsi"/>
        </w:rPr>
        <w:t>and</w:t>
      </w:r>
      <w:r w:rsidR="00E55631" w:rsidRPr="00951F0F">
        <w:rPr>
          <w:rFonts w:cstheme="minorHAnsi"/>
          <w:i/>
        </w:rPr>
        <w:t xml:space="preserve"> </w:t>
      </w:r>
      <w:proofErr w:type="spellStart"/>
      <w:r w:rsidRPr="00951F0F">
        <w:rPr>
          <w:rFonts w:cstheme="minorHAnsi"/>
          <w:i/>
        </w:rPr>
        <w:t>τ</w:t>
      </w:r>
      <w:r w:rsidRPr="00951F0F">
        <w:rPr>
          <w:rFonts w:cstheme="minorHAnsi"/>
          <w:i/>
          <w:vertAlign w:val="subscript"/>
        </w:rPr>
        <w:t>strat</w:t>
      </w:r>
      <w:proofErr w:type="spellEnd"/>
      <w:r w:rsidR="00E55631" w:rsidRPr="00951F0F">
        <w:rPr>
          <w:rFonts w:cstheme="minorHAnsi"/>
        </w:rPr>
        <w:t xml:space="preserve"> are</w:t>
      </w:r>
      <w:r w:rsidRPr="00951F0F">
        <w:rPr>
          <w:rFonts w:cstheme="minorHAnsi"/>
        </w:rPr>
        <w:t xml:space="preserve"> the </w:t>
      </w:r>
      <w:r w:rsidR="00E55631" w:rsidRPr="00951F0F">
        <w:rPr>
          <w:rFonts w:cstheme="minorHAnsi"/>
        </w:rPr>
        <w:t xml:space="preserve">atmospheric and </w:t>
      </w:r>
      <w:r w:rsidRPr="00951F0F">
        <w:rPr>
          <w:rFonts w:cstheme="minorHAnsi"/>
        </w:rPr>
        <w:t>stratospheric lifetime</w:t>
      </w:r>
      <w:r w:rsidR="00E55631" w:rsidRPr="00951F0F">
        <w:rPr>
          <w:rFonts w:cstheme="minorHAnsi"/>
        </w:rPr>
        <w:t>s</w:t>
      </w:r>
      <w:r w:rsidRPr="00951F0F">
        <w:rPr>
          <w:rFonts w:cstheme="minorHAnsi"/>
        </w:rPr>
        <w:t xml:space="preserve">, </w:t>
      </w:r>
      <w:r w:rsidR="00E55631" w:rsidRPr="00951F0F">
        <w:rPr>
          <w:rFonts w:cstheme="minorHAnsi"/>
        </w:rPr>
        <w:t xml:space="preserve">respectively, and </w:t>
      </w:r>
      <w:proofErr w:type="spellStart"/>
      <w:r w:rsidR="00E55631" w:rsidRPr="00951F0F">
        <w:rPr>
          <w:rFonts w:cstheme="minorHAnsi"/>
          <w:i/>
        </w:rPr>
        <w:t>E</w:t>
      </w:r>
      <w:r w:rsidR="00E55631" w:rsidRPr="00951F0F">
        <w:rPr>
          <w:rFonts w:cstheme="minorHAnsi"/>
          <w:i/>
          <w:vertAlign w:val="subscript"/>
        </w:rPr>
        <w:t>Eq</w:t>
      </w:r>
      <w:proofErr w:type="spellEnd"/>
      <w:r w:rsidR="00E55631" w:rsidRPr="00951F0F">
        <w:rPr>
          <w:rFonts w:cstheme="minorHAnsi"/>
        </w:rPr>
        <w:t xml:space="preserve"> </w:t>
      </w:r>
      <w:r w:rsidRPr="00951F0F">
        <w:rPr>
          <w:rFonts w:cstheme="minorHAnsi"/>
        </w:rPr>
        <w:t>is the total equivalent Cl emissi</w:t>
      </w:r>
      <w:r w:rsidR="00E55631" w:rsidRPr="00951F0F">
        <w:rPr>
          <w:rFonts w:cstheme="minorHAnsi"/>
        </w:rPr>
        <w:t>ons</w:t>
      </w:r>
      <w:r w:rsidRPr="00951F0F">
        <w:rPr>
          <w:rFonts w:cstheme="minorHAnsi"/>
        </w:rPr>
        <w:t xml:space="preserve">. As different species have the same slope in Figure </w:t>
      </w:r>
      <w:proofErr w:type="gramStart"/>
      <w:r w:rsidRPr="00951F0F">
        <w:rPr>
          <w:rFonts w:cstheme="minorHAnsi"/>
        </w:rPr>
        <w:t>3</w:t>
      </w:r>
      <w:proofErr w:type="gramEnd"/>
      <w:r w:rsidRPr="00951F0F">
        <w:rPr>
          <w:rFonts w:cstheme="minorHAnsi"/>
        </w:rPr>
        <w:t xml:space="preserve"> we can compare the ratio of integrated ozone depletion due to emissions of species </w:t>
      </w:r>
      <w:proofErr w:type="spellStart"/>
      <w:r w:rsidRPr="00951F0F">
        <w:rPr>
          <w:rFonts w:cstheme="minorHAnsi"/>
          <w:i/>
        </w:rPr>
        <w:t>i</w:t>
      </w:r>
      <w:proofErr w:type="spellEnd"/>
      <w:r w:rsidRPr="00951F0F">
        <w:rPr>
          <w:rFonts w:cstheme="minorHAnsi"/>
        </w:rPr>
        <w:t xml:space="preserve"> and CFC-11 as:</w:t>
      </w:r>
    </w:p>
    <w:p w14:paraId="5F52BD72" w14:textId="0B72A11A" w:rsidR="00CA0363" w:rsidRPr="00951F0F" w:rsidRDefault="00402810" w:rsidP="00CA0363">
      <w:pPr>
        <w:spacing w:after="60" w:line="480" w:lineRule="auto"/>
        <w:jc w:val="both"/>
        <w:rPr>
          <w:rFonts w:cstheme="minorHAnsi"/>
        </w:rPr>
      </w:pPr>
      <m:oMathPara>
        <m:oMath>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IOD</m:t>
                  </m:r>
                </m:e>
                <m:sub>
                  <m:r>
                    <w:rPr>
                      <w:rFonts w:ascii="Cambria Math" w:hAnsi="Cambria Math" w:cstheme="minorHAnsi"/>
                    </w:rPr>
                    <m:t>i</m:t>
                  </m:r>
                </m:sub>
              </m:sSub>
            </m:num>
            <m:den>
              <m:sSub>
                <m:sSubPr>
                  <m:ctrlPr>
                    <w:rPr>
                      <w:rFonts w:ascii="Cambria Math" w:hAnsi="Cambria Math" w:cstheme="minorHAnsi"/>
                      <w:i/>
                    </w:rPr>
                  </m:ctrlPr>
                </m:sSubPr>
                <m:e>
                  <m:r>
                    <w:rPr>
                      <w:rFonts w:ascii="Cambria Math" w:hAnsi="Cambria Math" w:cstheme="minorHAnsi"/>
                    </w:rPr>
                    <m:t>IOD</m:t>
                  </m:r>
                </m:e>
                <m:sub>
                  <m:r>
                    <w:rPr>
                      <w:rFonts w:ascii="Cambria Math" w:hAnsi="Cambria Math" w:cstheme="minorHAnsi"/>
                    </w:rPr>
                    <m:t>CFC11</m:t>
                  </m:r>
                </m:sub>
              </m:sSub>
            </m:den>
          </m:f>
          <m:r>
            <w:rPr>
              <w:rFonts w:ascii="Cambria Math" w:hAnsi="Cambria Math" w:cstheme="minorHAnsi"/>
            </w:rPr>
            <m:t xml:space="preserve">= </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τ</m:t>
                  </m:r>
                </m:e>
                <m:sub>
                  <m:r>
                    <w:rPr>
                      <w:rFonts w:ascii="Cambria Math" w:hAnsi="Cambria Math" w:cstheme="minorHAnsi"/>
                    </w:rPr>
                    <m:t>atmos,i</m:t>
                  </m:r>
                </m:sub>
              </m:sSub>
              <m:r>
                <w:rPr>
                  <w:rFonts w:ascii="Cambria Math" w:hAnsi="Cambria Math" w:cstheme="minorHAnsi"/>
                </w:rPr>
                <m:t xml:space="preserve"> </m:t>
              </m:r>
            </m:num>
            <m:den>
              <m:sSub>
                <m:sSubPr>
                  <m:ctrlPr>
                    <w:rPr>
                      <w:rFonts w:ascii="Cambria Math" w:hAnsi="Cambria Math" w:cstheme="minorHAnsi"/>
                      <w:i/>
                    </w:rPr>
                  </m:ctrlPr>
                </m:sSubPr>
                <m:e>
                  <m:r>
                    <w:rPr>
                      <w:rFonts w:ascii="Cambria Math" w:hAnsi="Cambria Math" w:cstheme="minorHAnsi"/>
                    </w:rPr>
                    <m:t>τ</m:t>
                  </m:r>
                </m:e>
                <m:sub>
                  <m:r>
                    <w:rPr>
                      <w:rFonts w:ascii="Cambria Math" w:hAnsi="Cambria Math" w:cstheme="minorHAnsi"/>
                    </w:rPr>
                    <m:t>strat,i</m:t>
                  </m:r>
                </m:sub>
              </m:sSub>
              <m:r>
                <w:rPr>
                  <w:rFonts w:ascii="Cambria Math" w:hAnsi="Cambria Math" w:cstheme="minorHAnsi"/>
                </w:rPr>
                <m:t xml:space="preserve"> </m:t>
              </m:r>
            </m:den>
          </m:f>
          <m:r>
            <w:rPr>
              <w:rFonts w:ascii="Cambria Math" w:hAnsi="Cambria Math" w:cstheme="minorHAnsi"/>
            </w:rPr>
            <m:t xml:space="preserve"> </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E</m:t>
                  </m:r>
                </m:e>
                <m:sub>
                  <m:r>
                    <w:rPr>
                      <w:rFonts w:ascii="Cambria Math" w:hAnsi="Cambria Math" w:cstheme="minorHAnsi"/>
                    </w:rPr>
                    <m:t>Eq,i</m:t>
                  </m:r>
                </m:sub>
              </m:sSub>
            </m:num>
            <m:den>
              <m:sSub>
                <m:sSubPr>
                  <m:ctrlPr>
                    <w:rPr>
                      <w:rFonts w:ascii="Cambria Math" w:hAnsi="Cambria Math" w:cstheme="minorHAnsi"/>
                      <w:i/>
                    </w:rPr>
                  </m:ctrlPr>
                </m:sSubPr>
                <m:e>
                  <m:r>
                    <w:rPr>
                      <w:rFonts w:ascii="Cambria Math" w:hAnsi="Cambria Math" w:cstheme="minorHAnsi"/>
                    </w:rPr>
                    <m:t>E</m:t>
                  </m:r>
                </m:e>
                <m:sub>
                  <m:r>
                    <w:rPr>
                      <w:rFonts w:ascii="Cambria Math" w:hAnsi="Cambria Math" w:cstheme="minorHAnsi"/>
                    </w:rPr>
                    <m:t>Eq,CFC11</m:t>
                  </m:r>
                </m:sub>
              </m:sSub>
            </m:den>
          </m:f>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α</m:t>
              </m:r>
            </m:e>
            <m:sub>
              <m:r>
                <w:rPr>
                  <w:rFonts w:ascii="Cambria Math" w:hAnsi="Cambria Math" w:cstheme="minorHAnsi"/>
                </w:rPr>
                <m:t>i</m:t>
              </m:r>
            </m:sub>
          </m:sSub>
          <m:r>
            <w:rPr>
              <w:rFonts w:ascii="Cambria Math" w:hAnsi="Cambria Math" w:cstheme="minorHAnsi"/>
            </w:rPr>
            <m:t xml:space="preserve"> </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M</m:t>
                  </m:r>
                </m:e>
                <m:sub>
                  <m:r>
                    <w:rPr>
                      <w:rFonts w:ascii="Cambria Math" w:hAnsi="Cambria Math" w:cstheme="minorHAnsi"/>
                    </w:rPr>
                    <m:t>CFC11</m:t>
                  </m:r>
                </m:sub>
              </m:sSub>
            </m:num>
            <m:den>
              <m:sSub>
                <m:sSubPr>
                  <m:ctrlPr>
                    <w:rPr>
                      <w:rFonts w:ascii="Cambria Math" w:hAnsi="Cambria Math" w:cstheme="minorHAnsi"/>
                      <w:i/>
                    </w:rPr>
                  </m:ctrlPr>
                </m:sSubPr>
                <m:e>
                  <m:r>
                    <w:rPr>
                      <w:rFonts w:ascii="Cambria Math" w:hAnsi="Cambria Math" w:cstheme="minorHAnsi"/>
                    </w:rPr>
                    <m:t>M</m:t>
                  </m:r>
                </m:e>
                <m:sub>
                  <m:r>
                    <w:rPr>
                      <w:rFonts w:ascii="Cambria Math" w:hAnsi="Cambria Math" w:cstheme="minorHAnsi"/>
                    </w:rPr>
                    <m:t>i</m:t>
                  </m:r>
                </m:sub>
              </m:sSub>
            </m:den>
          </m:f>
          <m:r>
            <w:rPr>
              <w:rFonts w:ascii="Cambria Math" w:hAnsi="Cambria Math" w:cstheme="minorHAnsi"/>
            </w:rPr>
            <m:t xml:space="preserve"> </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i</m:t>
                  </m:r>
                </m:sub>
              </m:sSub>
            </m:num>
            <m:den>
              <m:r>
                <w:rPr>
                  <w:rFonts w:ascii="Cambria Math" w:hAnsi="Cambria Math" w:cstheme="minorHAnsi"/>
                </w:rPr>
                <m:t>3</m:t>
              </m:r>
            </m:den>
          </m:f>
          <m:r>
            <w:rPr>
              <w:rFonts w:ascii="Cambria Math" w:hAnsi="Cambria Math" w:cstheme="minorHAnsi"/>
            </w:rPr>
            <m:t xml:space="preserve"> </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τ</m:t>
                  </m:r>
                </m:e>
                <m:sub>
                  <m:r>
                    <w:rPr>
                      <w:rFonts w:ascii="Cambria Math" w:hAnsi="Cambria Math" w:cstheme="minorHAnsi"/>
                    </w:rPr>
                    <m:t>atmos,i</m:t>
                  </m:r>
                </m:sub>
              </m:sSub>
            </m:num>
            <m:den>
              <m:sSub>
                <m:sSubPr>
                  <m:ctrlPr>
                    <w:rPr>
                      <w:rFonts w:ascii="Cambria Math" w:hAnsi="Cambria Math" w:cstheme="minorHAnsi"/>
                      <w:i/>
                    </w:rPr>
                  </m:ctrlPr>
                </m:sSubPr>
                <m:e>
                  <m:r>
                    <w:rPr>
                      <w:rFonts w:ascii="Cambria Math" w:hAnsi="Cambria Math" w:cstheme="minorHAnsi"/>
                    </w:rPr>
                    <m:t>τ</m:t>
                  </m:r>
                </m:e>
                <m:sub>
                  <m:r>
                    <w:rPr>
                      <w:rFonts w:ascii="Cambria Math" w:hAnsi="Cambria Math" w:cstheme="minorHAnsi"/>
                    </w:rPr>
                    <m:t>strat,i</m:t>
                  </m:r>
                </m:sub>
              </m:sSub>
            </m:den>
          </m:f>
          <m:r>
            <w:rPr>
              <w:rFonts w:ascii="Cambria Math" w:hAnsi="Cambria Math" w:cstheme="minorHAnsi"/>
            </w:rPr>
            <m:t xml:space="preserve"> </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E</m:t>
                  </m:r>
                </m:e>
                <m:sub>
                  <m:r>
                    <w:rPr>
                      <w:rFonts w:ascii="Cambria Math" w:hAnsi="Cambria Math" w:cstheme="minorHAnsi"/>
                    </w:rPr>
                    <m:t>i</m:t>
                  </m:r>
                </m:sub>
              </m:sSub>
            </m:num>
            <m:den>
              <m:sSub>
                <m:sSubPr>
                  <m:ctrlPr>
                    <w:rPr>
                      <w:rFonts w:ascii="Cambria Math" w:hAnsi="Cambria Math" w:cstheme="minorHAnsi"/>
                      <w:i/>
                    </w:rPr>
                  </m:ctrlPr>
                </m:sSubPr>
                <m:e>
                  <m:r>
                    <w:rPr>
                      <w:rFonts w:ascii="Cambria Math" w:hAnsi="Cambria Math" w:cstheme="minorHAnsi"/>
                    </w:rPr>
                    <m:t>E</m:t>
                  </m:r>
                </m:e>
                <m:sub>
                  <m:r>
                    <w:rPr>
                      <w:rFonts w:ascii="Cambria Math" w:hAnsi="Cambria Math" w:cstheme="minorHAnsi"/>
                    </w:rPr>
                    <m:t>CFC11</m:t>
                  </m:r>
                </m:sub>
              </m:sSub>
            </m:den>
          </m:f>
          <m:r>
            <w:rPr>
              <w:rFonts w:ascii="Cambria Math" w:hAnsi="Cambria Math" w:cstheme="minorHAnsi"/>
            </w:rPr>
            <m:t xml:space="preserve"> </m:t>
          </m:r>
        </m:oMath>
      </m:oMathPara>
    </w:p>
    <w:p w14:paraId="043AA8F7" w14:textId="5B0DC716" w:rsidR="00CA0363" w:rsidRPr="00951F0F" w:rsidRDefault="0002089C" w:rsidP="00CA0363">
      <w:pPr>
        <w:spacing w:after="60" w:line="480" w:lineRule="auto"/>
        <w:jc w:val="both"/>
        <w:rPr>
          <w:rFonts w:cstheme="minorHAnsi"/>
        </w:rPr>
      </w:pPr>
      <w:r w:rsidRPr="00951F0F">
        <w:rPr>
          <w:rFonts w:cstheme="minorHAnsi"/>
        </w:rPr>
        <w:t xml:space="preserve">where </w:t>
      </w:r>
      <w:proofErr w:type="spellStart"/>
      <w:r w:rsidRPr="00951F0F">
        <w:rPr>
          <w:rFonts w:cstheme="minorHAnsi"/>
          <w:i/>
        </w:rPr>
        <w:t>E</w:t>
      </w:r>
      <w:r w:rsidRPr="00951F0F">
        <w:rPr>
          <w:rFonts w:cstheme="minorHAnsi"/>
          <w:i/>
          <w:vertAlign w:val="subscript"/>
        </w:rPr>
        <w:t>i</w:t>
      </w:r>
      <w:proofErr w:type="spellEnd"/>
      <w:r w:rsidRPr="00951F0F">
        <w:rPr>
          <w:rFonts w:cstheme="minorHAnsi"/>
        </w:rPr>
        <w:t xml:space="preserve"> is the emitted mass of species </w:t>
      </w:r>
      <w:proofErr w:type="spellStart"/>
      <w:r w:rsidRPr="00951F0F">
        <w:rPr>
          <w:rFonts w:cstheme="minorHAnsi"/>
          <w:i/>
        </w:rPr>
        <w:t>i</w:t>
      </w:r>
      <w:proofErr w:type="spellEnd"/>
      <w:r w:rsidRPr="00951F0F">
        <w:rPr>
          <w:rFonts w:cstheme="minorHAnsi"/>
        </w:rPr>
        <w:t xml:space="preserve"> and </w:t>
      </w:r>
      <w:r w:rsidR="00CA0363" w:rsidRPr="00951F0F">
        <w:rPr>
          <w:rFonts w:cstheme="minorHAnsi"/>
        </w:rPr>
        <w:t xml:space="preserve">given that for CFC-11 </w:t>
      </w:r>
      <w:r w:rsidR="00CA0363" w:rsidRPr="00951F0F">
        <w:rPr>
          <w:rFonts w:cstheme="minorHAnsi"/>
          <w:i/>
        </w:rPr>
        <w:t xml:space="preserve">N </w:t>
      </w:r>
      <w:r w:rsidR="00CA0363" w:rsidRPr="00951F0F">
        <w:rPr>
          <w:rFonts w:cstheme="minorHAnsi"/>
        </w:rPr>
        <w:t xml:space="preserve">= 3, </w:t>
      </w:r>
      <w:r w:rsidR="00CA0363" w:rsidRPr="00951F0F">
        <w:rPr>
          <w:rFonts w:cstheme="minorHAnsi"/>
          <w:i/>
        </w:rPr>
        <w:t>α</w:t>
      </w:r>
      <w:r w:rsidR="00CA0363" w:rsidRPr="00951F0F">
        <w:rPr>
          <w:rFonts w:cstheme="minorHAnsi"/>
        </w:rPr>
        <w:t xml:space="preserve"> = 1 and, as there is no tropospheric loss, </w:t>
      </w:r>
      <w:proofErr w:type="spellStart"/>
      <w:r w:rsidR="00CA0363" w:rsidRPr="00951F0F">
        <w:rPr>
          <w:rFonts w:cstheme="minorHAnsi"/>
          <w:i/>
        </w:rPr>
        <w:t>τ</w:t>
      </w:r>
      <w:r w:rsidR="00B26E85" w:rsidRPr="00951F0F">
        <w:rPr>
          <w:rFonts w:cstheme="minorHAnsi"/>
          <w:i/>
          <w:vertAlign w:val="subscript"/>
        </w:rPr>
        <w:t>atmos</w:t>
      </w:r>
      <w:proofErr w:type="spellEnd"/>
      <w:r w:rsidR="00CA0363" w:rsidRPr="00951F0F">
        <w:rPr>
          <w:rFonts w:cstheme="minorHAnsi"/>
        </w:rPr>
        <w:t xml:space="preserve"> = </w:t>
      </w:r>
      <w:proofErr w:type="spellStart"/>
      <w:r w:rsidR="00CA0363" w:rsidRPr="00951F0F">
        <w:rPr>
          <w:rFonts w:cstheme="minorHAnsi"/>
          <w:i/>
        </w:rPr>
        <w:t>τ</w:t>
      </w:r>
      <w:r w:rsidR="00CA0363" w:rsidRPr="00951F0F">
        <w:rPr>
          <w:rFonts w:cstheme="minorHAnsi"/>
          <w:i/>
          <w:vertAlign w:val="subscript"/>
        </w:rPr>
        <w:t>strat</w:t>
      </w:r>
      <w:proofErr w:type="spellEnd"/>
      <w:r w:rsidR="00CA0363" w:rsidRPr="00951F0F">
        <w:rPr>
          <w:rFonts w:cstheme="minorHAnsi"/>
        </w:rPr>
        <w:t xml:space="preserve">. This ratio is related to the </w:t>
      </w:r>
      <w:r w:rsidR="004513EE" w:rsidRPr="00951F0F">
        <w:rPr>
          <w:rFonts w:cstheme="minorHAnsi"/>
        </w:rPr>
        <w:t xml:space="preserve">semi-empirical </w:t>
      </w:r>
      <w:r w:rsidR="00CA0363" w:rsidRPr="00951F0F">
        <w:rPr>
          <w:rFonts w:cstheme="minorHAnsi"/>
        </w:rPr>
        <w:t xml:space="preserve">ODP for species </w:t>
      </w:r>
      <w:proofErr w:type="spellStart"/>
      <w:r w:rsidR="00CA0363" w:rsidRPr="00951F0F">
        <w:rPr>
          <w:rFonts w:cstheme="minorHAnsi"/>
          <w:i/>
        </w:rPr>
        <w:t>i</w:t>
      </w:r>
      <w:proofErr w:type="spellEnd"/>
      <w:r w:rsidR="00CA0363" w:rsidRPr="00951F0F">
        <w:rPr>
          <w:rFonts w:cstheme="minorHAnsi"/>
        </w:rPr>
        <w:t xml:space="preserve"> by:</w:t>
      </w:r>
    </w:p>
    <w:p w14:paraId="5970CA72" w14:textId="22762A64" w:rsidR="00CA0363" w:rsidRPr="00951F0F" w:rsidRDefault="00CA0363" w:rsidP="00CA0363">
      <w:pPr>
        <w:spacing w:after="60" w:line="480" w:lineRule="auto"/>
        <w:jc w:val="both"/>
        <w:rPr>
          <w:rFonts w:cstheme="minorHAnsi"/>
        </w:rPr>
      </w:pPr>
      <m:oMathPara>
        <m:oMath>
          <m:r>
            <w:rPr>
              <w:rFonts w:ascii="Cambria Math" w:hAnsi="Cambria Math" w:cstheme="minorHAnsi"/>
            </w:rPr>
            <m:t xml:space="preserve"> </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IOD</m:t>
                  </m:r>
                </m:e>
                <m:sub>
                  <m:r>
                    <w:rPr>
                      <w:rFonts w:ascii="Cambria Math" w:hAnsi="Cambria Math" w:cstheme="minorHAnsi"/>
                    </w:rPr>
                    <m:t>i</m:t>
                  </m:r>
                </m:sub>
              </m:sSub>
            </m:num>
            <m:den>
              <m:sSub>
                <m:sSubPr>
                  <m:ctrlPr>
                    <w:rPr>
                      <w:rFonts w:ascii="Cambria Math" w:hAnsi="Cambria Math" w:cstheme="minorHAnsi"/>
                      <w:i/>
                    </w:rPr>
                  </m:ctrlPr>
                </m:sSubPr>
                <m:e>
                  <m:r>
                    <w:rPr>
                      <w:rFonts w:ascii="Cambria Math" w:hAnsi="Cambria Math" w:cstheme="minorHAnsi"/>
                    </w:rPr>
                    <m:t>IOD</m:t>
                  </m:r>
                </m:e>
                <m:sub>
                  <m:r>
                    <w:rPr>
                      <w:rFonts w:ascii="Cambria Math" w:hAnsi="Cambria Math" w:cstheme="minorHAnsi"/>
                    </w:rPr>
                    <m:t>CFC11</m:t>
                  </m:r>
                </m:sub>
              </m:sSub>
            </m:den>
          </m:f>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ODP</m:t>
              </m:r>
            </m:e>
            <m:sub>
              <m:r>
                <w:rPr>
                  <w:rFonts w:ascii="Cambria Math" w:hAnsi="Cambria Math" w:cstheme="minorHAnsi"/>
                </w:rPr>
                <m:t>i</m:t>
              </m:r>
            </m:sub>
          </m:sSub>
          <m:r>
            <w:rPr>
              <w:rFonts w:ascii="Cambria Math" w:hAnsi="Cambria Math" w:cstheme="minorHAnsi"/>
            </w:rPr>
            <m:t xml:space="preserve"> </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E</m:t>
                  </m:r>
                </m:e>
                <m:sub>
                  <m:r>
                    <w:rPr>
                      <w:rFonts w:ascii="Cambria Math" w:hAnsi="Cambria Math" w:cstheme="minorHAnsi"/>
                    </w:rPr>
                    <m:t>i</m:t>
                  </m:r>
                </m:sub>
              </m:sSub>
            </m:num>
            <m:den>
              <m:sSub>
                <m:sSubPr>
                  <m:ctrlPr>
                    <w:rPr>
                      <w:rFonts w:ascii="Cambria Math" w:hAnsi="Cambria Math" w:cstheme="minorHAnsi"/>
                      <w:i/>
                    </w:rPr>
                  </m:ctrlPr>
                </m:sSubPr>
                <m:e>
                  <m:r>
                    <w:rPr>
                      <w:rFonts w:ascii="Cambria Math" w:hAnsi="Cambria Math" w:cstheme="minorHAnsi"/>
                    </w:rPr>
                    <m:t>E</m:t>
                  </m:r>
                </m:e>
                <m:sub>
                  <m:r>
                    <w:rPr>
                      <w:rFonts w:ascii="Cambria Math" w:hAnsi="Cambria Math" w:cstheme="minorHAnsi"/>
                    </w:rPr>
                    <m:t>CFC11</m:t>
                  </m:r>
                </m:sub>
              </m:sSub>
            </m:den>
          </m:f>
          <m:r>
            <w:rPr>
              <w:rFonts w:ascii="Cambria Math" w:hAnsi="Cambria Math" w:cstheme="minorHAnsi"/>
            </w:rPr>
            <m:t xml:space="preserve"> </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τ</m:t>
                  </m:r>
                </m:e>
                <m:sub>
                  <m:r>
                    <w:rPr>
                      <w:rFonts w:ascii="Cambria Math" w:hAnsi="Cambria Math" w:cstheme="minorHAnsi"/>
                    </w:rPr>
                    <m:t>CFC11</m:t>
                  </m:r>
                </m:sub>
              </m:sSub>
            </m:num>
            <m:den>
              <m:sSub>
                <m:sSubPr>
                  <m:ctrlPr>
                    <w:rPr>
                      <w:rFonts w:ascii="Cambria Math" w:hAnsi="Cambria Math" w:cstheme="minorHAnsi"/>
                      <w:i/>
                    </w:rPr>
                  </m:ctrlPr>
                </m:sSubPr>
                <m:e>
                  <m:r>
                    <w:rPr>
                      <w:rFonts w:ascii="Cambria Math" w:hAnsi="Cambria Math" w:cstheme="minorHAnsi"/>
                    </w:rPr>
                    <m:t>τ</m:t>
                  </m:r>
                </m:e>
                <m:sub>
                  <m:r>
                    <w:rPr>
                      <w:rFonts w:ascii="Cambria Math" w:hAnsi="Cambria Math" w:cstheme="minorHAnsi"/>
                    </w:rPr>
                    <m:t>strat,i</m:t>
                  </m:r>
                </m:sub>
              </m:sSub>
            </m:den>
          </m:f>
          <m:r>
            <w:rPr>
              <w:rFonts w:ascii="Cambria Math" w:hAnsi="Cambria Math" w:cstheme="minorHAnsi"/>
            </w:rPr>
            <m:t xml:space="preserve"> </m:t>
          </m:r>
          <m:f>
            <m:fPr>
              <m:ctrlPr>
                <w:rPr>
                  <w:rFonts w:ascii="Cambria Math" w:hAnsi="Cambria Math" w:cstheme="minorHAnsi"/>
                  <w:i/>
                </w:rPr>
              </m:ctrlPr>
            </m:fPr>
            <m:num>
              <m:r>
                <w:rPr>
                  <w:rFonts w:ascii="Cambria Math" w:hAnsi="Cambria Math" w:cstheme="minorHAnsi"/>
                </w:rPr>
                <m:t>1</m:t>
              </m:r>
            </m:num>
            <m:den>
              <m:sSub>
                <m:sSubPr>
                  <m:ctrlPr>
                    <w:rPr>
                      <w:rFonts w:ascii="Cambria Math" w:hAnsi="Cambria Math" w:cstheme="minorHAnsi"/>
                      <w:i/>
                    </w:rPr>
                  </m:ctrlPr>
                </m:sSubPr>
                <m:e>
                  <m:r>
                    <w:rPr>
                      <w:rFonts w:ascii="Cambria Math" w:hAnsi="Cambria Math" w:cstheme="minorHAnsi"/>
                    </w:rPr>
                    <m:t>φ</m:t>
                  </m:r>
                </m:e>
                <m:sub>
                  <m:r>
                    <w:rPr>
                      <w:rFonts w:ascii="Cambria Math" w:hAnsi="Cambria Math" w:cstheme="minorHAnsi"/>
                    </w:rPr>
                    <m:t>i</m:t>
                  </m:r>
                </m:sub>
              </m:sSub>
            </m:den>
          </m:f>
          <m:r>
            <w:rPr>
              <w:rFonts w:ascii="Cambria Math" w:hAnsi="Cambria Math" w:cstheme="minorHAnsi"/>
            </w:rPr>
            <m:t xml:space="preserve"> </m:t>
          </m:r>
        </m:oMath>
      </m:oMathPara>
    </w:p>
    <w:p w14:paraId="57135287" w14:textId="0983C99E" w:rsidR="00CA0363" w:rsidRPr="00951F0F" w:rsidRDefault="00CA0363" w:rsidP="00CA0363">
      <w:pPr>
        <w:spacing w:after="60" w:line="480" w:lineRule="auto"/>
        <w:jc w:val="both"/>
        <w:rPr>
          <w:rFonts w:cstheme="minorHAnsi"/>
        </w:rPr>
      </w:pPr>
      <w:r w:rsidRPr="00951F0F">
        <w:rPr>
          <w:rFonts w:cstheme="minorHAnsi"/>
        </w:rPr>
        <w:t xml:space="preserve">For equal </w:t>
      </w:r>
      <w:r w:rsidR="004513EE" w:rsidRPr="00951F0F">
        <w:rPr>
          <w:rFonts w:cstheme="minorHAnsi"/>
        </w:rPr>
        <w:t xml:space="preserve">mass </w:t>
      </w:r>
      <w:r w:rsidRPr="00951F0F">
        <w:rPr>
          <w:rFonts w:cstheme="minorHAnsi"/>
        </w:rPr>
        <w:t>emissions of a species with no tropospheric loss (</w:t>
      </w:r>
      <w:proofErr w:type="spellStart"/>
      <w:r w:rsidRPr="00951F0F">
        <w:rPr>
          <w:rFonts w:cstheme="minorHAnsi"/>
          <w:i/>
        </w:rPr>
        <w:t>τ</w:t>
      </w:r>
      <w:r w:rsidR="00444B35" w:rsidRPr="00951F0F">
        <w:rPr>
          <w:rFonts w:cstheme="minorHAnsi"/>
          <w:i/>
          <w:vertAlign w:val="subscript"/>
        </w:rPr>
        <w:t>atmos</w:t>
      </w:r>
      <w:proofErr w:type="spellEnd"/>
      <w:r w:rsidRPr="00951F0F">
        <w:rPr>
          <w:rFonts w:cstheme="minorHAnsi"/>
        </w:rPr>
        <w:t xml:space="preserve"> = </w:t>
      </w:r>
      <w:proofErr w:type="spellStart"/>
      <w:r w:rsidRPr="00951F0F">
        <w:rPr>
          <w:rFonts w:cstheme="minorHAnsi"/>
          <w:i/>
        </w:rPr>
        <w:t>τ</w:t>
      </w:r>
      <w:r w:rsidRPr="00951F0F">
        <w:rPr>
          <w:rFonts w:cstheme="minorHAnsi"/>
          <w:i/>
          <w:vertAlign w:val="subscript"/>
        </w:rPr>
        <w:t>strat</w:t>
      </w:r>
      <w:proofErr w:type="spellEnd"/>
      <w:r w:rsidRPr="00951F0F">
        <w:rPr>
          <w:rFonts w:cstheme="minorHAnsi"/>
        </w:rPr>
        <w:t>) and similar stratospheric destruction rate to CFC-11 (</w:t>
      </w:r>
      <w:r w:rsidRPr="00951F0F">
        <w:rPr>
          <w:rFonts w:cstheme="minorHAnsi"/>
          <w:i/>
        </w:rPr>
        <w:t>ϕ</w:t>
      </w:r>
      <w:r w:rsidRPr="00951F0F">
        <w:rPr>
          <w:rFonts w:cstheme="minorHAnsi"/>
        </w:rPr>
        <w:t xml:space="preserve"> = 1), there is a simple correspondence between the ratio of the IODs and the ODP. Note, however that the IOD provides an absolute measure of the ozone impact and can incorporate any time-varying emission scenario. Moreover, the IOD implicitly deals with cases such as VSLS where the semi-empirical ODP approach is not valid. </w:t>
      </w:r>
    </w:p>
    <w:p w14:paraId="1B51DA17" w14:textId="716CEE32" w:rsidR="00CA0363" w:rsidRPr="00951F0F" w:rsidRDefault="00CA0363" w:rsidP="00CA0363">
      <w:pPr>
        <w:spacing w:after="60" w:line="480" w:lineRule="auto"/>
        <w:jc w:val="both"/>
        <w:rPr>
          <w:rFonts w:cstheme="minorHAnsi"/>
        </w:rPr>
      </w:pPr>
      <w:r w:rsidRPr="00951F0F">
        <w:rPr>
          <w:rFonts w:cstheme="minorHAnsi"/>
        </w:rPr>
        <w:t>The above analysis relates IOD to the semi-empirical ODP in the case of steady state emissions; other definitions of ODP exist which could also be related to IOD</w:t>
      </w:r>
      <w:r w:rsidRPr="00951F0F">
        <w:rPr>
          <w:rFonts w:cstheme="minorHAnsi"/>
          <w:vertAlign w:val="superscript"/>
        </w:rPr>
        <w:t>2</w:t>
      </w:r>
      <w:r w:rsidR="0002089C" w:rsidRPr="00951F0F">
        <w:rPr>
          <w:rFonts w:cstheme="minorHAnsi"/>
          <w:vertAlign w:val="superscript"/>
        </w:rPr>
        <w:t>9</w:t>
      </w:r>
      <w:r w:rsidRPr="00951F0F">
        <w:rPr>
          <w:rFonts w:cstheme="minorHAnsi"/>
        </w:rPr>
        <w:t>.</w:t>
      </w:r>
    </w:p>
    <w:p w14:paraId="55DF37DE" w14:textId="24EF169F" w:rsidR="00857FD5" w:rsidRPr="00951F0F" w:rsidRDefault="00857FD5" w:rsidP="008A3EFD">
      <w:pPr>
        <w:jc w:val="both"/>
        <w:rPr>
          <w:rFonts w:cstheme="minorHAnsi"/>
        </w:rPr>
      </w:pPr>
      <w:r w:rsidRPr="00951F0F">
        <w:rPr>
          <w:rFonts w:cstheme="minorHAnsi"/>
        </w:rPr>
        <w:br w:type="page"/>
      </w:r>
    </w:p>
    <w:p w14:paraId="6B24B232" w14:textId="58C7BF4D" w:rsidR="00CA0363" w:rsidRPr="00951F0F" w:rsidRDefault="00CA0363" w:rsidP="00CA0363">
      <w:pPr>
        <w:spacing w:line="480" w:lineRule="auto"/>
        <w:jc w:val="both"/>
        <w:rPr>
          <w:rFonts w:cstheme="minorHAnsi"/>
          <w:b/>
        </w:rPr>
      </w:pPr>
      <w:r w:rsidRPr="00951F0F">
        <w:rPr>
          <w:rFonts w:cstheme="minorHAnsi"/>
          <w:b/>
        </w:rPr>
        <w:lastRenderedPageBreak/>
        <w:t>Data availability</w:t>
      </w:r>
    </w:p>
    <w:p w14:paraId="79D51256" w14:textId="6424AE01" w:rsidR="00CA0363" w:rsidRPr="00951F0F" w:rsidRDefault="00CA0363" w:rsidP="0002089C">
      <w:pPr>
        <w:spacing w:after="120" w:line="480" w:lineRule="auto"/>
        <w:jc w:val="both"/>
        <w:rPr>
          <w:rFonts w:cstheme="minorHAnsi"/>
        </w:rPr>
      </w:pPr>
      <w:r w:rsidRPr="00951F0F">
        <w:rPr>
          <w:rFonts w:cstheme="minorHAnsi"/>
        </w:rPr>
        <w:t>The simulation data used in this study are archived within the UKCA group workspace on the JASMIN platform (</w:t>
      </w:r>
      <w:hyperlink r:id="rId12" w:history="1">
        <w:r w:rsidRPr="00951F0F">
          <w:rPr>
            <w:rFonts w:cstheme="minorHAnsi"/>
          </w:rPr>
          <w:t>www.jasmin.ac.uk</w:t>
        </w:r>
      </w:hyperlink>
      <w:r w:rsidRPr="00951F0F">
        <w:rPr>
          <w:rFonts w:cstheme="minorHAnsi"/>
        </w:rPr>
        <w:t>) maintained by the Centre for Environmental Data Analysis (CEDA) and are available on reasonable request from the corresponding authors.</w:t>
      </w:r>
    </w:p>
    <w:p w14:paraId="2C45E8C5" w14:textId="04B7FE84" w:rsidR="00CA0363" w:rsidRPr="00951F0F" w:rsidRDefault="00CA0363" w:rsidP="00CA0363">
      <w:pPr>
        <w:spacing w:line="480" w:lineRule="auto"/>
        <w:jc w:val="both"/>
        <w:rPr>
          <w:rFonts w:cstheme="minorHAnsi"/>
          <w:b/>
        </w:rPr>
      </w:pPr>
      <w:r w:rsidRPr="00951F0F">
        <w:rPr>
          <w:rFonts w:cstheme="minorHAnsi"/>
          <w:b/>
        </w:rPr>
        <w:t>Code availability</w:t>
      </w:r>
    </w:p>
    <w:p w14:paraId="10FFA3AA" w14:textId="77777777" w:rsidR="00CA0363" w:rsidRPr="00951F0F" w:rsidRDefault="00CA0363" w:rsidP="0002089C">
      <w:pPr>
        <w:spacing w:after="120" w:line="480" w:lineRule="auto"/>
        <w:jc w:val="both"/>
        <w:rPr>
          <w:rFonts w:ascii="Calibri" w:hAnsi="Calibri" w:cs="Calibri"/>
          <w:color w:val="000000"/>
        </w:rPr>
      </w:pPr>
      <w:r w:rsidRPr="00951F0F">
        <w:rPr>
          <w:rFonts w:ascii="Calibri" w:hAnsi="Calibri" w:cs="Calibri"/>
          <w:color w:val="000000"/>
        </w:rPr>
        <w:t xml:space="preserve">The UM-UKCA model is available for use under licence. A number of research organisations </w:t>
      </w:r>
      <w:r w:rsidRPr="00951F0F">
        <w:rPr>
          <w:rFonts w:cstheme="minorHAnsi"/>
        </w:rPr>
        <w:t xml:space="preserve">and </w:t>
      </w:r>
      <w:r w:rsidRPr="00951F0F">
        <w:rPr>
          <w:rFonts w:ascii="Calibri" w:hAnsi="Calibri" w:cs="Calibri"/>
          <w:color w:val="000000"/>
        </w:rPr>
        <w:t xml:space="preserve">national meteorological services use the UM in collaboration with the Met Office to </w:t>
      </w:r>
      <w:r w:rsidRPr="00951F0F">
        <w:rPr>
          <w:rFonts w:cstheme="minorHAnsi"/>
        </w:rPr>
        <w:t xml:space="preserve">undertake basic </w:t>
      </w:r>
      <w:r w:rsidRPr="00951F0F">
        <w:rPr>
          <w:rFonts w:ascii="Calibri" w:hAnsi="Calibri" w:cs="Calibri"/>
          <w:color w:val="000000"/>
        </w:rPr>
        <w:t>atmospheric process research, produce forecasts, develop the UM code, and build and evaluate Earth system models. For further information on how to apply for a licence see</w:t>
      </w:r>
      <w:r w:rsidRPr="00951F0F">
        <w:rPr>
          <w:rStyle w:val="apple-converted-space"/>
          <w:rFonts w:ascii="Calibri" w:hAnsi="Calibri" w:cs="Calibri"/>
          <w:color w:val="000000"/>
        </w:rPr>
        <w:t> </w:t>
      </w:r>
      <w:hyperlink r:id="rId13" w:history="1">
        <w:r w:rsidRPr="00951F0F">
          <w:rPr>
            <w:rFonts w:ascii="Calibri" w:hAnsi="Calibri" w:cs="Calibri"/>
          </w:rPr>
          <w:t>http://www.metoffice.gov.uk/research/modelling-systems/unified-model</w:t>
        </w:r>
      </w:hyperlink>
      <w:r w:rsidRPr="00951F0F">
        <w:rPr>
          <w:rStyle w:val="apple-converted-space"/>
          <w:rFonts w:ascii="Calibri" w:hAnsi="Calibri" w:cs="Calibri"/>
          <w:color w:val="000000"/>
        </w:rPr>
        <w:t> </w:t>
      </w:r>
      <w:r w:rsidRPr="00951F0F">
        <w:rPr>
          <w:rFonts w:ascii="Calibri" w:hAnsi="Calibri" w:cs="Calibri"/>
          <w:color w:val="000000"/>
        </w:rPr>
        <w:t>(last access 27 September 2021).</w:t>
      </w:r>
    </w:p>
    <w:p w14:paraId="51FE16FF" w14:textId="6644FF11" w:rsidR="00CA0363" w:rsidRPr="00951F0F" w:rsidRDefault="002703A6" w:rsidP="00CA0363">
      <w:pPr>
        <w:spacing w:line="480" w:lineRule="auto"/>
        <w:jc w:val="both"/>
        <w:rPr>
          <w:rFonts w:cstheme="minorHAnsi"/>
          <w:b/>
        </w:rPr>
      </w:pPr>
      <w:r>
        <w:rPr>
          <w:rFonts w:cstheme="minorHAnsi"/>
          <w:b/>
        </w:rPr>
        <w:t xml:space="preserve">Methods </w:t>
      </w:r>
      <w:r w:rsidR="001F3A29">
        <w:rPr>
          <w:rFonts w:cstheme="minorHAnsi"/>
          <w:b/>
        </w:rPr>
        <w:t>r</w:t>
      </w:r>
      <w:r w:rsidR="00CA0363" w:rsidRPr="00951F0F">
        <w:rPr>
          <w:rFonts w:cstheme="minorHAnsi"/>
          <w:b/>
        </w:rPr>
        <w:t>eferences:</w:t>
      </w:r>
    </w:p>
    <w:p w14:paraId="1BC5167F" w14:textId="17FFBD4E" w:rsidR="00CA0363" w:rsidRPr="00951F0F" w:rsidRDefault="0002089C" w:rsidP="00CA0363">
      <w:pPr>
        <w:spacing w:line="480" w:lineRule="auto"/>
        <w:jc w:val="both"/>
        <w:rPr>
          <w:rFonts w:cstheme="minorHAnsi"/>
        </w:rPr>
      </w:pPr>
      <w:r w:rsidRPr="00951F0F">
        <w:rPr>
          <w:rFonts w:cstheme="minorHAnsi"/>
        </w:rPr>
        <w:t>30</w:t>
      </w:r>
      <w:r w:rsidR="00CA0363" w:rsidRPr="00951F0F">
        <w:rPr>
          <w:rFonts w:cstheme="minorHAnsi"/>
        </w:rPr>
        <w:t xml:space="preserve">. Hewitt, H. T. et al. Design and implementation of the infrastructure of HadGEM3: the next-generation Met Office climate modelling system, </w:t>
      </w:r>
      <w:proofErr w:type="spellStart"/>
      <w:r w:rsidR="00CA0363" w:rsidRPr="00951F0F">
        <w:rPr>
          <w:rFonts w:cstheme="minorHAnsi"/>
        </w:rPr>
        <w:t>Geosci</w:t>
      </w:r>
      <w:proofErr w:type="spellEnd"/>
      <w:r w:rsidR="00CA0363" w:rsidRPr="00951F0F">
        <w:rPr>
          <w:rFonts w:cstheme="minorHAnsi"/>
        </w:rPr>
        <w:t>. Model Dev., 4, 223–253, https://doi.org/10.5194/gmd-4-223-2011, (2011). </w:t>
      </w:r>
    </w:p>
    <w:p w14:paraId="72FCC227" w14:textId="77777777" w:rsidR="00CA0363" w:rsidRPr="00951F0F" w:rsidRDefault="00CA0363" w:rsidP="00CA0363">
      <w:pPr>
        <w:spacing w:line="480" w:lineRule="auto"/>
        <w:jc w:val="both"/>
        <w:rPr>
          <w:rFonts w:cstheme="minorHAnsi"/>
        </w:rPr>
      </w:pPr>
    </w:p>
    <w:p w14:paraId="65B13EF6" w14:textId="490E22FD" w:rsidR="00CA0363" w:rsidRPr="00951F0F" w:rsidRDefault="0002089C" w:rsidP="00CA0363">
      <w:pPr>
        <w:spacing w:line="480" w:lineRule="auto"/>
        <w:jc w:val="both"/>
        <w:rPr>
          <w:rFonts w:cstheme="minorHAnsi"/>
        </w:rPr>
      </w:pPr>
      <w:r w:rsidRPr="00951F0F">
        <w:rPr>
          <w:rFonts w:cstheme="minorHAnsi"/>
        </w:rPr>
        <w:t>31</w:t>
      </w:r>
      <w:r w:rsidR="00CA0363" w:rsidRPr="00951F0F">
        <w:rPr>
          <w:rFonts w:cstheme="minorHAnsi"/>
        </w:rPr>
        <w:t xml:space="preserve">. </w:t>
      </w:r>
      <w:proofErr w:type="spellStart"/>
      <w:r w:rsidR="00CA0363" w:rsidRPr="00951F0F">
        <w:rPr>
          <w:rFonts w:cstheme="minorHAnsi"/>
        </w:rPr>
        <w:t>Bednarz</w:t>
      </w:r>
      <w:proofErr w:type="spellEnd"/>
      <w:r w:rsidR="00CA0363" w:rsidRPr="00951F0F">
        <w:rPr>
          <w:rFonts w:cstheme="minorHAnsi"/>
        </w:rPr>
        <w:t>, E. M. et al. Future Arctic ozone recovery: the importance of chemistry and dynamics, Atmos. Chem. Phys., 16, 12159–12176, </w:t>
      </w:r>
      <w:hyperlink r:id="rId14" w:history="1">
        <w:r w:rsidR="00CA0363" w:rsidRPr="00951F0F">
          <w:rPr>
            <w:rFonts w:cstheme="minorHAnsi"/>
          </w:rPr>
          <w:t>https://doi.org/10.5194/acp-16-12159-2016</w:t>
        </w:r>
      </w:hyperlink>
      <w:r w:rsidR="00CA0363" w:rsidRPr="00951F0F">
        <w:rPr>
          <w:rFonts w:cstheme="minorHAnsi"/>
        </w:rPr>
        <w:t>, (2016).</w:t>
      </w:r>
      <w:r w:rsidR="00CA0363" w:rsidRPr="00951F0F">
        <w:rPr>
          <w:rFonts w:cstheme="minorHAnsi"/>
        </w:rPr>
        <w:t> </w:t>
      </w:r>
    </w:p>
    <w:p w14:paraId="5BC959AD" w14:textId="77777777" w:rsidR="00CA0363" w:rsidRPr="00951F0F" w:rsidRDefault="00CA0363" w:rsidP="00CA0363">
      <w:pPr>
        <w:spacing w:line="480" w:lineRule="auto"/>
        <w:jc w:val="both"/>
        <w:rPr>
          <w:rFonts w:cstheme="minorHAnsi"/>
        </w:rPr>
      </w:pPr>
    </w:p>
    <w:p w14:paraId="56823AC8" w14:textId="3E6132F4" w:rsidR="00CA0363" w:rsidRPr="00951F0F" w:rsidRDefault="00CA0363" w:rsidP="00CA0363">
      <w:pPr>
        <w:spacing w:line="480" w:lineRule="auto"/>
        <w:jc w:val="both"/>
        <w:rPr>
          <w:rFonts w:cstheme="minorHAnsi"/>
        </w:rPr>
      </w:pPr>
      <w:r w:rsidRPr="00951F0F">
        <w:rPr>
          <w:rFonts w:cstheme="minorHAnsi"/>
        </w:rPr>
        <w:t>3</w:t>
      </w:r>
      <w:r w:rsidR="0002089C" w:rsidRPr="00951F0F">
        <w:rPr>
          <w:rFonts w:cstheme="minorHAnsi"/>
        </w:rPr>
        <w:t>2</w:t>
      </w:r>
      <w:r w:rsidRPr="00951F0F">
        <w:rPr>
          <w:rFonts w:cstheme="minorHAnsi"/>
        </w:rPr>
        <w:t>. Eyring, V. et al. Overview of IGAC/SPARC Chemistry-Climate Model Initiative (CCMI) Community Simulations in Support of Upcoming Ozone and Climate Assessments, SPARC Newsletter No. 40, p. 48-66, (2013).</w:t>
      </w:r>
    </w:p>
    <w:p w14:paraId="5D15EAF0" w14:textId="77777777" w:rsidR="00CA0363" w:rsidRPr="00951F0F" w:rsidRDefault="00CA0363" w:rsidP="00CA0363">
      <w:pPr>
        <w:spacing w:line="480" w:lineRule="auto"/>
        <w:jc w:val="both"/>
        <w:rPr>
          <w:rFonts w:cstheme="minorHAnsi"/>
        </w:rPr>
      </w:pPr>
    </w:p>
    <w:p w14:paraId="2CE2E2B0" w14:textId="31EC9BD3" w:rsidR="00CA0363" w:rsidRPr="00951F0F" w:rsidRDefault="00CA0363" w:rsidP="00CA0363">
      <w:pPr>
        <w:spacing w:line="480" w:lineRule="auto"/>
        <w:jc w:val="both"/>
        <w:rPr>
          <w:rFonts w:cstheme="minorHAnsi"/>
        </w:rPr>
      </w:pPr>
      <w:r w:rsidRPr="00951F0F">
        <w:rPr>
          <w:rFonts w:cstheme="minorHAnsi"/>
        </w:rPr>
        <w:t>3</w:t>
      </w:r>
      <w:r w:rsidR="0002089C" w:rsidRPr="00951F0F">
        <w:rPr>
          <w:rFonts w:cstheme="minorHAnsi"/>
        </w:rPr>
        <w:t>3</w:t>
      </w:r>
      <w:r w:rsidRPr="00951F0F">
        <w:rPr>
          <w:rFonts w:cstheme="minorHAnsi"/>
        </w:rPr>
        <w:t>. World Meteorological Organization (WMO): Scientific Assessment of Ozone Depletion: 2014, Global Ozone Research and Monitoring Project, Report No. 55, Geneva, Switzerland, (2014)</w:t>
      </w:r>
      <w:r w:rsidR="00DC3841" w:rsidRPr="00951F0F">
        <w:rPr>
          <w:rFonts w:cstheme="minorHAnsi"/>
        </w:rPr>
        <w:t>.</w:t>
      </w:r>
    </w:p>
    <w:p w14:paraId="171F4A30" w14:textId="77777777" w:rsidR="00CA0363" w:rsidRPr="00951F0F" w:rsidRDefault="00CA0363" w:rsidP="00CA0363">
      <w:pPr>
        <w:spacing w:line="480" w:lineRule="auto"/>
        <w:jc w:val="both"/>
        <w:rPr>
          <w:rFonts w:cstheme="minorHAnsi"/>
        </w:rPr>
      </w:pPr>
    </w:p>
    <w:p w14:paraId="266DDB85" w14:textId="5D22B7AE" w:rsidR="00CA0363" w:rsidRPr="009E05FE" w:rsidRDefault="00CA0363" w:rsidP="00CA0363">
      <w:pPr>
        <w:spacing w:line="480" w:lineRule="auto"/>
        <w:jc w:val="both"/>
        <w:rPr>
          <w:rFonts w:cstheme="minorHAnsi"/>
        </w:rPr>
      </w:pPr>
      <w:r w:rsidRPr="00951F0F">
        <w:rPr>
          <w:rFonts w:cstheme="minorHAnsi"/>
        </w:rPr>
        <w:t>3</w:t>
      </w:r>
      <w:r w:rsidR="0002089C" w:rsidRPr="00951F0F">
        <w:rPr>
          <w:rFonts w:cstheme="minorHAnsi"/>
        </w:rPr>
        <w:t>4</w:t>
      </w:r>
      <w:r w:rsidRPr="00951F0F">
        <w:rPr>
          <w:rFonts w:cstheme="minorHAnsi"/>
        </w:rPr>
        <w:t xml:space="preserve">. </w:t>
      </w:r>
      <w:proofErr w:type="spellStart"/>
      <w:r w:rsidRPr="00951F0F">
        <w:rPr>
          <w:rFonts w:cstheme="minorHAnsi"/>
        </w:rPr>
        <w:t>Dhomse</w:t>
      </w:r>
      <w:proofErr w:type="spellEnd"/>
      <w:r w:rsidRPr="00951F0F">
        <w:rPr>
          <w:rFonts w:cstheme="minorHAnsi"/>
        </w:rPr>
        <w:t>, S. S. et al. Estimates of ozone return dates from Chemistry-Climate Model Initiative simulations, Atmos. Chem. Phys., 18, 8409–8438, https://doi.org/10.5194/acp-18-8409-2018, (2018).</w:t>
      </w:r>
    </w:p>
    <w:p w14:paraId="5980793E" w14:textId="77777777" w:rsidR="002703A6" w:rsidRDefault="002703A6"/>
    <w:p w14:paraId="26E96954" w14:textId="77777777" w:rsidR="002703A6" w:rsidRDefault="002703A6" w:rsidP="002703A6">
      <w:pPr>
        <w:spacing w:line="480" w:lineRule="auto"/>
        <w:jc w:val="both"/>
        <w:rPr>
          <w:rFonts w:cstheme="minorHAnsi"/>
        </w:rPr>
      </w:pPr>
      <w:r w:rsidRPr="004E266B">
        <w:rPr>
          <w:rFonts w:cstheme="minorHAnsi"/>
          <w:b/>
          <w:bCs/>
        </w:rPr>
        <w:t>Acknowledgements</w:t>
      </w:r>
      <w:r w:rsidRPr="00951F0F">
        <w:rPr>
          <w:rFonts w:cstheme="minorHAnsi"/>
        </w:rPr>
        <w:t xml:space="preserve"> John A Pyle, James Keeble, N. Luke Abraham and Paul T. Griffiths were financially supported by NERC through NCAS (grant no. R8/H12/83/003). Martyn P Chipperfield was supported by NERC through the grants NE/R001782/1 (SISLAC) and NE/V011863/1 (LSO3). Model simulations have been performed using the ARCHER UK National Supercomputing Service. This work used the UK Research Data Facility (http://www.archer.ac.uk/documentation/rdf-guide, last access: 2 June 2021). This work used JASMIN, the UK collaborative data analysis facility.</w:t>
      </w:r>
    </w:p>
    <w:p w14:paraId="637A7895" w14:textId="77777777" w:rsidR="002703A6" w:rsidRPr="00951F0F" w:rsidRDefault="002703A6" w:rsidP="002703A6">
      <w:pPr>
        <w:spacing w:line="480" w:lineRule="auto"/>
        <w:jc w:val="both"/>
        <w:rPr>
          <w:rFonts w:cstheme="minorHAnsi"/>
        </w:rPr>
      </w:pPr>
    </w:p>
    <w:p w14:paraId="6C70C764" w14:textId="77777777" w:rsidR="002703A6" w:rsidRPr="00951F0F" w:rsidRDefault="002703A6" w:rsidP="002703A6">
      <w:pPr>
        <w:spacing w:line="480" w:lineRule="auto"/>
        <w:jc w:val="both"/>
        <w:rPr>
          <w:rFonts w:cstheme="minorHAnsi"/>
        </w:rPr>
      </w:pPr>
      <w:r w:rsidRPr="004E266B">
        <w:rPr>
          <w:rFonts w:cstheme="minorHAnsi"/>
          <w:b/>
          <w:bCs/>
        </w:rPr>
        <w:t>Author contributions</w:t>
      </w:r>
      <w:r w:rsidRPr="00951F0F">
        <w:rPr>
          <w:rFonts w:cstheme="minorHAnsi"/>
        </w:rPr>
        <w:t xml:space="preserve"> JAP proposed the initial study which was developed jointly by JK, JAP and MPC. JK performed most of the calculations with support from NLA and PTG. JAP and JK led the writing to which all authors contributed. </w:t>
      </w:r>
    </w:p>
    <w:p w14:paraId="3D9E2A4F" w14:textId="77777777" w:rsidR="002703A6" w:rsidRPr="00951F0F" w:rsidRDefault="002703A6" w:rsidP="002703A6">
      <w:pPr>
        <w:spacing w:line="480" w:lineRule="auto"/>
        <w:jc w:val="both"/>
        <w:rPr>
          <w:rFonts w:cstheme="minorHAnsi"/>
        </w:rPr>
      </w:pPr>
    </w:p>
    <w:p w14:paraId="77C9F096" w14:textId="77777777" w:rsidR="002703A6" w:rsidRDefault="002703A6" w:rsidP="002703A6">
      <w:pPr>
        <w:spacing w:line="480" w:lineRule="auto"/>
        <w:jc w:val="both"/>
        <w:rPr>
          <w:rFonts w:cstheme="minorHAnsi"/>
        </w:rPr>
      </w:pPr>
      <w:r w:rsidRPr="004E266B">
        <w:rPr>
          <w:rFonts w:cstheme="minorHAnsi"/>
          <w:b/>
          <w:bCs/>
        </w:rPr>
        <w:t xml:space="preserve">Competing </w:t>
      </w:r>
      <w:proofErr w:type="gramStart"/>
      <w:r w:rsidRPr="004E266B">
        <w:rPr>
          <w:rFonts w:cstheme="minorHAnsi"/>
          <w:b/>
          <w:bCs/>
        </w:rPr>
        <w:t>interests</w:t>
      </w:r>
      <w:proofErr w:type="gramEnd"/>
      <w:r>
        <w:rPr>
          <w:rFonts w:cstheme="minorHAnsi"/>
        </w:rPr>
        <w:t xml:space="preserve"> </w:t>
      </w:r>
      <w:r w:rsidRPr="00951F0F">
        <w:rPr>
          <w:rFonts w:cstheme="minorHAnsi"/>
        </w:rPr>
        <w:t>The</w:t>
      </w:r>
      <w:r>
        <w:rPr>
          <w:rFonts w:cstheme="minorHAnsi"/>
        </w:rPr>
        <w:t xml:space="preserve"> authors declare</w:t>
      </w:r>
      <w:r w:rsidRPr="00951F0F">
        <w:rPr>
          <w:rFonts w:cstheme="minorHAnsi"/>
        </w:rPr>
        <w:t xml:space="preserve"> no co</w:t>
      </w:r>
      <w:r>
        <w:rPr>
          <w:rFonts w:cstheme="minorHAnsi"/>
        </w:rPr>
        <w:t>mpe</w:t>
      </w:r>
      <w:r w:rsidRPr="00951F0F">
        <w:rPr>
          <w:rFonts w:cstheme="minorHAnsi"/>
        </w:rPr>
        <w:t>ting interests.</w:t>
      </w:r>
    </w:p>
    <w:p w14:paraId="2D9529AF" w14:textId="77777777" w:rsidR="000A69B8" w:rsidRDefault="000A69B8" w:rsidP="002703A6">
      <w:pPr>
        <w:spacing w:line="480" w:lineRule="auto"/>
        <w:jc w:val="both"/>
        <w:rPr>
          <w:rFonts w:cstheme="minorHAnsi"/>
          <w:b/>
          <w:bCs/>
        </w:rPr>
      </w:pPr>
    </w:p>
    <w:p w14:paraId="3D420B32" w14:textId="1B552C67" w:rsidR="000A69B8" w:rsidRDefault="000A69B8" w:rsidP="002703A6">
      <w:pPr>
        <w:spacing w:line="480" w:lineRule="auto"/>
        <w:jc w:val="both"/>
        <w:rPr>
          <w:rFonts w:cstheme="minorHAnsi"/>
          <w:b/>
          <w:bCs/>
        </w:rPr>
      </w:pPr>
      <w:r>
        <w:rPr>
          <w:rFonts w:cstheme="minorHAnsi"/>
          <w:b/>
          <w:bCs/>
        </w:rPr>
        <w:t>Additional Information</w:t>
      </w:r>
    </w:p>
    <w:p w14:paraId="191FAD2B" w14:textId="00BBBCAE" w:rsidR="002703A6" w:rsidRDefault="002703A6" w:rsidP="002703A6">
      <w:pPr>
        <w:spacing w:line="480" w:lineRule="auto"/>
        <w:jc w:val="both"/>
        <w:rPr>
          <w:rFonts w:cstheme="minorHAnsi"/>
        </w:rPr>
      </w:pPr>
      <w:r w:rsidRPr="004E266B">
        <w:rPr>
          <w:rFonts w:cstheme="minorHAnsi"/>
          <w:b/>
          <w:bCs/>
        </w:rPr>
        <w:lastRenderedPageBreak/>
        <w:t>Correspondence and requests for materials</w:t>
      </w:r>
      <w:r>
        <w:rPr>
          <w:rFonts w:cstheme="minorHAnsi"/>
        </w:rPr>
        <w:t xml:space="preserve"> should be addressed to JAP (</w:t>
      </w:r>
      <w:hyperlink r:id="rId15" w:history="1">
        <w:r w:rsidRPr="00FF4C02">
          <w:rPr>
            <w:rStyle w:val="Hyperlink"/>
            <w:rFonts w:cstheme="minorHAnsi"/>
          </w:rPr>
          <w:t>jap12@cam.ac.uk</w:t>
        </w:r>
      </w:hyperlink>
      <w:r>
        <w:rPr>
          <w:rFonts w:cstheme="minorHAnsi"/>
        </w:rPr>
        <w:t>) or JK (</w:t>
      </w:r>
      <w:r w:rsidR="000A69B8">
        <w:rPr>
          <w:rFonts w:cstheme="minorHAnsi"/>
        </w:rPr>
        <w:t>jmk64@cam.ac.uk)</w:t>
      </w:r>
    </w:p>
    <w:p w14:paraId="6F431C11" w14:textId="77777777" w:rsidR="002703A6" w:rsidRPr="00951F0F" w:rsidRDefault="002703A6" w:rsidP="002703A6">
      <w:pPr>
        <w:spacing w:line="480" w:lineRule="auto"/>
        <w:jc w:val="both"/>
        <w:rPr>
          <w:rFonts w:cstheme="minorHAnsi"/>
        </w:rPr>
      </w:pPr>
      <w:r w:rsidRPr="004E266B">
        <w:rPr>
          <w:rFonts w:cstheme="minorHAnsi"/>
          <w:b/>
          <w:bCs/>
        </w:rPr>
        <w:t>Reprints and permissions information</w:t>
      </w:r>
      <w:r>
        <w:rPr>
          <w:rFonts w:cstheme="minorHAnsi"/>
        </w:rPr>
        <w:t xml:space="preserve"> is available at http://www.nature.com/reprints</w:t>
      </w:r>
    </w:p>
    <w:p w14:paraId="1521D183" w14:textId="6BEC0B75" w:rsidR="00122CE8" w:rsidRDefault="00122CE8">
      <w:r>
        <w:br w:type="page"/>
      </w:r>
    </w:p>
    <w:p w14:paraId="201A9F4C" w14:textId="0AA228FE" w:rsidR="004B1E8C" w:rsidRDefault="000A69B8" w:rsidP="008A3EFD">
      <w:pPr>
        <w:spacing w:line="480" w:lineRule="auto"/>
      </w:pPr>
      <w:r>
        <w:lastRenderedPageBreak/>
        <w:t>Extended Data</w:t>
      </w:r>
      <w:r w:rsidR="004A2148">
        <w:t xml:space="preserve"> </w:t>
      </w:r>
      <w:r w:rsidR="00122CE8">
        <w:t>Figure</w:t>
      </w:r>
      <w:r w:rsidR="004A2148">
        <w:t xml:space="preserve"> </w:t>
      </w:r>
      <w:r>
        <w:t>Legend</w:t>
      </w:r>
      <w:r w:rsidR="004A2148">
        <w:t>s</w:t>
      </w:r>
    </w:p>
    <w:p w14:paraId="70FEBBF1" w14:textId="05CF428E" w:rsidR="00122CE8" w:rsidRDefault="00DF141F" w:rsidP="004A2148">
      <w:pPr>
        <w:spacing w:line="480" w:lineRule="auto"/>
        <w:jc w:val="both"/>
        <w:rPr>
          <w:rFonts w:cstheme="minorHAnsi"/>
        </w:rPr>
      </w:pPr>
      <w:r>
        <w:rPr>
          <w:rFonts w:cstheme="minorHAnsi"/>
          <w:noProof/>
        </w:rPr>
        <w:drawing>
          <wp:inline distT="0" distB="0" distL="0" distR="0" wp14:anchorId="7B3900AC" wp14:editId="0E0BE391">
            <wp:extent cx="3683000" cy="426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6">
                      <a:extLst>
                        <a:ext uri="{28A0092B-C50C-407E-A947-70E740481C1C}">
                          <a14:useLocalDpi xmlns:a14="http://schemas.microsoft.com/office/drawing/2010/main" val="0"/>
                        </a:ext>
                      </a:extLst>
                    </a:blip>
                    <a:stretch>
                      <a:fillRect/>
                    </a:stretch>
                  </pic:blipFill>
                  <pic:spPr>
                    <a:xfrm>
                      <a:off x="0" y="0"/>
                      <a:ext cx="3683000" cy="4267200"/>
                    </a:xfrm>
                    <a:prstGeom prst="rect">
                      <a:avLst/>
                    </a:prstGeom>
                  </pic:spPr>
                </pic:pic>
              </a:graphicData>
            </a:graphic>
          </wp:inline>
        </w:drawing>
      </w:r>
    </w:p>
    <w:p w14:paraId="0887A721" w14:textId="283CDA3C" w:rsidR="004A2148" w:rsidRDefault="002B0343" w:rsidP="004A2148">
      <w:pPr>
        <w:spacing w:line="480" w:lineRule="auto"/>
        <w:jc w:val="both"/>
        <w:rPr>
          <w:rFonts w:cstheme="minorHAnsi"/>
        </w:rPr>
      </w:pPr>
      <w:r w:rsidRPr="00007516">
        <w:rPr>
          <w:rFonts w:cstheme="minorHAnsi"/>
          <w:b/>
          <w:bCs/>
        </w:rPr>
        <w:t xml:space="preserve">Extended Data </w:t>
      </w:r>
      <w:r w:rsidR="004A2148" w:rsidRPr="00007516">
        <w:rPr>
          <w:rFonts w:cstheme="minorHAnsi"/>
          <w:b/>
          <w:bCs/>
        </w:rPr>
        <w:t>Figure 1: Time series, from 1960 to 2100, of total column ozone (TCO, DU), averaged from 90</w:t>
      </w:r>
      <w:r w:rsidR="004A2148" w:rsidRPr="00007516">
        <w:rPr>
          <w:rFonts w:ascii="Calibri" w:hAnsi="Calibri" w:cs="Calibri"/>
          <w:b/>
          <w:bCs/>
        </w:rPr>
        <w:t>°</w:t>
      </w:r>
      <w:r w:rsidR="004A2148" w:rsidRPr="00007516">
        <w:rPr>
          <w:rFonts w:cstheme="minorHAnsi"/>
          <w:b/>
          <w:bCs/>
        </w:rPr>
        <w:t>S-90</w:t>
      </w:r>
      <w:r w:rsidR="004A2148" w:rsidRPr="00007516">
        <w:rPr>
          <w:rFonts w:ascii="Calibri" w:hAnsi="Calibri" w:cs="Calibri"/>
          <w:b/>
          <w:bCs/>
        </w:rPr>
        <w:t>°</w:t>
      </w:r>
      <w:r w:rsidR="004A2148" w:rsidRPr="00007516">
        <w:rPr>
          <w:rFonts w:cstheme="minorHAnsi"/>
          <w:b/>
          <w:bCs/>
        </w:rPr>
        <w:t>N, from the simulations analysed in this study</w:t>
      </w:r>
      <w:r w:rsidR="00007516" w:rsidRPr="00007516">
        <w:rPr>
          <w:rFonts w:cstheme="minorHAnsi"/>
          <w:b/>
          <w:bCs/>
        </w:rPr>
        <w:t>.</w:t>
      </w:r>
      <w:r w:rsidR="00007516">
        <w:rPr>
          <w:rFonts w:cstheme="minorHAnsi"/>
        </w:rPr>
        <w:t xml:space="preserve"> </w:t>
      </w:r>
      <w:r w:rsidR="004A2148" w:rsidRPr="00951F0F">
        <w:rPr>
          <w:rFonts w:cstheme="minorHAnsi"/>
        </w:rPr>
        <w:t xml:space="preserve"> </w:t>
      </w:r>
      <w:r w:rsidR="00007516">
        <w:rPr>
          <w:rFonts w:cstheme="minorHAnsi"/>
        </w:rPr>
        <w:t>Part</w:t>
      </w:r>
      <w:r w:rsidR="004A2148" w:rsidRPr="00951F0F">
        <w:rPr>
          <w:rFonts w:cstheme="minorHAnsi"/>
        </w:rPr>
        <w:t xml:space="preserve"> a) </w:t>
      </w:r>
      <w:r w:rsidR="00007516">
        <w:rPr>
          <w:rFonts w:cstheme="minorHAnsi"/>
        </w:rPr>
        <w:t xml:space="preserve">plots </w:t>
      </w:r>
      <w:r w:rsidR="004A2148" w:rsidRPr="00951F0F">
        <w:rPr>
          <w:rFonts w:cstheme="minorHAnsi"/>
        </w:rPr>
        <w:t xml:space="preserve">annual mean model data and b) </w:t>
      </w:r>
      <w:r w:rsidR="00007516">
        <w:rPr>
          <w:rFonts w:cstheme="minorHAnsi"/>
        </w:rPr>
        <w:t xml:space="preserve">plots </w:t>
      </w:r>
      <w:r w:rsidR="004A2148" w:rsidRPr="00951F0F">
        <w:rPr>
          <w:rFonts w:cstheme="minorHAnsi"/>
        </w:rPr>
        <w:t xml:space="preserve">the data after it has been smoothed using an 11-point boxcar smoothing, following </w:t>
      </w:r>
      <w:proofErr w:type="spellStart"/>
      <w:r w:rsidR="004A2148" w:rsidRPr="00951F0F">
        <w:rPr>
          <w:rFonts w:cstheme="minorHAnsi"/>
        </w:rPr>
        <w:t>Dhomse</w:t>
      </w:r>
      <w:proofErr w:type="spellEnd"/>
      <w:r w:rsidR="004A2148" w:rsidRPr="00951F0F">
        <w:rPr>
          <w:rFonts w:cstheme="minorHAnsi"/>
        </w:rPr>
        <w:t xml:space="preserve"> et al</w:t>
      </w:r>
      <w:r w:rsidR="004A2148" w:rsidRPr="00951F0F">
        <w:rPr>
          <w:rFonts w:cstheme="minorHAnsi"/>
          <w:vertAlign w:val="superscript"/>
        </w:rPr>
        <w:t>34</w:t>
      </w:r>
      <w:r w:rsidR="004A2148" w:rsidRPr="00951F0F">
        <w:rPr>
          <w:rFonts w:cstheme="minorHAnsi"/>
        </w:rPr>
        <w:t>. The large difference at 2100 between Base and the scenario with 30-year emissions of CFC-11 and CFC-12 arises from the large increase in (and subsequent emission from) their banks, assumed in that scenario (as discussed in Keeble et al.</w:t>
      </w:r>
      <w:r w:rsidR="004A2148" w:rsidRPr="00951F0F">
        <w:rPr>
          <w:rFonts w:cstheme="minorHAnsi"/>
          <w:vertAlign w:val="superscript"/>
        </w:rPr>
        <w:t>24</w:t>
      </w:r>
      <w:r w:rsidR="004A2148" w:rsidRPr="00951F0F">
        <w:rPr>
          <w:rFonts w:cstheme="minorHAnsi"/>
        </w:rPr>
        <w:t>).</w:t>
      </w:r>
    </w:p>
    <w:p w14:paraId="1616573F" w14:textId="0E3F92A9" w:rsidR="00FD2A40" w:rsidRPr="00951F0F" w:rsidRDefault="00DF141F" w:rsidP="004A2148">
      <w:pPr>
        <w:spacing w:line="480" w:lineRule="auto"/>
        <w:jc w:val="both"/>
        <w:rPr>
          <w:rFonts w:cstheme="minorHAnsi"/>
        </w:rPr>
      </w:pPr>
      <w:r>
        <w:rPr>
          <w:rFonts w:cstheme="minorHAnsi"/>
          <w:noProof/>
        </w:rPr>
        <w:lastRenderedPageBreak/>
        <w:drawing>
          <wp:inline distT="0" distB="0" distL="0" distR="0" wp14:anchorId="37EA185D" wp14:editId="0FF2CC09">
            <wp:extent cx="5207000" cy="294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7">
                      <a:extLst>
                        <a:ext uri="{28A0092B-C50C-407E-A947-70E740481C1C}">
                          <a14:useLocalDpi xmlns:a14="http://schemas.microsoft.com/office/drawing/2010/main" val="0"/>
                        </a:ext>
                      </a:extLst>
                    </a:blip>
                    <a:stretch>
                      <a:fillRect/>
                    </a:stretch>
                  </pic:blipFill>
                  <pic:spPr>
                    <a:xfrm>
                      <a:off x="0" y="0"/>
                      <a:ext cx="5207000" cy="2946400"/>
                    </a:xfrm>
                    <a:prstGeom prst="rect">
                      <a:avLst/>
                    </a:prstGeom>
                  </pic:spPr>
                </pic:pic>
              </a:graphicData>
            </a:graphic>
          </wp:inline>
        </w:drawing>
      </w:r>
    </w:p>
    <w:p w14:paraId="3BEABA91" w14:textId="34302152" w:rsidR="00FD2A40" w:rsidRPr="00951F0F" w:rsidRDefault="00FD2A40" w:rsidP="00FD2A40">
      <w:pPr>
        <w:spacing w:line="480" w:lineRule="auto"/>
        <w:jc w:val="both"/>
        <w:rPr>
          <w:rFonts w:cstheme="minorHAnsi"/>
        </w:rPr>
      </w:pPr>
      <w:r w:rsidRPr="00007516">
        <w:rPr>
          <w:rFonts w:cstheme="minorHAnsi"/>
          <w:b/>
          <w:bCs/>
        </w:rPr>
        <w:t xml:space="preserve">Extended Data Figure 2: Integrated ozone depletion (IOD, in DU years) from all UM-UKCA integrations plotted against the total halogen emission in </w:t>
      </w:r>
      <w:proofErr w:type="spellStart"/>
      <w:r w:rsidRPr="00007516">
        <w:rPr>
          <w:rFonts w:cstheme="minorHAnsi"/>
          <w:b/>
          <w:bCs/>
        </w:rPr>
        <w:t>Tg</w:t>
      </w:r>
      <w:proofErr w:type="spellEnd"/>
      <w:r w:rsidRPr="00007516">
        <w:rPr>
          <w:rFonts w:cstheme="minorHAnsi"/>
          <w:b/>
          <w:bCs/>
        </w:rPr>
        <w:t xml:space="preserve"> Cl, </w:t>
      </w:r>
      <w:proofErr w:type="spellStart"/>
      <w:r w:rsidRPr="00007516">
        <w:rPr>
          <w:rFonts w:cstheme="minorHAnsi"/>
          <w:b/>
          <w:bCs/>
        </w:rPr>
        <w:t>E</w:t>
      </w:r>
      <w:r w:rsidRPr="00007516">
        <w:rPr>
          <w:rFonts w:cstheme="minorHAnsi"/>
          <w:b/>
          <w:bCs/>
          <w:vertAlign w:val="subscript"/>
        </w:rPr>
        <w:t>Eq</w:t>
      </w:r>
      <w:proofErr w:type="spellEnd"/>
      <w:r w:rsidRPr="00007516">
        <w:rPr>
          <w:rFonts w:cstheme="minorHAnsi"/>
          <w:b/>
          <w:bCs/>
        </w:rPr>
        <w:t>, multiplied by the whole atmosphere lifetime of the emitted species divided by its stratospheric lifetime, for comparison with Figure 3.</w:t>
      </w:r>
      <w:r w:rsidRPr="00951F0F">
        <w:rPr>
          <w:rFonts w:cstheme="minorHAnsi"/>
        </w:rPr>
        <w:t xml:space="preserve"> The IOD for short-lived gases is calculated over the perturbation period as defined in the text, otherwise as in Figure 3. The correlation coefficient, r, is now 0.90</w:t>
      </w:r>
      <w:r>
        <w:rPr>
          <w:rFonts w:cstheme="minorHAnsi"/>
        </w:rPr>
        <w:t xml:space="preserve">, and when the scenario with the </w:t>
      </w:r>
      <w:r>
        <w:rPr>
          <w:rFonts w:cstheme="minorHAnsi"/>
          <w:iCs/>
        </w:rPr>
        <w:t>emission of CFC-11 and CFC-12 is not included, the correlation coefficient remains high (0.83).</w:t>
      </w:r>
    </w:p>
    <w:p w14:paraId="1F45BBD7" w14:textId="2239343D" w:rsidR="004A2148" w:rsidRPr="00FD2A40" w:rsidRDefault="004A2148" w:rsidP="00FD2A40">
      <w:pPr>
        <w:spacing w:line="480" w:lineRule="auto"/>
        <w:jc w:val="both"/>
        <w:rPr>
          <w:rFonts w:cstheme="minorHAnsi"/>
        </w:rPr>
      </w:pPr>
    </w:p>
    <w:sectPr w:rsidR="004A2148" w:rsidRPr="00FD2A40" w:rsidSect="00FD3BC6">
      <w:footerReference w:type="even" r:id="rId18"/>
      <w:footerReference w:type="default" r:id="rId19"/>
      <w:pgSz w:w="11900" w:h="16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04ACF" w14:textId="77777777" w:rsidR="00402810" w:rsidRDefault="00402810">
      <w:r>
        <w:separator/>
      </w:r>
    </w:p>
    <w:p w14:paraId="3892967B" w14:textId="77777777" w:rsidR="00402810" w:rsidRDefault="00402810"/>
  </w:endnote>
  <w:endnote w:type="continuationSeparator" w:id="0">
    <w:p w14:paraId="25CD8DD5" w14:textId="77777777" w:rsidR="00402810" w:rsidRDefault="00402810">
      <w:r>
        <w:continuationSeparator/>
      </w:r>
    </w:p>
    <w:p w14:paraId="59C6DD9F" w14:textId="77777777" w:rsidR="00402810" w:rsidRDefault="004028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LineNumber"/>
      </w:rPr>
      <w:id w:val="-1382164978"/>
      <w:docPartObj>
        <w:docPartGallery w:val="Page Numbers (Bottom of Page)"/>
        <w:docPartUnique/>
      </w:docPartObj>
    </w:sdtPr>
    <w:sdtEndPr>
      <w:rPr>
        <w:rStyle w:val="LineNumber"/>
      </w:rPr>
    </w:sdtEndPr>
    <w:sdtContent>
      <w:p w14:paraId="371125E4" w14:textId="77777777" w:rsidR="008E3AD7" w:rsidRDefault="008E3AD7" w:rsidP="004B1E8C">
        <w:pPr>
          <w:framePr w:wrap="none" w:vAnchor="text" w:hAnchor="margin" w:xAlign="center" w:y="1"/>
          <w:rPr>
            <w:rStyle w:val="LineNumber"/>
          </w:rPr>
        </w:pPr>
        <w:r>
          <w:rPr>
            <w:rStyle w:val="LineNumber"/>
          </w:rPr>
          <w:fldChar w:fldCharType="begin"/>
        </w:r>
        <w:r>
          <w:rPr>
            <w:rStyle w:val="LineNumber"/>
          </w:rPr>
          <w:instrText xml:space="preserve"> PAGE </w:instrText>
        </w:r>
        <w:r>
          <w:rPr>
            <w:rStyle w:val="LineNumber"/>
          </w:rPr>
          <w:fldChar w:fldCharType="end"/>
        </w:r>
      </w:p>
    </w:sdtContent>
  </w:sdt>
  <w:p w14:paraId="27E77D50" w14:textId="77777777" w:rsidR="008E3AD7" w:rsidRDefault="008E3AD7"/>
  <w:p w14:paraId="097D4036" w14:textId="77777777" w:rsidR="008E3AD7" w:rsidRDefault="008E3AD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LineNumber"/>
      </w:rPr>
      <w:id w:val="-1997257818"/>
      <w:docPartObj>
        <w:docPartGallery w:val="Page Numbers (Bottom of Page)"/>
        <w:docPartUnique/>
      </w:docPartObj>
    </w:sdtPr>
    <w:sdtEndPr>
      <w:rPr>
        <w:rStyle w:val="LineNumber"/>
      </w:rPr>
    </w:sdtEndPr>
    <w:sdtContent>
      <w:p w14:paraId="1E125FFC" w14:textId="4774A954" w:rsidR="008E3AD7" w:rsidRDefault="008E3AD7" w:rsidP="004B1E8C">
        <w:pPr>
          <w:framePr w:wrap="none" w:vAnchor="text" w:hAnchor="margin" w:xAlign="center" w:y="1"/>
          <w:rPr>
            <w:rStyle w:val="LineNumber"/>
          </w:rPr>
        </w:pPr>
        <w:r>
          <w:rPr>
            <w:rStyle w:val="LineNumber"/>
          </w:rPr>
          <w:fldChar w:fldCharType="begin"/>
        </w:r>
        <w:r>
          <w:rPr>
            <w:rStyle w:val="LineNumber"/>
          </w:rPr>
          <w:instrText xml:space="preserve"> PAGE </w:instrText>
        </w:r>
        <w:r>
          <w:rPr>
            <w:rStyle w:val="LineNumber"/>
          </w:rPr>
          <w:fldChar w:fldCharType="separate"/>
        </w:r>
        <w:r w:rsidR="00551C54">
          <w:rPr>
            <w:rStyle w:val="LineNumber"/>
            <w:noProof/>
          </w:rPr>
          <w:t>25</w:t>
        </w:r>
        <w:r>
          <w:rPr>
            <w:rStyle w:val="LineNumber"/>
          </w:rPr>
          <w:fldChar w:fldCharType="end"/>
        </w:r>
      </w:p>
    </w:sdtContent>
  </w:sdt>
  <w:p w14:paraId="41F914B3" w14:textId="77777777" w:rsidR="008E3AD7" w:rsidRDefault="008E3AD7"/>
  <w:p w14:paraId="3AD54B80" w14:textId="77777777" w:rsidR="008E3AD7" w:rsidRDefault="008E3A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D4F02" w14:textId="77777777" w:rsidR="00402810" w:rsidRDefault="00402810">
      <w:r>
        <w:separator/>
      </w:r>
    </w:p>
    <w:p w14:paraId="4BECD91E" w14:textId="77777777" w:rsidR="00402810" w:rsidRDefault="00402810"/>
  </w:footnote>
  <w:footnote w:type="continuationSeparator" w:id="0">
    <w:p w14:paraId="61F3F160" w14:textId="77777777" w:rsidR="00402810" w:rsidRDefault="00402810">
      <w:r>
        <w:continuationSeparator/>
      </w:r>
    </w:p>
    <w:p w14:paraId="667FE237" w14:textId="77777777" w:rsidR="00402810" w:rsidRDefault="004028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0797D"/>
    <w:multiLevelType w:val="hybridMultilevel"/>
    <w:tmpl w:val="12CC8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DC56B7"/>
    <w:multiLevelType w:val="multilevel"/>
    <w:tmpl w:val="CB423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8C097B"/>
    <w:multiLevelType w:val="multilevel"/>
    <w:tmpl w:val="A6B27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542B73"/>
    <w:multiLevelType w:val="hybridMultilevel"/>
    <w:tmpl w:val="9D14ADD4"/>
    <w:lvl w:ilvl="0" w:tplc="5BC8A19E">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39FE772D"/>
    <w:multiLevelType w:val="hybridMultilevel"/>
    <w:tmpl w:val="9FE81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E71B03"/>
    <w:multiLevelType w:val="hybridMultilevel"/>
    <w:tmpl w:val="7ACC6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024A4C"/>
    <w:multiLevelType w:val="multilevel"/>
    <w:tmpl w:val="211A5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BF82EDE"/>
    <w:multiLevelType w:val="multilevel"/>
    <w:tmpl w:val="7772C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2A9639B"/>
    <w:multiLevelType w:val="multilevel"/>
    <w:tmpl w:val="047ED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104285D"/>
    <w:multiLevelType w:val="multilevel"/>
    <w:tmpl w:val="719A9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B0247A6"/>
    <w:multiLevelType w:val="hybridMultilevel"/>
    <w:tmpl w:val="CD2C89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9"/>
  </w:num>
  <w:num w:numId="5">
    <w:abstractNumId w:val="8"/>
  </w:num>
  <w:num w:numId="6">
    <w:abstractNumId w:val="2"/>
  </w:num>
  <w:num w:numId="7">
    <w:abstractNumId w:val="1"/>
  </w:num>
  <w:num w:numId="8">
    <w:abstractNumId w:val="10"/>
  </w:num>
  <w:num w:numId="9">
    <w:abstractNumId w:val="4"/>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363"/>
    <w:rsid w:val="00007516"/>
    <w:rsid w:val="00014B05"/>
    <w:rsid w:val="0002089C"/>
    <w:rsid w:val="00022F8D"/>
    <w:rsid w:val="0005048A"/>
    <w:rsid w:val="00060D87"/>
    <w:rsid w:val="00061E20"/>
    <w:rsid w:val="00065370"/>
    <w:rsid w:val="000804D1"/>
    <w:rsid w:val="00083568"/>
    <w:rsid w:val="000A69B8"/>
    <w:rsid w:val="000C365E"/>
    <w:rsid w:val="000C4D1C"/>
    <w:rsid w:val="00106491"/>
    <w:rsid w:val="00106B99"/>
    <w:rsid w:val="001105B6"/>
    <w:rsid w:val="00112B1F"/>
    <w:rsid w:val="00122CE8"/>
    <w:rsid w:val="00140207"/>
    <w:rsid w:val="001710F7"/>
    <w:rsid w:val="001B35E2"/>
    <w:rsid w:val="001C6152"/>
    <w:rsid w:val="001D60E9"/>
    <w:rsid w:val="001E5A71"/>
    <w:rsid w:val="001F3A29"/>
    <w:rsid w:val="00236810"/>
    <w:rsid w:val="0024411C"/>
    <w:rsid w:val="00262138"/>
    <w:rsid w:val="002703A6"/>
    <w:rsid w:val="0027502E"/>
    <w:rsid w:val="00292FD3"/>
    <w:rsid w:val="002A1DD9"/>
    <w:rsid w:val="002A3966"/>
    <w:rsid w:val="002B0343"/>
    <w:rsid w:val="002B1820"/>
    <w:rsid w:val="002B1FA2"/>
    <w:rsid w:val="002C15C0"/>
    <w:rsid w:val="002C3CB9"/>
    <w:rsid w:val="002D175E"/>
    <w:rsid w:val="00316EE1"/>
    <w:rsid w:val="00334723"/>
    <w:rsid w:val="00337787"/>
    <w:rsid w:val="003524C3"/>
    <w:rsid w:val="00356263"/>
    <w:rsid w:val="00367665"/>
    <w:rsid w:val="0039394E"/>
    <w:rsid w:val="003B0232"/>
    <w:rsid w:val="003C4B24"/>
    <w:rsid w:val="003D14E1"/>
    <w:rsid w:val="003E2119"/>
    <w:rsid w:val="00402810"/>
    <w:rsid w:val="00435EEF"/>
    <w:rsid w:val="00443077"/>
    <w:rsid w:val="00444B35"/>
    <w:rsid w:val="004501C6"/>
    <w:rsid w:val="004513EE"/>
    <w:rsid w:val="00474B1B"/>
    <w:rsid w:val="004A2148"/>
    <w:rsid w:val="004B1E8C"/>
    <w:rsid w:val="004D0B63"/>
    <w:rsid w:val="004E6297"/>
    <w:rsid w:val="004F73F4"/>
    <w:rsid w:val="00505A42"/>
    <w:rsid w:val="00515DB7"/>
    <w:rsid w:val="00525E77"/>
    <w:rsid w:val="00551C54"/>
    <w:rsid w:val="0058530D"/>
    <w:rsid w:val="005A6F68"/>
    <w:rsid w:val="005B5B90"/>
    <w:rsid w:val="00605599"/>
    <w:rsid w:val="00630695"/>
    <w:rsid w:val="006466C7"/>
    <w:rsid w:val="00666EFC"/>
    <w:rsid w:val="00670F22"/>
    <w:rsid w:val="00681FA7"/>
    <w:rsid w:val="006A2846"/>
    <w:rsid w:val="006B11C3"/>
    <w:rsid w:val="006C65E7"/>
    <w:rsid w:val="006F77E6"/>
    <w:rsid w:val="00722FF3"/>
    <w:rsid w:val="00754522"/>
    <w:rsid w:val="0075681C"/>
    <w:rsid w:val="007808F4"/>
    <w:rsid w:val="007845F1"/>
    <w:rsid w:val="00797D99"/>
    <w:rsid w:val="007B4AE8"/>
    <w:rsid w:val="007C4917"/>
    <w:rsid w:val="007D088D"/>
    <w:rsid w:val="007D65AC"/>
    <w:rsid w:val="007E4CE0"/>
    <w:rsid w:val="00812105"/>
    <w:rsid w:val="00824E9D"/>
    <w:rsid w:val="00835D19"/>
    <w:rsid w:val="00857FD5"/>
    <w:rsid w:val="0087252B"/>
    <w:rsid w:val="008933CF"/>
    <w:rsid w:val="008A3EFD"/>
    <w:rsid w:val="008A514E"/>
    <w:rsid w:val="008A762C"/>
    <w:rsid w:val="008B509A"/>
    <w:rsid w:val="008D23D2"/>
    <w:rsid w:val="008D4E55"/>
    <w:rsid w:val="008D5955"/>
    <w:rsid w:val="008E3AD7"/>
    <w:rsid w:val="00924C05"/>
    <w:rsid w:val="00936784"/>
    <w:rsid w:val="00951E3A"/>
    <w:rsid w:val="00951F0F"/>
    <w:rsid w:val="009751A7"/>
    <w:rsid w:val="00981FA2"/>
    <w:rsid w:val="00984BAE"/>
    <w:rsid w:val="009B031F"/>
    <w:rsid w:val="009C59A4"/>
    <w:rsid w:val="009E2A8E"/>
    <w:rsid w:val="00A06957"/>
    <w:rsid w:val="00A1121D"/>
    <w:rsid w:val="00A15871"/>
    <w:rsid w:val="00A27B42"/>
    <w:rsid w:val="00A33D46"/>
    <w:rsid w:val="00A37305"/>
    <w:rsid w:val="00A50A12"/>
    <w:rsid w:val="00A9719A"/>
    <w:rsid w:val="00A9798A"/>
    <w:rsid w:val="00AB3FD2"/>
    <w:rsid w:val="00AB57E6"/>
    <w:rsid w:val="00AB60D2"/>
    <w:rsid w:val="00AF421F"/>
    <w:rsid w:val="00B26E85"/>
    <w:rsid w:val="00B33184"/>
    <w:rsid w:val="00B4517C"/>
    <w:rsid w:val="00B63538"/>
    <w:rsid w:val="00B90390"/>
    <w:rsid w:val="00BD4D2F"/>
    <w:rsid w:val="00C01A0C"/>
    <w:rsid w:val="00C04682"/>
    <w:rsid w:val="00C51917"/>
    <w:rsid w:val="00C563BF"/>
    <w:rsid w:val="00C57C0C"/>
    <w:rsid w:val="00C6308B"/>
    <w:rsid w:val="00C6627F"/>
    <w:rsid w:val="00C73D4E"/>
    <w:rsid w:val="00C8168D"/>
    <w:rsid w:val="00C8591D"/>
    <w:rsid w:val="00C9110C"/>
    <w:rsid w:val="00C926D3"/>
    <w:rsid w:val="00CA0363"/>
    <w:rsid w:val="00CC20B0"/>
    <w:rsid w:val="00CC4D31"/>
    <w:rsid w:val="00CC5787"/>
    <w:rsid w:val="00CD2E21"/>
    <w:rsid w:val="00CF1E38"/>
    <w:rsid w:val="00D01258"/>
    <w:rsid w:val="00D13D8D"/>
    <w:rsid w:val="00D3260F"/>
    <w:rsid w:val="00D61C19"/>
    <w:rsid w:val="00D703C2"/>
    <w:rsid w:val="00D83DC3"/>
    <w:rsid w:val="00DB2A7E"/>
    <w:rsid w:val="00DC3841"/>
    <w:rsid w:val="00DC3CF7"/>
    <w:rsid w:val="00DD4EA9"/>
    <w:rsid w:val="00DF141F"/>
    <w:rsid w:val="00E051ED"/>
    <w:rsid w:val="00E21A77"/>
    <w:rsid w:val="00E34CD7"/>
    <w:rsid w:val="00E36692"/>
    <w:rsid w:val="00E4167E"/>
    <w:rsid w:val="00E42556"/>
    <w:rsid w:val="00E479B0"/>
    <w:rsid w:val="00E51639"/>
    <w:rsid w:val="00E55631"/>
    <w:rsid w:val="00E95556"/>
    <w:rsid w:val="00EF2264"/>
    <w:rsid w:val="00EF4FD5"/>
    <w:rsid w:val="00F03553"/>
    <w:rsid w:val="00F22F62"/>
    <w:rsid w:val="00F46B8E"/>
    <w:rsid w:val="00F520A4"/>
    <w:rsid w:val="00FA109C"/>
    <w:rsid w:val="00FA765F"/>
    <w:rsid w:val="00FB7B0A"/>
    <w:rsid w:val="00FC232C"/>
    <w:rsid w:val="00FC2364"/>
    <w:rsid w:val="00FC2EBB"/>
    <w:rsid w:val="00FC3DA2"/>
    <w:rsid w:val="00FD2A40"/>
    <w:rsid w:val="00FD3BC6"/>
    <w:rsid w:val="00FE2C2A"/>
    <w:rsid w:val="00FF30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42E8F"/>
  <w15:chartTrackingRefBased/>
  <w15:docId w15:val="{F11C0B69-538F-7649-AF9C-2C7F3053F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363"/>
  </w:style>
  <w:style w:type="paragraph" w:styleId="Heading1">
    <w:name w:val="heading 1"/>
    <w:basedOn w:val="Normal"/>
    <w:link w:val="Heading1Char"/>
    <w:uiPriority w:val="9"/>
    <w:qFormat/>
    <w:rsid w:val="00CA036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0363"/>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CA0363"/>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A036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A0363"/>
    <w:rPr>
      <w:rFonts w:ascii="Times New Roman" w:hAnsi="Times New Roman" w:cs="Times New Roman"/>
      <w:sz w:val="18"/>
      <w:szCs w:val="18"/>
    </w:rPr>
  </w:style>
  <w:style w:type="character" w:customStyle="1" w:styleId="apple-converted-space">
    <w:name w:val="apple-converted-space"/>
    <w:basedOn w:val="DefaultParagraphFont"/>
    <w:rsid w:val="00CA0363"/>
  </w:style>
  <w:style w:type="character" w:customStyle="1" w:styleId="apple-tab-span">
    <w:name w:val="apple-tab-span"/>
    <w:basedOn w:val="DefaultParagraphFont"/>
    <w:rsid w:val="00CA0363"/>
  </w:style>
  <w:style w:type="paragraph" w:styleId="ListParagraph">
    <w:name w:val="List Paragraph"/>
    <w:basedOn w:val="Normal"/>
    <w:uiPriority w:val="34"/>
    <w:qFormat/>
    <w:rsid w:val="00CA0363"/>
    <w:pPr>
      <w:ind w:left="720"/>
      <w:contextualSpacing/>
    </w:pPr>
  </w:style>
  <w:style w:type="table" w:styleId="TableGrid">
    <w:name w:val="Table Grid"/>
    <w:basedOn w:val="TableNormal"/>
    <w:uiPriority w:val="59"/>
    <w:rsid w:val="00CA0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A0363"/>
    <w:rPr>
      <w:sz w:val="16"/>
      <w:szCs w:val="16"/>
    </w:rPr>
  </w:style>
  <w:style w:type="paragraph" w:styleId="CommentText">
    <w:name w:val="annotation text"/>
    <w:basedOn w:val="Normal"/>
    <w:link w:val="CommentTextChar"/>
    <w:uiPriority w:val="99"/>
    <w:unhideWhenUsed/>
    <w:rsid w:val="00CA0363"/>
    <w:rPr>
      <w:sz w:val="20"/>
      <w:szCs w:val="20"/>
    </w:rPr>
  </w:style>
  <w:style w:type="character" w:customStyle="1" w:styleId="CommentTextChar">
    <w:name w:val="Comment Text Char"/>
    <w:basedOn w:val="DefaultParagraphFont"/>
    <w:link w:val="CommentText"/>
    <w:uiPriority w:val="99"/>
    <w:rsid w:val="00CA0363"/>
    <w:rPr>
      <w:sz w:val="20"/>
      <w:szCs w:val="20"/>
    </w:rPr>
  </w:style>
  <w:style w:type="character" w:customStyle="1" w:styleId="CommentSubjectChar">
    <w:name w:val="Comment Subject Char"/>
    <w:basedOn w:val="CommentTextChar"/>
    <w:link w:val="CommentSubject"/>
    <w:uiPriority w:val="99"/>
    <w:semiHidden/>
    <w:rsid w:val="00CA0363"/>
    <w:rPr>
      <w:b/>
      <w:bCs/>
      <w:sz w:val="20"/>
      <w:szCs w:val="20"/>
    </w:rPr>
  </w:style>
  <w:style w:type="paragraph" w:styleId="CommentSubject">
    <w:name w:val="annotation subject"/>
    <w:basedOn w:val="CommentText"/>
    <w:next w:val="CommentText"/>
    <w:link w:val="CommentSubjectChar"/>
    <w:uiPriority w:val="99"/>
    <w:semiHidden/>
    <w:unhideWhenUsed/>
    <w:rsid w:val="00CA0363"/>
    <w:rPr>
      <w:b/>
      <w:bCs/>
    </w:rPr>
  </w:style>
  <w:style w:type="character" w:styleId="Emphasis">
    <w:name w:val="Emphasis"/>
    <w:basedOn w:val="DefaultParagraphFont"/>
    <w:uiPriority w:val="20"/>
    <w:qFormat/>
    <w:rsid w:val="00CA0363"/>
    <w:rPr>
      <w:i/>
      <w:iCs/>
    </w:rPr>
  </w:style>
  <w:style w:type="character" w:styleId="Hyperlink">
    <w:name w:val="Hyperlink"/>
    <w:basedOn w:val="DefaultParagraphFont"/>
    <w:uiPriority w:val="99"/>
    <w:unhideWhenUsed/>
    <w:rsid w:val="00CA0363"/>
    <w:rPr>
      <w:color w:val="0000FF"/>
      <w:u w:val="single"/>
    </w:rPr>
  </w:style>
  <w:style w:type="paragraph" w:styleId="Footer">
    <w:name w:val="footer"/>
    <w:basedOn w:val="Normal"/>
    <w:link w:val="FooterChar"/>
    <w:uiPriority w:val="99"/>
    <w:unhideWhenUsed/>
    <w:rsid w:val="00CA0363"/>
    <w:pPr>
      <w:tabs>
        <w:tab w:val="center" w:pos="4680"/>
        <w:tab w:val="right" w:pos="9360"/>
      </w:tabs>
    </w:pPr>
  </w:style>
  <w:style w:type="character" w:customStyle="1" w:styleId="FooterChar">
    <w:name w:val="Footer Char"/>
    <w:basedOn w:val="DefaultParagraphFont"/>
    <w:link w:val="Footer"/>
    <w:uiPriority w:val="99"/>
    <w:rsid w:val="00CA0363"/>
  </w:style>
  <w:style w:type="character" w:styleId="PageNumber">
    <w:name w:val="page number"/>
    <w:basedOn w:val="DefaultParagraphFont"/>
    <w:uiPriority w:val="99"/>
    <w:semiHidden/>
    <w:unhideWhenUsed/>
    <w:rsid w:val="00CA0363"/>
  </w:style>
  <w:style w:type="character" w:styleId="LineNumber">
    <w:name w:val="line number"/>
    <w:basedOn w:val="DefaultParagraphFont"/>
    <w:uiPriority w:val="99"/>
    <w:semiHidden/>
    <w:unhideWhenUsed/>
    <w:rsid w:val="00CA0363"/>
  </w:style>
  <w:style w:type="character" w:customStyle="1" w:styleId="UnresolvedMention1">
    <w:name w:val="Unresolved Mention1"/>
    <w:basedOn w:val="DefaultParagraphFont"/>
    <w:uiPriority w:val="99"/>
    <w:rsid w:val="00CA0363"/>
    <w:rPr>
      <w:color w:val="605E5C"/>
      <w:shd w:val="clear" w:color="auto" w:fill="E1DFDD"/>
    </w:rPr>
  </w:style>
  <w:style w:type="character" w:styleId="PlaceholderText">
    <w:name w:val="Placeholder Text"/>
    <w:basedOn w:val="DefaultParagraphFont"/>
    <w:uiPriority w:val="99"/>
    <w:semiHidden/>
    <w:rsid w:val="00E479B0"/>
    <w:rPr>
      <w:color w:val="808080"/>
    </w:rPr>
  </w:style>
  <w:style w:type="paragraph" w:styleId="Revision">
    <w:name w:val="Revision"/>
    <w:hidden/>
    <w:uiPriority w:val="99"/>
    <w:semiHidden/>
    <w:rsid w:val="00C6308B"/>
  </w:style>
  <w:style w:type="paragraph" w:styleId="NoSpacing">
    <w:name w:val="No Spacing"/>
    <w:uiPriority w:val="1"/>
    <w:qFormat/>
    <w:rsid w:val="00D13D8D"/>
  </w:style>
  <w:style w:type="paragraph" w:styleId="HTMLPreformatted">
    <w:name w:val="HTML Preformatted"/>
    <w:basedOn w:val="Normal"/>
    <w:link w:val="HTMLPreformattedChar"/>
    <w:uiPriority w:val="99"/>
    <w:unhideWhenUsed/>
    <w:rsid w:val="00D13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D13D8D"/>
    <w:rPr>
      <w:rFonts w:ascii="Courier New" w:eastAsia="Times New Roman" w:hAnsi="Courier New" w:cs="Courier New"/>
      <w:sz w:val="20"/>
      <w:szCs w:val="20"/>
      <w:lang w:eastAsia="en-GB"/>
    </w:rPr>
  </w:style>
  <w:style w:type="character" w:styleId="UnresolvedMention">
    <w:name w:val="Unresolved Mention"/>
    <w:basedOn w:val="DefaultParagraphFont"/>
    <w:uiPriority w:val="99"/>
    <w:semiHidden/>
    <w:unhideWhenUsed/>
    <w:rsid w:val="002703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1441">
      <w:bodyDiv w:val="1"/>
      <w:marLeft w:val="0"/>
      <w:marRight w:val="0"/>
      <w:marTop w:val="0"/>
      <w:marBottom w:val="0"/>
      <w:divBdr>
        <w:top w:val="none" w:sz="0" w:space="0" w:color="auto"/>
        <w:left w:val="none" w:sz="0" w:space="0" w:color="auto"/>
        <w:bottom w:val="none" w:sz="0" w:space="0" w:color="auto"/>
        <w:right w:val="none" w:sz="0" w:space="0" w:color="auto"/>
      </w:divBdr>
    </w:div>
    <w:div w:id="90006981">
      <w:bodyDiv w:val="1"/>
      <w:marLeft w:val="0"/>
      <w:marRight w:val="0"/>
      <w:marTop w:val="0"/>
      <w:marBottom w:val="0"/>
      <w:divBdr>
        <w:top w:val="none" w:sz="0" w:space="0" w:color="auto"/>
        <w:left w:val="none" w:sz="0" w:space="0" w:color="auto"/>
        <w:bottom w:val="none" w:sz="0" w:space="0" w:color="auto"/>
        <w:right w:val="none" w:sz="0" w:space="0" w:color="auto"/>
      </w:divBdr>
    </w:div>
    <w:div w:id="97214349">
      <w:bodyDiv w:val="1"/>
      <w:marLeft w:val="0"/>
      <w:marRight w:val="0"/>
      <w:marTop w:val="0"/>
      <w:marBottom w:val="0"/>
      <w:divBdr>
        <w:top w:val="none" w:sz="0" w:space="0" w:color="auto"/>
        <w:left w:val="none" w:sz="0" w:space="0" w:color="auto"/>
        <w:bottom w:val="none" w:sz="0" w:space="0" w:color="auto"/>
        <w:right w:val="none" w:sz="0" w:space="0" w:color="auto"/>
      </w:divBdr>
    </w:div>
    <w:div w:id="223223672">
      <w:bodyDiv w:val="1"/>
      <w:marLeft w:val="0"/>
      <w:marRight w:val="0"/>
      <w:marTop w:val="0"/>
      <w:marBottom w:val="0"/>
      <w:divBdr>
        <w:top w:val="none" w:sz="0" w:space="0" w:color="auto"/>
        <w:left w:val="none" w:sz="0" w:space="0" w:color="auto"/>
        <w:bottom w:val="none" w:sz="0" w:space="0" w:color="auto"/>
        <w:right w:val="none" w:sz="0" w:space="0" w:color="auto"/>
      </w:divBdr>
    </w:div>
    <w:div w:id="546113140">
      <w:bodyDiv w:val="1"/>
      <w:marLeft w:val="0"/>
      <w:marRight w:val="0"/>
      <w:marTop w:val="0"/>
      <w:marBottom w:val="0"/>
      <w:divBdr>
        <w:top w:val="none" w:sz="0" w:space="0" w:color="auto"/>
        <w:left w:val="none" w:sz="0" w:space="0" w:color="auto"/>
        <w:bottom w:val="none" w:sz="0" w:space="0" w:color="auto"/>
        <w:right w:val="none" w:sz="0" w:space="0" w:color="auto"/>
      </w:divBdr>
    </w:div>
    <w:div w:id="626668685">
      <w:bodyDiv w:val="1"/>
      <w:marLeft w:val="0"/>
      <w:marRight w:val="0"/>
      <w:marTop w:val="0"/>
      <w:marBottom w:val="0"/>
      <w:divBdr>
        <w:top w:val="none" w:sz="0" w:space="0" w:color="auto"/>
        <w:left w:val="none" w:sz="0" w:space="0" w:color="auto"/>
        <w:bottom w:val="none" w:sz="0" w:space="0" w:color="auto"/>
        <w:right w:val="none" w:sz="0" w:space="0" w:color="auto"/>
      </w:divBdr>
    </w:div>
    <w:div w:id="754399438">
      <w:bodyDiv w:val="1"/>
      <w:marLeft w:val="0"/>
      <w:marRight w:val="0"/>
      <w:marTop w:val="0"/>
      <w:marBottom w:val="0"/>
      <w:divBdr>
        <w:top w:val="none" w:sz="0" w:space="0" w:color="auto"/>
        <w:left w:val="none" w:sz="0" w:space="0" w:color="auto"/>
        <w:bottom w:val="none" w:sz="0" w:space="0" w:color="auto"/>
        <w:right w:val="none" w:sz="0" w:space="0" w:color="auto"/>
      </w:divBdr>
    </w:div>
    <w:div w:id="885793205">
      <w:bodyDiv w:val="1"/>
      <w:marLeft w:val="0"/>
      <w:marRight w:val="0"/>
      <w:marTop w:val="0"/>
      <w:marBottom w:val="0"/>
      <w:divBdr>
        <w:top w:val="none" w:sz="0" w:space="0" w:color="auto"/>
        <w:left w:val="none" w:sz="0" w:space="0" w:color="auto"/>
        <w:bottom w:val="none" w:sz="0" w:space="0" w:color="auto"/>
        <w:right w:val="none" w:sz="0" w:space="0" w:color="auto"/>
      </w:divBdr>
    </w:div>
    <w:div w:id="1021711839">
      <w:bodyDiv w:val="1"/>
      <w:marLeft w:val="0"/>
      <w:marRight w:val="0"/>
      <w:marTop w:val="0"/>
      <w:marBottom w:val="0"/>
      <w:divBdr>
        <w:top w:val="none" w:sz="0" w:space="0" w:color="auto"/>
        <w:left w:val="none" w:sz="0" w:space="0" w:color="auto"/>
        <w:bottom w:val="none" w:sz="0" w:space="0" w:color="auto"/>
        <w:right w:val="none" w:sz="0" w:space="0" w:color="auto"/>
      </w:divBdr>
    </w:div>
    <w:div w:id="1056855682">
      <w:bodyDiv w:val="1"/>
      <w:marLeft w:val="0"/>
      <w:marRight w:val="0"/>
      <w:marTop w:val="0"/>
      <w:marBottom w:val="0"/>
      <w:divBdr>
        <w:top w:val="none" w:sz="0" w:space="0" w:color="auto"/>
        <w:left w:val="none" w:sz="0" w:space="0" w:color="auto"/>
        <w:bottom w:val="none" w:sz="0" w:space="0" w:color="auto"/>
        <w:right w:val="none" w:sz="0" w:space="0" w:color="auto"/>
      </w:divBdr>
    </w:div>
    <w:div w:id="1063524973">
      <w:bodyDiv w:val="1"/>
      <w:marLeft w:val="0"/>
      <w:marRight w:val="0"/>
      <w:marTop w:val="0"/>
      <w:marBottom w:val="0"/>
      <w:divBdr>
        <w:top w:val="none" w:sz="0" w:space="0" w:color="auto"/>
        <w:left w:val="none" w:sz="0" w:space="0" w:color="auto"/>
        <w:bottom w:val="none" w:sz="0" w:space="0" w:color="auto"/>
        <w:right w:val="none" w:sz="0" w:space="0" w:color="auto"/>
      </w:divBdr>
    </w:div>
    <w:div w:id="1184904077">
      <w:bodyDiv w:val="1"/>
      <w:marLeft w:val="0"/>
      <w:marRight w:val="0"/>
      <w:marTop w:val="0"/>
      <w:marBottom w:val="0"/>
      <w:divBdr>
        <w:top w:val="none" w:sz="0" w:space="0" w:color="auto"/>
        <w:left w:val="none" w:sz="0" w:space="0" w:color="auto"/>
        <w:bottom w:val="none" w:sz="0" w:space="0" w:color="auto"/>
        <w:right w:val="none" w:sz="0" w:space="0" w:color="auto"/>
      </w:divBdr>
    </w:div>
    <w:div w:id="1211844965">
      <w:bodyDiv w:val="1"/>
      <w:marLeft w:val="0"/>
      <w:marRight w:val="0"/>
      <w:marTop w:val="0"/>
      <w:marBottom w:val="0"/>
      <w:divBdr>
        <w:top w:val="none" w:sz="0" w:space="0" w:color="auto"/>
        <w:left w:val="none" w:sz="0" w:space="0" w:color="auto"/>
        <w:bottom w:val="none" w:sz="0" w:space="0" w:color="auto"/>
        <w:right w:val="none" w:sz="0" w:space="0" w:color="auto"/>
      </w:divBdr>
    </w:div>
    <w:div w:id="1226644502">
      <w:bodyDiv w:val="1"/>
      <w:marLeft w:val="0"/>
      <w:marRight w:val="0"/>
      <w:marTop w:val="0"/>
      <w:marBottom w:val="0"/>
      <w:divBdr>
        <w:top w:val="none" w:sz="0" w:space="0" w:color="auto"/>
        <w:left w:val="none" w:sz="0" w:space="0" w:color="auto"/>
        <w:bottom w:val="none" w:sz="0" w:space="0" w:color="auto"/>
        <w:right w:val="none" w:sz="0" w:space="0" w:color="auto"/>
      </w:divBdr>
    </w:div>
    <w:div w:id="1240287700">
      <w:bodyDiv w:val="1"/>
      <w:marLeft w:val="0"/>
      <w:marRight w:val="0"/>
      <w:marTop w:val="0"/>
      <w:marBottom w:val="0"/>
      <w:divBdr>
        <w:top w:val="none" w:sz="0" w:space="0" w:color="auto"/>
        <w:left w:val="none" w:sz="0" w:space="0" w:color="auto"/>
        <w:bottom w:val="none" w:sz="0" w:space="0" w:color="auto"/>
        <w:right w:val="none" w:sz="0" w:space="0" w:color="auto"/>
      </w:divBdr>
    </w:div>
    <w:div w:id="1295714592">
      <w:bodyDiv w:val="1"/>
      <w:marLeft w:val="0"/>
      <w:marRight w:val="0"/>
      <w:marTop w:val="0"/>
      <w:marBottom w:val="0"/>
      <w:divBdr>
        <w:top w:val="none" w:sz="0" w:space="0" w:color="auto"/>
        <w:left w:val="none" w:sz="0" w:space="0" w:color="auto"/>
        <w:bottom w:val="none" w:sz="0" w:space="0" w:color="auto"/>
        <w:right w:val="none" w:sz="0" w:space="0" w:color="auto"/>
      </w:divBdr>
    </w:div>
    <w:div w:id="1308171463">
      <w:bodyDiv w:val="1"/>
      <w:marLeft w:val="0"/>
      <w:marRight w:val="0"/>
      <w:marTop w:val="0"/>
      <w:marBottom w:val="0"/>
      <w:divBdr>
        <w:top w:val="none" w:sz="0" w:space="0" w:color="auto"/>
        <w:left w:val="none" w:sz="0" w:space="0" w:color="auto"/>
        <w:bottom w:val="none" w:sz="0" w:space="0" w:color="auto"/>
        <w:right w:val="none" w:sz="0" w:space="0" w:color="auto"/>
      </w:divBdr>
    </w:div>
    <w:div w:id="1420248429">
      <w:bodyDiv w:val="1"/>
      <w:marLeft w:val="0"/>
      <w:marRight w:val="0"/>
      <w:marTop w:val="0"/>
      <w:marBottom w:val="0"/>
      <w:divBdr>
        <w:top w:val="none" w:sz="0" w:space="0" w:color="auto"/>
        <w:left w:val="none" w:sz="0" w:space="0" w:color="auto"/>
        <w:bottom w:val="none" w:sz="0" w:space="0" w:color="auto"/>
        <w:right w:val="none" w:sz="0" w:space="0" w:color="auto"/>
      </w:divBdr>
    </w:div>
    <w:div w:id="1573738359">
      <w:bodyDiv w:val="1"/>
      <w:marLeft w:val="0"/>
      <w:marRight w:val="0"/>
      <w:marTop w:val="0"/>
      <w:marBottom w:val="0"/>
      <w:divBdr>
        <w:top w:val="none" w:sz="0" w:space="0" w:color="auto"/>
        <w:left w:val="none" w:sz="0" w:space="0" w:color="auto"/>
        <w:bottom w:val="none" w:sz="0" w:space="0" w:color="auto"/>
        <w:right w:val="none" w:sz="0" w:space="0" w:color="auto"/>
      </w:divBdr>
    </w:div>
    <w:div w:id="1602953438">
      <w:bodyDiv w:val="1"/>
      <w:marLeft w:val="0"/>
      <w:marRight w:val="0"/>
      <w:marTop w:val="0"/>
      <w:marBottom w:val="0"/>
      <w:divBdr>
        <w:top w:val="none" w:sz="0" w:space="0" w:color="auto"/>
        <w:left w:val="none" w:sz="0" w:space="0" w:color="auto"/>
        <w:bottom w:val="none" w:sz="0" w:space="0" w:color="auto"/>
        <w:right w:val="none" w:sz="0" w:space="0" w:color="auto"/>
      </w:divBdr>
    </w:div>
    <w:div w:id="1682734063">
      <w:bodyDiv w:val="1"/>
      <w:marLeft w:val="0"/>
      <w:marRight w:val="0"/>
      <w:marTop w:val="0"/>
      <w:marBottom w:val="0"/>
      <w:divBdr>
        <w:top w:val="none" w:sz="0" w:space="0" w:color="auto"/>
        <w:left w:val="none" w:sz="0" w:space="0" w:color="auto"/>
        <w:bottom w:val="none" w:sz="0" w:space="0" w:color="auto"/>
        <w:right w:val="none" w:sz="0" w:space="0" w:color="auto"/>
      </w:divBdr>
    </w:div>
    <w:div w:id="1685324002">
      <w:bodyDiv w:val="1"/>
      <w:marLeft w:val="0"/>
      <w:marRight w:val="0"/>
      <w:marTop w:val="0"/>
      <w:marBottom w:val="0"/>
      <w:divBdr>
        <w:top w:val="none" w:sz="0" w:space="0" w:color="auto"/>
        <w:left w:val="none" w:sz="0" w:space="0" w:color="auto"/>
        <w:bottom w:val="none" w:sz="0" w:space="0" w:color="auto"/>
        <w:right w:val="none" w:sz="0" w:space="0" w:color="auto"/>
      </w:divBdr>
    </w:div>
    <w:div w:id="1759331819">
      <w:bodyDiv w:val="1"/>
      <w:marLeft w:val="0"/>
      <w:marRight w:val="0"/>
      <w:marTop w:val="0"/>
      <w:marBottom w:val="0"/>
      <w:divBdr>
        <w:top w:val="none" w:sz="0" w:space="0" w:color="auto"/>
        <w:left w:val="none" w:sz="0" w:space="0" w:color="auto"/>
        <w:bottom w:val="none" w:sz="0" w:space="0" w:color="auto"/>
        <w:right w:val="none" w:sz="0" w:space="0" w:color="auto"/>
      </w:divBdr>
    </w:div>
    <w:div w:id="1819494639">
      <w:bodyDiv w:val="1"/>
      <w:marLeft w:val="0"/>
      <w:marRight w:val="0"/>
      <w:marTop w:val="0"/>
      <w:marBottom w:val="0"/>
      <w:divBdr>
        <w:top w:val="none" w:sz="0" w:space="0" w:color="auto"/>
        <w:left w:val="none" w:sz="0" w:space="0" w:color="auto"/>
        <w:bottom w:val="none" w:sz="0" w:space="0" w:color="auto"/>
        <w:right w:val="none" w:sz="0" w:space="0" w:color="auto"/>
      </w:divBdr>
    </w:div>
    <w:div w:id="1900626828">
      <w:bodyDiv w:val="1"/>
      <w:marLeft w:val="0"/>
      <w:marRight w:val="0"/>
      <w:marTop w:val="0"/>
      <w:marBottom w:val="0"/>
      <w:divBdr>
        <w:top w:val="none" w:sz="0" w:space="0" w:color="auto"/>
        <w:left w:val="none" w:sz="0" w:space="0" w:color="auto"/>
        <w:bottom w:val="none" w:sz="0" w:space="0" w:color="auto"/>
        <w:right w:val="none" w:sz="0" w:space="0" w:color="auto"/>
      </w:divBdr>
    </w:div>
    <w:div w:id="1929994192">
      <w:bodyDiv w:val="1"/>
      <w:marLeft w:val="0"/>
      <w:marRight w:val="0"/>
      <w:marTop w:val="0"/>
      <w:marBottom w:val="0"/>
      <w:divBdr>
        <w:top w:val="none" w:sz="0" w:space="0" w:color="auto"/>
        <w:left w:val="none" w:sz="0" w:space="0" w:color="auto"/>
        <w:bottom w:val="none" w:sz="0" w:space="0" w:color="auto"/>
        <w:right w:val="none" w:sz="0" w:space="0" w:color="auto"/>
      </w:divBdr>
    </w:div>
    <w:div w:id="1936789058">
      <w:bodyDiv w:val="1"/>
      <w:marLeft w:val="0"/>
      <w:marRight w:val="0"/>
      <w:marTop w:val="0"/>
      <w:marBottom w:val="0"/>
      <w:divBdr>
        <w:top w:val="none" w:sz="0" w:space="0" w:color="auto"/>
        <w:left w:val="none" w:sz="0" w:space="0" w:color="auto"/>
        <w:bottom w:val="none" w:sz="0" w:space="0" w:color="auto"/>
        <w:right w:val="none" w:sz="0" w:space="0" w:color="auto"/>
      </w:divBdr>
    </w:div>
    <w:div w:id="1940677781">
      <w:bodyDiv w:val="1"/>
      <w:marLeft w:val="0"/>
      <w:marRight w:val="0"/>
      <w:marTop w:val="0"/>
      <w:marBottom w:val="0"/>
      <w:divBdr>
        <w:top w:val="none" w:sz="0" w:space="0" w:color="auto"/>
        <w:left w:val="none" w:sz="0" w:space="0" w:color="auto"/>
        <w:bottom w:val="none" w:sz="0" w:space="0" w:color="auto"/>
        <w:right w:val="none" w:sz="0" w:space="0" w:color="auto"/>
      </w:divBdr>
    </w:div>
    <w:div w:id="197343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38/nature23681" TargetMode="External"/><Relationship Id="rId13" Type="http://schemas.openxmlformats.org/officeDocument/2006/relationships/hyperlink" Target="http://www.metoffice.gov.uk/research/modelling-systems/unified-mode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doi.org/10.17874/f899e57a20b" TargetMode="External"/><Relationship Id="rId12" Type="http://schemas.openxmlformats.org/officeDocument/2006/relationships/hyperlink" Target="http://www.jasmin.ac.uk" TargetMode="External"/><Relationship Id="rId17" Type="http://schemas.openxmlformats.org/officeDocument/2006/relationships/image" Target="media/image5.emf"/><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hyperlink" Target="mailto:jap12@cam.ac.uk" TargetMode="External"/><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yperlink" Target="https://doi.org/10.5194/acp-16-12159-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6565</Words>
  <Characters>37425</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Keeble</dc:creator>
  <cp:keywords/>
  <dc:description/>
  <cp:lastModifiedBy>John Pyle</cp:lastModifiedBy>
  <cp:revision>3</cp:revision>
  <cp:lastPrinted>2022-02-11T14:36:00Z</cp:lastPrinted>
  <dcterms:created xsi:type="dcterms:W3CDTF">2022-04-01T11:38:00Z</dcterms:created>
  <dcterms:modified xsi:type="dcterms:W3CDTF">2022-04-01T11:41:00Z</dcterms:modified>
</cp:coreProperties>
</file>