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85DC" w14:textId="77777777" w:rsidR="006A6A98" w:rsidRPr="00887655" w:rsidRDefault="006A6A98" w:rsidP="00887F7C">
      <w:pPr>
        <w:widowControl w:val="0"/>
        <w:spacing w:after="100" w:afterAutospacing="1" w:line="360" w:lineRule="auto"/>
        <w:outlineLvl w:val="0"/>
        <w:rPr>
          <w:rFonts w:eastAsia="Times New Roman"/>
          <w:b/>
        </w:rPr>
      </w:pPr>
      <w:bookmarkStart w:id="0" w:name="_GoBack"/>
      <w:bookmarkEnd w:id="0"/>
      <w:r w:rsidRPr="00876952">
        <w:rPr>
          <w:rFonts w:eastAsia="Times New Roman"/>
          <w:b/>
        </w:rPr>
        <w:t>Title</w:t>
      </w:r>
    </w:p>
    <w:p w14:paraId="267A41EF" w14:textId="77777777" w:rsidR="006A6A98" w:rsidRPr="00887F7C" w:rsidRDefault="006A6A98" w:rsidP="00887F7C">
      <w:pPr>
        <w:widowControl w:val="0"/>
        <w:spacing w:line="480" w:lineRule="auto"/>
        <w:outlineLvl w:val="0"/>
        <w:rPr>
          <w:rFonts w:eastAsia="Times New Roman"/>
        </w:rPr>
      </w:pPr>
      <w:r w:rsidRPr="006A6A98">
        <w:rPr>
          <w:rFonts w:eastAsia="Times New Roman"/>
        </w:rPr>
        <w:t>Using a ‘child’s-eye view’ of social success to understand the importance of school readiness at the transition to formal schooling</w:t>
      </w:r>
    </w:p>
    <w:p w14:paraId="284CE17F" w14:textId="77777777" w:rsidR="00B57C87" w:rsidRDefault="00B57C87" w:rsidP="00BB78C4">
      <w:pPr>
        <w:widowControl w:val="0"/>
        <w:spacing w:line="360" w:lineRule="auto"/>
        <w:outlineLvl w:val="0"/>
        <w:rPr>
          <w:rFonts w:eastAsia="Times New Roman"/>
          <w:b/>
        </w:rPr>
      </w:pPr>
    </w:p>
    <w:p w14:paraId="287395C3" w14:textId="77777777" w:rsidR="006A6A98" w:rsidRDefault="006A6A98" w:rsidP="00BB78C4">
      <w:pPr>
        <w:widowControl w:val="0"/>
        <w:spacing w:line="360" w:lineRule="auto"/>
        <w:outlineLvl w:val="0"/>
        <w:rPr>
          <w:rFonts w:eastAsia="Times New Roman"/>
          <w:b/>
        </w:rPr>
      </w:pPr>
    </w:p>
    <w:p w14:paraId="75451E65" w14:textId="77777777" w:rsidR="00027F7D" w:rsidRDefault="00027F7D" w:rsidP="00BB78C4">
      <w:pPr>
        <w:widowControl w:val="0"/>
        <w:spacing w:line="360" w:lineRule="auto"/>
        <w:outlineLvl w:val="0"/>
        <w:rPr>
          <w:rFonts w:eastAsia="Times New Roman"/>
          <w:b/>
        </w:rPr>
      </w:pPr>
      <w:r>
        <w:rPr>
          <w:rFonts w:eastAsia="Times New Roman"/>
          <w:b/>
        </w:rPr>
        <w:t>Abstract</w:t>
      </w:r>
    </w:p>
    <w:p w14:paraId="77AC109C" w14:textId="77777777" w:rsidR="00027F7D" w:rsidRDefault="00027F7D">
      <w:pPr>
        <w:widowControl w:val="0"/>
        <w:spacing w:line="360" w:lineRule="auto"/>
        <w:rPr>
          <w:rFonts w:eastAsia="Times New Roman"/>
          <w:b/>
        </w:rPr>
      </w:pPr>
    </w:p>
    <w:p w14:paraId="1F061DB2" w14:textId="5E2DCEEE" w:rsidR="00027F7D" w:rsidRDefault="00027F7D" w:rsidP="00BB78C4">
      <w:pPr>
        <w:spacing w:line="480" w:lineRule="auto"/>
        <w:outlineLvl w:val="0"/>
        <w:rPr>
          <w:shd w:val="clear" w:color="auto" w:fill="FFFFFF"/>
        </w:rPr>
      </w:pPr>
      <w:r w:rsidRPr="001E7B1C">
        <w:rPr>
          <w:shd w:val="clear" w:color="auto" w:fill="FFFFFF"/>
        </w:rPr>
        <w:t xml:space="preserve">Recent </w:t>
      </w:r>
      <w:r>
        <w:rPr>
          <w:shd w:val="clear" w:color="auto" w:fill="FFFFFF"/>
        </w:rPr>
        <w:t>research into school readiness</w:t>
      </w:r>
      <w:r w:rsidRPr="001E7B1C">
        <w:rPr>
          <w:shd w:val="clear" w:color="auto" w:fill="FFFFFF"/>
        </w:rPr>
        <w:t xml:space="preserve"> has </w:t>
      </w:r>
      <w:r>
        <w:rPr>
          <w:shd w:val="clear" w:color="auto" w:fill="FFFFFF"/>
        </w:rPr>
        <w:t>highlighted the importance of not only children’s cognitive and socio-emotional skills but also the degree to which they have family support in the home.</w:t>
      </w:r>
      <w:r w:rsidRPr="001E7B1C">
        <w:rPr>
          <w:shd w:val="clear" w:color="auto" w:fill="FFFFFF"/>
        </w:rPr>
        <w:t xml:space="preserve"> </w:t>
      </w:r>
      <w:r>
        <w:t>T</w:t>
      </w:r>
      <w:r w:rsidRPr="001E7B1C">
        <w:rPr>
          <w:shd w:val="clear" w:color="auto" w:fill="FFFFFF"/>
        </w:rPr>
        <w:t>he current study examine</w:t>
      </w:r>
      <w:r>
        <w:rPr>
          <w:shd w:val="clear" w:color="auto" w:fill="FFFFFF"/>
        </w:rPr>
        <w:t>s</w:t>
      </w:r>
      <w:r w:rsidRPr="001E7B1C">
        <w:rPr>
          <w:shd w:val="clear" w:color="auto" w:fill="FFFFFF"/>
        </w:rPr>
        <w:t xml:space="preserve"> the </w:t>
      </w:r>
      <w:r>
        <w:rPr>
          <w:shd w:val="clear" w:color="auto" w:fill="FFFFFF"/>
        </w:rPr>
        <w:t xml:space="preserve">association between </w:t>
      </w:r>
      <w:r w:rsidRPr="001E7B1C">
        <w:rPr>
          <w:shd w:val="clear" w:color="auto" w:fill="FFFFFF"/>
        </w:rPr>
        <w:t>social success upon school entry</w:t>
      </w:r>
      <w:r>
        <w:rPr>
          <w:shd w:val="clear" w:color="auto" w:fill="FFFFFF"/>
        </w:rPr>
        <w:t xml:space="preserve"> and teacher-ratings of school readiness as </w:t>
      </w:r>
      <w:r w:rsidRPr="008F0E15">
        <w:rPr>
          <w:shd w:val="clear" w:color="auto" w:fill="FFFFFF"/>
        </w:rPr>
        <w:t>assessed by th</w:t>
      </w:r>
      <w:r>
        <w:rPr>
          <w:shd w:val="clear" w:color="auto" w:fill="FFFFFF"/>
        </w:rPr>
        <w:t xml:space="preserve">e Brief </w:t>
      </w:r>
      <w:r w:rsidRPr="001E7B1C">
        <w:rPr>
          <w:shd w:val="clear" w:color="auto" w:fill="FFFFFF"/>
        </w:rPr>
        <w:t>Early S</w:t>
      </w:r>
      <w:r>
        <w:rPr>
          <w:shd w:val="clear" w:color="auto" w:fill="FFFFFF"/>
        </w:rPr>
        <w:t xml:space="preserve">kills and Support Index (BESSI), controlling for language ability. Importantly, social success was assessed using a ‘child’s-eye view’ with peer-reported assessments of both </w:t>
      </w:r>
      <w:r w:rsidR="007C7FCC">
        <w:rPr>
          <w:shd w:val="clear" w:color="auto" w:fill="FFFFFF"/>
        </w:rPr>
        <w:t>social preference</w:t>
      </w:r>
      <w:r>
        <w:rPr>
          <w:shd w:val="clear" w:color="auto" w:fill="FFFFFF"/>
        </w:rPr>
        <w:t xml:space="preserve"> and reciprocated friendships. </w:t>
      </w:r>
      <w:r>
        <w:t xml:space="preserve">A total of </w:t>
      </w:r>
      <w:r w:rsidRPr="001E7B1C">
        <w:rPr>
          <w:shd w:val="clear" w:color="auto" w:fill="FFFFFF"/>
        </w:rPr>
        <w:t>244 children (131 boys</w:t>
      </w:r>
      <w:r>
        <w:rPr>
          <w:shd w:val="clear" w:color="auto" w:fill="FFFFFF"/>
        </w:rPr>
        <w:t xml:space="preserve">, </w:t>
      </w:r>
      <w:r w:rsidRPr="008F0E15">
        <w:rPr>
          <w:i/>
          <w:shd w:val="clear" w:color="auto" w:fill="FFFFFF"/>
        </w:rPr>
        <w:t>M</w:t>
      </w:r>
      <w:r w:rsidRPr="008F0E15">
        <w:rPr>
          <w:shd w:val="clear" w:color="auto" w:fill="FFFFFF"/>
          <w:vertAlign w:val="subscript"/>
        </w:rPr>
        <w:t>age</w:t>
      </w:r>
      <w:r>
        <w:rPr>
          <w:rFonts w:eastAsia="Times New Roman"/>
        </w:rPr>
        <w:t xml:space="preserve"> = </w:t>
      </w:r>
      <w:r w:rsidRPr="008F0E15">
        <w:rPr>
          <w:rFonts w:eastAsia="Times New Roman"/>
        </w:rPr>
        <w:t xml:space="preserve">61 </w:t>
      </w:r>
      <w:r>
        <w:rPr>
          <w:rFonts w:eastAsia="Times New Roman"/>
        </w:rPr>
        <w:t xml:space="preserve">months, </w:t>
      </w:r>
      <w:r>
        <w:rPr>
          <w:rFonts w:eastAsia="Times New Roman"/>
          <w:i/>
        </w:rPr>
        <w:t>SD</w:t>
      </w:r>
      <w:r>
        <w:rPr>
          <w:rFonts w:eastAsia="Times New Roman"/>
        </w:rPr>
        <w:t xml:space="preserve"> = 4.</w:t>
      </w:r>
      <w:r w:rsidR="000C2A6C">
        <w:rPr>
          <w:rFonts w:eastAsia="Times New Roman"/>
        </w:rPr>
        <w:t>78</w:t>
      </w:r>
      <w:r>
        <w:rPr>
          <w:rFonts w:eastAsia="Times New Roman"/>
        </w:rPr>
        <w:t xml:space="preserve"> months</w:t>
      </w:r>
      <w:r w:rsidRPr="001E7B1C">
        <w:rPr>
          <w:shd w:val="clear" w:color="auto" w:fill="FFFFFF"/>
        </w:rPr>
        <w:t>)</w:t>
      </w:r>
      <w:r>
        <w:rPr>
          <w:shd w:val="clear" w:color="auto" w:fill="FFFFFF"/>
        </w:rPr>
        <w:t xml:space="preserve"> in their first year of formal schooling participated. Child school readiness </w:t>
      </w:r>
      <w:r w:rsidRPr="001E7B1C">
        <w:rPr>
          <w:shd w:val="clear" w:color="auto" w:fill="FFFFFF"/>
        </w:rPr>
        <w:t xml:space="preserve">was found to be important for </w:t>
      </w:r>
      <w:r w:rsidR="007C7FCC">
        <w:rPr>
          <w:shd w:val="clear" w:color="auto" w:fill="FFFFFF"/>
        </w:rPr>
        <w:t>social preference</w:t>
      </w:r>
      <w:r w:rsidRPr="001E7B1C">
        <w:rPr>
          <w:shd w:val="clear" w:color="auto" w:fill="FFFFFF"/>
        </w:rPr>
        <w:t>, with the association being more marked for boys versus girls.</w:t>
      </w:r>
      <w:r>
        <w:rPr>
          <w:shd w:val="clear" w:color="auto" w:fill="FFFFFF"/>
        </w:rPr>
        <w:t xml:space="preserve"> </w:t>
      </w:r>
      <w:r w:rsidR="00941BA9">
        <w:rPr>
          <w:shd w:val="clear" w:color="auto" w:fill="FFFFFF"/>
        </w:rPr>
        <w:t>F</w:t>
      </w:r>
      <w:r>
        <w:rPr>
          <w:shd w:val="clear" w:color="auto" w:fill="FFFFFF"/>
        </w:rPr>
        <w:t xml:space="preserve">amily support was the only independent predictor of children’s reciprocated friendships. </w:t>
      </w:r>
      <w:r w:rsidRPr="001E7B1C">
        <w:rPr>
          <w:shd w:val="clear" w:color="auto" w:fill="FFFFFF"/>
        </w:rPr>
        <w:t>The u</w:t>
      </w:r>
      <w:r>
        <w:rPr>
          <w:shd w:val="clear" w:color="auto" w:fill="FFFFFF"/>
        </w:rPr>
        <w:t>se of the BESSI, with its broad</w:t>
      </w:r>
      <w:r w:rsidRPr="001E7B1C">
        <w:rPr>
          <w:shd w:val="clear" w:color="auto" w:fill="FFFFFF"/>
        </w:rPr>
        <w:t xml:space="preserve"> scope</w:t>
      </w:r>
      <w:r>
        <w:rPr>
          <w:shd w:val="clear" w:color="auto" w:fill="FFFFFF"/>
        </w:rPr>
        <w:t xml:space="preserve"> compared to other measures of school readiness</w:t>
      </w:r>
      <w:r w:rsidRPr="001E7B1C">
        <w:rPr>
          <w:shd w:val="clear" w:color="auto" w:fill="FFFFFF"/>
        </w:rPr>
        <w:t xml:space="preserve">, </w:t>
      </w:r>
      <w:r>
        <w:rPr>
          <w:shd w:val="clear" w:color="auto" w:fill="FFFFFF"/>
        </w:rPr>
        <w:t>highlights</w:t>
      </w:r>
      <w:r w:rsidRPr="001E7B1C">
        <w:rPr>
          <w:shd w:val="clear" w:color="auto" w:fill="FFFFFF"/>
        </w:rPr>
        <w:t xml:space="preserve"> the </w:t>
      </w:r>
      <w:r>
        <w:rPr>
          <w:shd w:val="clear" w:color="auto" w:fill="FFFFFF"/>
        </w:rPr>
        <w:t xml:space="preserve">importance of focusing both on a child’s cognitive and socio-emotional skills at school entry and their family support when exploring the association of school readiness to children’s </w:t>
      </w:r>
      <w:r w:rsidRPr="001E7B1C">
        <w:rPr>
          <w:shd w:val="clear" w:color="auto" w:fill="FFFFFF"/>
        </w:rPr>
        <w:t>social success at the transition to formal schooling.  </w:t>
      </w:r>
    </w:p>
    <w:p w14:paraId="547F489C" w14:textId="77777777" w:rsidR="00887655" w:rsidRDefault="00887655" w:rsidP="00BB78C4">
      <w:pPr>
        <w:spacing w:line="480" w:lineRule="auto"/>
        <w:outlineLvl w:val="0"/>
        <w:rPr>
          <w:b/>
          <w:shd w:val="clear" w:color="auto" w:fill="FFFFFF"/>
        </w:rPr>
      </w:pPr>
      <w:r w:rsidRPr="00887F7C">
        <w:rPr>
          <w:b/>
          <w:shd w:val="clear" w:color="auto" w:fill="FFFFFF"/>
        </w:rPr>
        <w:t>Keywords</w:t>
      </w:r>
    </w:p>
    <w:p w14:paraId="321165F5" w14:textId="77777777" w:rsidR="00B57C87" w:rsidRDefault="00887655" w:rsidP="00887F7C">
      <w:pPr>
        <w:widowControl w:val="0"/>
        <w:spacing w:line="480" w:lineRule="auto"/>
        <w:rPr>
          <w:b/>
          <w:shd w:val="clear" w:color="auto" w:fill="FFFFFF"/>
        </w:rPr>
      </w:pPr>
      <w:r>
        <w:rPr>
          <w:b/>
          <w:shd w:val="clear" w:color="auto" w:fill="FFFFFF"/>
        </w:rPr>
        <w:t xml:space="preserve">School readiness; </w:t>
      </w:r>
      <w:r w:rsidR="00B57C87">
        <w:rPr>
          <w:b/>
          <w:shd w:val="clear" w:color="auto" w:fill="FFFFFF"/>
        </w:rPr>
        <w:t>social competence, home environment, friendship, peers/</w:t>
      </w:r>
      <w:r>
        <w:rPr>
          <w:b/>
          <w:shd w:val="clear" w:color="auto" w:fill="FFFFFF"/>
        </w:rPr>
        <w:t>peer</w:t>
      </w:r>
      <w:r w:rsidR="00B57C87">
        <w:rPr>
          <w:b/>
          <w:shd w:val="clear" w:color="auto" w:fill="FFFFFF"/>
        </w:rPr>
        <w:t xml:space="preserve"> relations</w:t>
      </w:r>
    </w:p>
    <w:p w14:paraId="09EF23A0" w14:textId="77777777" w:rsidR="00027F7D" w:rsidRPr="00887F7C" w:rsidRDefault="00876952" w:rsidP="00887F7C">
      <w:pPr>
        <w:widowControl w:val="0"/>
        <w:spacing w:line="480" w:lineRule="auto"/>
        <w:rPr>
          <w:rFonts w:eastAsia="Times New Roman"/>
          <w:b/>
        </w:rPr>
      </w:pPr>
      <w:r w:rsidRPr="00887F7C">
        <w:rPr>
          <w:rFonts w:eastAsia="Times New Roman"/>
          <w:b/>
        </w:rPr>
        <w:lastRenderedPageBreak/>
        <w:t>Introduction</w:t>
      </w:r>
    </w:p>
    <w:p w14:paraId="5F599E24" w14:textId="104FB31B" w:rsidR="00027F7D" w:rsidRDefault="00027F7D">
      <w:pPr>
        <w:widowControl w:val="0"/>
        <w:spacing w:line="480" w:lineRule="auto"/>
        <w:ind w:firstLine="720"/>
        <w:rPr>
          <w:rFonts w:eastAsia="Times New Roman"/>
        </w:rPr>
      </w:pPr>
      <w:r>
        <w:rPr>
          <w:rFonts w:eastAsia="Times New Roman"/>
        </w:rPr>
        <w:t>The degree to which a child is ready, both cognitively and socially, to enter formal schooling has important implications for later academic performance and social success. While the school readiness literature has</w:t>
      </w:r>
      <w:r w:rsidRPr="00AD01EB">
        <w:rPr>
          <w:rFonts w:eastAsia="Times New Roman"/>
        </w:rPr>
        <w:t xml:space="preserve"> </w:t>
      </w:r>
      <w:r>
        <w:rPr>
          <w:rFonts w:eastAsia="Times New Roman"/>
        </w:rPr>
        <w:t xml:space="preserve">traditionally emphasised children’s core academic skills such as literacy and numeracy, more recent research has adopted a broader approach that reflects an increased awareness of the importance of socio-emotional competence and daily living skills for children’s success in the transition to school </w:t>
      </w:r>
      <w:r>
        <w:rPr>
          <w:rFonts w:eastAsia="Times New Roman"/>
          <w:noProof/>
          <w:highlight w:val="white"/>
        </w:rPr>
        <w:t>(Caprara, Barbaranelli, Pastor</w:t>
      </w:r>
      <w:r w:rsidR="00C35B74">
        <w:rPr>
          <w:rFonts w:eastAsia="Times New Roman"/>
          <w:noProof/>
          <w:highlight w:val="white"/>
        </w:rPr>
        <w:t>elli, Bandura, &amp; Zimbardo, 2000</w:t>
      </w:r>
      <w:r>
        <w:rPr>
          <w:rFonts w:eastAsia="Times New Roman"/>
          <w:highlight w:val="white"/>
        </w:rPr>
        <w:t xml:space="preserve">; </w:t>
      </w:r>
      <w:r>
        <w:rPr>
          <w:rFonts w:eastAsia="Times New Roman"/>
          <w:noProof/>
          <w:highlight w:val="white"/>
        </w:rPr>
        <w:t xml:space="preserve">Denham, </w:t>
      </w:r>
      <w:r w:rsidR="00C35B74">
        <w:rPr>
          <w:rFonts w:eastAsia="Times New Roman"/>
          <w:noProof/>
          <w:highlight w:val="white"/>
        </w:rPr>
        <w:t>Bassett, Zinsser, &amp; Wyatt, 2014</w:t>
      </w:r>
      <w:r>
        <w:rPr>
          <w:rFonts w:eastAsia="Times New Roman"/>
          <w:highlight w:val="white"/>
        </w:rPr>
        <w:t xml:space="preserve">; </w:t>
      </w:r>
      <w:r w:rsidR="00C35B74">
        <w:rPr>
          <w:rFonts w:eastAsia="Times New Roman"/>
          <w:noProof/>
          <w:highlight w:val="white"/>
        </w:rPr>
        <w:t xml:space="preserve">Elias &amp; Haynes, 2008; </w:t>
      </w:r>
      <w:r>
        <w:rPr>
          <w:rFonts w:eastAsia="Times New Roman"/>
          <w:noProof/>
          <w:highlight w:val="white"/>
        </w:rPr>
        <w:t>Jennings &amp; DiPrete, 2010)</w:t>
      </w:r>
      <w:r>
        <w:rPr>
          <w:rFonts w:eastAsia="Times New Roman"/>
          <w:highlight w:val="white"/>
        </w:rPr>
        <w:t>.</w:t>
      </w:r>
      <w:r>
        <w:rPr>
          <w:rFonts w:eastAsia="Times New Roman"/>
        </w:rPr>
        <w:t xml:space="preserve"> Indeed, longitudinal findings that highlight long-term consequences of social success in the early years have been influential in shaping public policy initiatives to ensure that children possess sufficient social and emotional skills in order to allow them to be school ready (e.g., </w:t>
      </w:r>
      <w:r w:rsidR="00C35B74">
        <w:rPr>
          <w:rFonts w:eastAsia="Times New Roman"/>
          <w:noProof/>
        </w:rPr>
        <w:t xml:space="preserve">Allen, 2011; </w:t>
      </w:r>
      <w:r>
        <w:rPr>
          <w:rFonts w:eastAsia="Times New Roman"/>
          <w:noProof/>
        </w:rPr>
        <w:t>Durlak, Weissberg, Dymnicki, Taylor, &amp; Schellinger, 2011)</w:t>
      </w:r>
      <w:r>
        <w:rPr>
          <w:rFonts w:eastAsia="Times New Roman"/>
        </w:rPr>
        <w:t xml:space="preserve">. </w:t>
      </w:r>
    </w:p>
    <w:p w14:paraId="0C14C19E" w14:textId="1E925815" w:rsidR="00027F7D" w:rsidRDefault="00027F7D">
      <w:pPr>
        <w:widowControl w:val="0"/>
        <w:spacing w:line="480" w:lineRule="auto"/>
        <w:ind w:firstLine="720"/>
        <w:rPr>
          <w:rFonts w:eastAsia="Times New Roman"/>
        </w:rPr>
      </w:pPr>
      <w:r>
        <w:rPr>
          <w:rFonts w:eastAsia="Times New Roman"/>
        </w:rPr>
        <w:t xml:space="preserve">Both studies of children’s school readiness and the broader field of research on social, emotional and cognitive development consistently indicate that boys start school with less sophisticated skills compared to their female peers, raising the question of how these </w:t>
      </w:r>
      <w:r w:rsidR="0028657E">
        <w:rPr>
          <w:rFonts w:eastAsia="Times New Roman"/>
        </w:rPr>
        <w:t xml:space="preserve">gender </w:t>
      </w:r>
      <w:r>
        <w:rPr>
          <w:rFonts w:eastAsia="Times New Roman"/>
        </w:rPr>
        <w:t xml:space="preserve">differences may manifest in the school setting. One useful approach to addressing this question that has been relatively neglected in existing research is the inclusion of children’s own perspectives on their early developing peer relationships. Thus, the current study adopts a ‘child’s-eye view’, capitalising on children’s unique insight into their peer relationships, to explore associations between </w:t>
      </w:r>
      <w:r w:rsidR="007C7FCC">
        <w:rPr>
          <w:rFonts w:eastAsia="Times New Roman"/>
        </w:rPr>
        <w:t>social preference</w:t>
      </w:r>
      <w:r>
        <w:rPr>
          <w:rFonts w:eastAsia="Times New Roman"/>
        </w:rPr>
        <w:t xml:space="preserve">, friendships and teachers’ ratings of school readiness as assessed using both cognitive and socio-emotional markers of preparedness for school </w:t>
      </w:r>
      <w:r>
        <w:rPr>
          <w:rFonts w:eastAsia="Times New Roman"/>
          <w:noProof/>
        </w:rPr>
        <w:t>(Hughes, Daly, Foley, White, &amp; Devine, 2015)</w:t>
      </w:r>
      <w:r>
        <w:rPr>
          <w:rFonts w:eastAsia="Times New Roman"/>
        </w:rPr>
        <w:t xml:space="preserve">. </w:t>
      </w:r>
    </w:p>
    <w:p w14:paraId="13548B84" w14:textId="77777777" w:rsidR="00027F7D" w:rsidRDefault="00027F7D">
      <w:pPr>
        <w:widowControl w:val="0"/>
        <w:spacing w:line="480" w:lineRule="auto"/>
        <w:ind w:firstLine="720"/>
        <w:rPr>
          <w:rFonts w:eastAsia="Times New Roman"/>
        </w:rPr>
      </w:pPr>
      <w:r>
        <w:rPr>
          <w:rFonts w:eastAsia="Times New Roman"/>
        </w:rPr>
        <w:lastRenderedPageBreak/>
        <w:t xml:space="preserve">Research interest in school readiness has grown dramatically since the 1990s, with investigators adopting a range of different perspectives and measurement approaches </w:t>
      </w:r>
      <w:r>
        <w:rPr>
          <w:rFonts w:eastAsia="Times New Roman"/>
          <w:noProof/>
        </w:rPr>
        <w:t>(Snow, 2006)</w:t>
      </w:r>
      <w:r>
        <w:rPr>
          <w:rFonts w:eastAsia="Times New Roman"/>
        </w:rPr>
        <w:t>. Definitions of what constitutes ‘school readiness’ have included cognitive skills, such as cognitive control, learning and memory</w:t>
      </w:r>
      <w:r w:rsidR="00484D4A">
        <w:rPr>
          <w:rFonts w:eastAsia="Times New Roman"/>
        </w:rPr>
        <w:t>, all of which are</w:t>
      </w:r>
      <w:r>
        <w:rPr>
          <w:rFonts w:eastAsia="Times New Roman"/>
        </w:rPr>
        <w:t xml:space="preserve"> considered </w:t>
      </w:r>
      <w:r w:rsidR="00484D4A">
        <w:rPr>
          <w:rFonts w:eastAsia="Times New Roman"/>
        </w:rPr>
        <w:t xml:space="preserve">to be </w:t>
      </w:r>
      <w:r>
        <w:rPr>
          <w:rFonts w:eastAsia="Times New Roman"/>
        </w:rPr>
        <w:t xml:space="preserve">crucial for school success </w:t>
      </w:r>
      <w:r>
        <w:rPr>
          <w:rFonts w:eastAsia="Times New Roman"/>
          <w:noProof/>
        </w:rPr>
        <w:t>(e.g., Noble, Tottenham, &amp; Casey, 2005)</w:t>
      </w:r>
      <w:r>
        <w:rPr>
          <w:rFonts w:eastAsia="Times New Roman"/>
        </w:rPr>
        <w:t xml:space="preserve">. Other definitions have also considered the social and emotional competencies that impact school success, such as the ability to manage emotions and form friendships </w:t>
      </w:r>
      <w:r>
        <w:rPr>
          <w:rFonts w:eastAsia="Times New Roman"/>
          <w:noProof/>
        </w:rPr>
        <w:t>(e.g., Linder, Ramey, &amp; Zambak, 2013; Ray &amp; Smith, 2010)</w:t>
      </w:r>
      <w:r>
        <w:rPr>
          <w:rFonts w:eastAsia="Times New Roman"/>
        </w:rPr>
        <w:t xml:space="preserve">. </w:t>
      </w:r>
    </w:p>
    <w:p w14:paraId="2D78F483" w14:textId="5CD2112A" w:rsidR="00027F7D" w:rsidRDefault="00027F7D">
      <w:pPr>
        <w:widowControl w:val="0"/>
        <w:spacing w:line="480" w:lineRule="auto"/>
        <w:ind w:firstLine="720"/>
        <w:rPr>
          <w:rFonts w:eastAsia="Times New Roman"/>
        </w:rPr>
      </w:pPr>
      <w:r>
        <w:rPr>
          <w:rFonts w:eastAsia="Times New Roman"/>
        </w:rPr>
        <w:t xml:space="preserve">Longitudinal studies examining the outcomes of school readiness on both cognitive and socio-emotional skills have demonstrated, for the most part, that both features are important. For example, in a large study, across six longitudinal datasets, children’s cognitive numeracy and literacy skills upon school entry predicted academic achievement years later </w:t>
      </w:r>
      <w:r>
        <w:rPr>
          <w:rFonts w:eastAsia="Times New Roman"/>
          <w:noProof/>
        </w:rPr>
        <w:t>(Duncan et al., 2007)</w:t>
      </w:r>
      <w:r>
        <w:rPr>
          <w:rFonts w:eastAsia="Times New Roman"/>
        </w:rPr>
        <w:t xml:space="preserve">. Other research has also demonstrated that children who enter their first year of school with more sophisticated socio-emotional skills make a more successful school transition and are likely to have both higher academic achievement and a more positive attitude toward schooling than their peers </w:t>
      </w:r>
      <w:r>
        <w:rPr>
          <w:rFonts w:eastAsia="Times New Roman"/>
          <w:noProof/>
        </w:rPr>
        <w:t>(</w:t>
      </w:r>
      <w:r w:rsidR="00C35B74">
        <w:rPr>
          <w:rFonts w:eastAsia="Times New Roman"/>
          <w:noProof/>
        </w:rPr>
        <w:t xml:space="preserve">Ladd, Birch, &amp; Buhs, 1999; </w:t>
      </w:r>
      <w:r>
        <w:rPr>
          <w:rFonts w:eastAsia="Times New Roman"/>
          <w:noProof/>
        </w:rPr>
        <w:t>Ladd, Kochenderfer, &amp; Coleman, 1996</w:t>
      </w:r>
      <w:r w:rsidR="00484D4A">
        <w:rPr>
          <w:rFonts w:eastAsia="Times New Roman"/>
          <w:noProof/>
        </w:rPr>
        <w:t>;</w:t>
      </w:r>
      <w:r w:rsidR="00C35B74">
        <w:rPr>
          <w:rFonts w:eastAsia="Times New Roman"/>
          <w:noProof/>
        </w:rPr>
        <w:t xml:space="preserve"> for an exception</w:t>
      </w:r>
      <w:r w:rsidR="00484D4A">
        <w:rPr>
          <w:rFonts w:eastAsia="Times New Roman"/>
          <w:noProof/>
        </w:rPr>
        <w:t>,</w:t>
      </w:r>
      <w:r w:rsidR="00C35B74">
        <w:rPr>
          <w:rFonts w:eastAsia="Times New Roman"/>
          <w:noProof/>
        </w:rPr>
        <w:t xml:space="preserve"> see Duncan et al., 2007</w:t>
      </w:r>
      <w:r>
        <w:rPr>
          <w:rFonts w:eastAsia="Times New Roman"/>
          <w:noProof/>
        </w:rPr>
        <w:t>)</w:t>
      </w:r>
      <w:r>
        <w:rPr>
          <w:rFonts w:eastAsia="Times New Roman"/>
        </w:rPr>
        <w:t xml:space="preserve">. Conversely, children who have difficulty making and maintaining friends during the first year of school are more likely to struggle adapting to the transition and new routine, and experience poorer academic performance </w:t>
      </w:r>
      <w:r>
        <w:rPr>
          <w:rFonts w:eastAsia="Times New Roman"/>
          <w:noProof/>
        </w:rPr>
        <w:t>(Ladd, 1990)</w:t>
      </w:r>
      <w:r>
        <w:rPr>
          <w:rFonts w:eastAsia="Times New Roman"/>
        </w:rPr>
        <w:t xml:space="preserve">. In a study comparing preschool children with (parent-rated) high social competence to those with low-to-average social competence, </w:t>
      </w:r>
      <w:proofErr w:type="spellStart"/>
      <w:r>
        <w:rPr>
          <w:rFonts w:eastAsia="Times New Roman"/>
        </w:rPr>
        <w:t>Konold</w:t>
      </w:r>
      <w:proofErr w:type="spellEnd"/>
      <w:r>
        <w:rPr>
          <w:rFonts w:eastAsia="Times New Roman"/>
        </w:rPr>
        <w:t xml:space="preserve"> and </w:t>
      </w:r>
      <w:proofErr w:type="spellStart"/>
      <w:r>
        <w:rPr>
          <w:rFonts w:eastAsia="Times New Roman"/>
        </w:rPr>
        <w:t>Pianta</w:t>
      </w:r>
      <w:proofErr w:type="spellEnd"/>
      <w:r>
        <w:rPr>
          <w:rFonts w:eastAsia="Times New Roman"/>
        </w:rPr>
        <w:t xml:space="preserve"> </w:t>
      </w:r>
      <w:r>
        <w:rPr>
          <w:rFonts w:eastAsia="Times New Roman"/>
          <w:noProof/>
        </w:rPr>
        <w:t>(2005)</w:t>
      </w:r>
      <w:r>
        <w:rPr>
          <w:rFonts w:eastAsia="Times New Roman"/>
        </w:rPr>
        <w:t xml:space="preserve"> reported higher academic achievement scores for socially</w:t>
      </w:r>
      <w:r w:rsidR="008C125D">
        <w:rPr>
          <w:rFonts w:eastAsia="Times New Roman"/>
        </w:rPr>
        <w:t>-</w:t>
      </w:r>
      <w:r>
        <w:rPr>
          <w:rFonts w:eastAsia="Times New Roman"/>
        </w:rPr>
        <w:t xml:space="preserve">competent children compared to children with poorer social skills, even though the two groups did not differ in their performance on cognitive tasks. Likewise, other </w:t>
      </w:r>
      <w:r>
        <w:rPr>
          <w:rFonts w:eastAsia="Times New Roman"/>
        </w:rPr>
        <w:lastRenderedPageBreak/>
        <w:t xml:space="preserve">studies have shown that teacher ratings of preschool children’s social skills are not only associated with concurrent mathematical performance </w:t>
      </w:r>
      <w:r>
        <w:rPr>
          <w:rFonts w:eastAsia="Times New Roman"/>
          <w:noProof/>
        </w:rPr>
        <w:t>(Dobbs, Doctoroff, Fisher, &amp; Arnold, 2006)</w:t>
      </w:r>
      <w:r>
        <w:rPr>
          <w:rFonts w:eastAsia="Times New Roman"/>
        </w:rPr>
        <w:t xml:space="preserve"> but also predict math and reading skills 6 years later </w:t>
      </w:r>
      <w:r>
        <w:rPr>
          <w:rFonts w:eastAsia="Times New Roman"/>
          <w:noProof/>
        </w:rPr>
        <w:t>(McClelland, Acock, &amp; Morrison, 2006)</w:t>
      </w:r>
      <w:r>
        <w:rPr>
          <w:rFonts w:eastAsia="Times New Roman"/>
        </w:rPr>
        <w:t xml:space="preserve">. </w:t>
      </w:r>
    </w:p>
    <w:p w14:paraId="144909DA" w14:textId="6FB3C999" w:rsidR="00027F7D" w:rsidRDefault="00027F7D">
      <w:pPr>
        <w:widowControl w:val="0"/>
        <w:spacing w:line="480" w:lineRule="auto"/>
        <w:ind w:firstLine="720"/>
        <w:rPr>
          <w:rFonts w:eastAsia="Times New Roman"/>
        </w:rPr>
      </w:pPr>
      <w:r>
        <w:rPr>
          <w:rFonts w:eastAsia="Times New Roman"/>
        </w:rPr>
        <w:t xml:space="preserve">It is important to note that Duncan </w:t>
      </w:r>
      <w:r w:rsidR="008C125D">
        <w:rPr>
          <w:rFonts w:eastAsia="Times New Roman"/>
        </w:rPr>
        <w:t xml:space="preserve">and </w:t>
      </w:r>
      <w:r>
        <w:rPr>
          <w:rFonts w:eastAsia="Times New Roman"/>
        </w:rPr>
        <w:t xml:space="preserve">colleagues’ </w:t>
      </w:r>
      <w:r>
        <w:rPr>
          <w:rFonts w:eastAsia="Times New Roman"/>
          <w:noProof/>
        </w:rPr>
        <w:t>(2007)</w:t>
      </w:r>
      <w:r>
        <w:rPr>
          <w:rFonts w:eastAsia="Times New Roman"/>
        </w:rPr>
        <w:t xml:space="preserve"> comprehensive analysis of six large datasets</w:t>
      </w:r>
      <w:r w:rsidR="00AA491D">
        <w:rPr>
          <w:rFonts w:eastAsia="Times New Roman"/>
        </w:rPr>
        <w:t xml:space="preserve"> did not </w:t>
      </w:r>
      <w:r>
        <w:rPr>
          <w:rFonts w:eastAsia="Times New Roman"/>
        </w:rPr>
        <w:t xml:space="preserve">find a direct association between children’s socio-emotional skills at school entry and later academic achievement. One possible explanation for this finding is that the studies included in the analysis relied only on teachers as informants of children’s socio-emotional </w:t>
      </w:r>
      <w:r w:rsidRPr="00DF3FC3">
        <w:rPr>
          <w:rFonts w:eastAsia="Times New Roman"/>
        </w:rPr>
        <w:t>competencies. Given that adults and children are likely to differ in their views on what constitutes a good playmate, it is necessary to explore the association of school readiness and social success using a ‘child’s-eye view’. In many ways, children are arguably better positioned than their teachers or parents to report on social success in the school context as they have a unique insight into the day-to-day interactions of their peers</w:t>
      </w:r>
      <w:r>
        <w:rPr>
          <w:rFonts w:eastAsia="Times New Roman"/>
        </w:rPr>
        <w:t xml:space="preserve"> that may not be as salient (or readily observable) to adults. Furthermore, peer reports in particular are seen as a more objective means by which to gather information on a child’s social competence as they do not rely on a single informant, instead all participating children in the classroom contribute to peers’ scores. Tellingly, when multiple informants have been used to assess social competence</w:t>
      </w:r>
      <w:r w:rsidR="008C125D">
        <w:rPr>
          <w:rFonts w:eastAsia="Times New Roman"/>
        </w:rPr>
        <w:t>,</w:t>
      </w:r>
      <w:r>
        <w:rPr>
          <w:rFonts w:eastAsia="Times New Roman"/>
        </w:rPr>
        <w:t xml:space="preserve"> the agreement across informants tends to be poor </w:t>
      </w:r>
      <w:r>
        <w:rPr>
          <w:rFonts w:eastAsia="Times New Roman"/>
          <w:noProof/>
        </w:rPr>
        <w:t>(Renk &amp; Phares, 2004)</w:t>
      </w:r>
      <w:r>
        <w:rPr>
          <w:rFonts w:eastAsia="Times New Roman"/>
        </w:rPr>
        <w:t>, suggesting that peers, teachers and parents focus on different aspects of behaviour when rating social competence.</w:t>
      </w:r>
    </w:p>
    <w:p w14:paraId="510BB5E1" w14:textId="398848D4" w:rsidR="00027F7D" w:rsidRDefault="00027F7D">
      <w:pPr>
        <w:widowControl w:val="0"/>
        <w:spacing w:line="480" w:lineRule="auto"/>
        <w:ind w:firstLine="720"/>
        <w:rPr>
          <w:rFonts w:eastAsia="Times New Roman"/>
        </w:rPr>
      </w:pPr>
      <w:r>
        <w:rPr>
          <w:rFonts w:eastAsia="Times New Roman"/>
        </w:rPr>
        <w:t xml:space="preserve">Numerous studies have adopted peer nomination techniques to assess reciprocated friendships and social standing in the peer group and these two indices have shown differential associations with later social and emotional functioning </w:t>
      </w:r>
      <w:r>
        <w:rPr>
          <w:rFonts w:eastAsia="Times New Roman"/>
          <w:noProof/>
        </w:rPr>
        <w:t>(Gifford-Smith &amp; Brownell, 2003)</w:t>
      </w:r>
      <w:r>
        <w:rPr>
          <w:rFonts w:eastAsia="Times New Roman"/>
        </w:rPr>
        <w:t xml:space="preserve">. That is, it is possible to have high social standing </w:t>
      </w:r>
      <w:r>
        <w:rPr>
          <w:rFonts w:eastAsia="Times New Roman"/>
        </w:rPr>
        <w:lastRenderedPageBreak/>
        <w:t xml:space="preserve">in the peer group (i.e., have high </w:t>
      </w:r>
      <w:r w:rsidR="007C7FCC">
        <w:rPr>
          <w:rFonts w:eastAsia="Times New Roman"/>
        </w:rPr>
        <w:t>social preference</w:t>
      </w:r>
      <w:r>
        <w:rPr>
          <w:rFonts w:eastAsia="Times New Roman"/>
        </w:rPr>
        <w:t>) but lack a reciprocated friend</w:t>
      </w:r>
      <w:r w:rsidR="00A860A5">
        <w:rPr>
          <w:rFonts w:eastAsia="Times New Roman"/>
        </w:rPr>
        <w:t>.</w:t>
      </w:r>
      <w:r w:rsidRPr="002A79A0">
        <w:rPr>
          <w:rFonts w:eastAsia="Times New Roman"/>
        </w:rPr>
        <w:t xml:space="preserve"> </w:t>
      </w:r>
      <w:r w:rsidR="00A860A5">
        <w:rPr>
          <w:rFonts w:eastAsia="Times New Roman"/>
        </w:rPr>
        <w:t xml:space="preserve">Additionally, </w:t>
      </w:r>
      <w:r>
        <w:rPr>
          <w:rFonts w:eastAsia="Times New Roman"/>
        </w:rPr>
        <w:t xml:space="preserve">the presence of a reciprocated friendship </w:t>
      </w:r>
      <w:r w:rsidR="00A860A5">
        <w:rPr>
          <w:rFonts w:eastAsia="Times New Roman"/>
        </w:rPr>
        <w:t xml:space="preserve">has been </w:t>
      </w:r>
      <w:proofErr w:type="gramStart"/>
      <w:r w:rsidR="00A860A5">
        <w:rPr>
          <w:rFonts w:eastAsia="Times New Roman"/>
        </w:rPr>
        <w:t xml:space="preserve">found </w:t>
      </w:r>
      <w:r>
        <w:rPr>
          <w:rFonts w:eastAsia="Times New Roman"/>
        </w:rPr>
        <w:t xml:space="preserve"> to</w:t>
      </w:r>
      <w:proofErr w:type="gramEnd"/>
      <w:r>
        <w:rPr>
          <w:rFonts w:eastAsia="Times New Roman"/>
        </w:rPr>
        <w:t xml:space="preserve"> serve as a buffer against the negative repercussions of low </w:t>
      </w:r>
      <w:r w:rsidR="007C7FCC">
        <w:rPr>
          <w:rFonts w:eastAsia="Times New Roman"/>
        </w:rPr>
        <w:t>social preference</w:t>
      </w:r>
      <w:r>
        <w:rPr>
          <w:rFonts w:eastAsia="Times New Roman"/>
        </w:rPr>
        <w:t xml:space="preserve"> </w:t>
      </w:r>
      <w:r>
        <w:rPr>
          <w:rFonts w:eastAsia="Times New Roman"/>
          <w:noProof/>
        </w:rPr>
        <w:t>(Gifford-Smith &amp; Brownell, 2003; Laursen, Bukowski, Aunola, &amp; Nurmi, 2007)</w:t>
      </w:r>
      <w:r>
        <w:rPr>
          <w:rFonts w:eastAsia="Times New Roman"/>
        </w:rPr>
        <w:t>. Given the unique insight into children’s social success that is provided by children themselves, studies exploring the association between school readiness and child-rated social competencies are clearly needed, if only to avoid the pitfalls of shared-reporter bias that may occur when teachers complete both measures of school readiness and children</w:t>
      </w:r>
      <w:r w:rsidR="00A860A5">
        <w:rPr>
          <w:rFonts w:eastAsia="Times New Roman"/>
        </w:rPr>
        <w:t>’</w:t>
      </w:r>
      <w:r>
        <w:rPr>
          <w:rFonts w:eastAsia="Times New Roman"/>
        </w:rPr>
        <w:t xml:space="preserve">s social success. </w:t>
      </w:r>
    </w:p>
    <w:p w14:paraId="494D4FBB" w14:textId="77777777" w:rsidR="00027F7D" w:rsidRDefault="00027F7D">
      <w:pPr>
        <w:widowControl w:val="0"/>
        <w:spacing w:line="480" w:lineRule="auto"/>
        <w:ind w:firstLine="720"/>
        <w:rPr>
          <w:rFonts w:eastAsia="Times New Roman"/>
        </w:rPr>
      </w:pPr>
      <w:r>
        <w:rPr>
          <w:rFonts w:eastAsia="Times New Roman"/>
        </w:rPr>
        <w:t>In addition to social characteristics of school readiness, an increasing body of research has demonstrated the detrimental impact of negative family relationships on the long-term outcome</w:t>
      </w:r>
      <w:r w:rsidR="00A860A5">
        <w:rPr>
          <w:rFonts w:eastAsia="Times New Roman"/>
        </w:rPr>
        <w:t>s</w:t>
      </w:r>
      <w:r>
        <w:rPr>
          <w:rFonts w:eastAsia="Times New Roman"/>
        </w:rPr>
        <w:t xml:space="preserve"> of children at school </w:t>
      </w:r>
      <w:r>
        <w:rPr>
          <w:rFonts w:eastAsia="Times New Roman"/>
          <w:noProof/>
        </w:rPr>
        <w:t>(Allen, 2011; Shonkoff, Boyce, &amp; McEwen, 2009; Wessells, 2015)</w:t>
      </w:r>
      <w:r>
        <w:rPr>
          <w:rFonts w:eastAsia="Times New Roman"/>
        </w:rPr>
        <w:t xml:space="preserve">. For example, in a recent literature review, Linder et al. </w:t>
      </w:r>
      <w:r>
        <w:rPr>
          <w:rFonts w:eastAsia="Times New Roman"/>
          <w:noProof/>
        </w:rPr>
        <w:t>(2013)</w:t>
      </w:r>
      <w:r>
        <w:rPr>
          <w:rFonts w:eastAsia="Times New Roman"/>
        </w:rPr>
        <w:t xml:space="preserve"> identified a number of predictors of school readiness that included home</w:t>
      </w:r>
      <w:r w:rsidR="00A860A5">
        <w:rPr>
          <w:rFonts w:eastAsia="Times New Roman"/>
        </w:rPr>
        <w:t>-</w:t>
      </w:r>
      <w:r>
        <w:rPr>
          <w:rFonts w:eastAsia="Times New Roman"/>
        </w:rPr>
        <w:t xml:space="preserve"> or parent-based factors such as the quality of parent-child interactions, parental involvement and home-based literacy materials. Thus, the degree to which a child is ‘school ready’ appears also to depend on home and family support, as well as children’s core cognitive skills and their social preparedness for school. Together, these findings highlight the importance of assessing not only the child’s cognitive and socio-emotional skills as part of the overall construct of school readiness</w:t>
      </w:r>
      <w:r w:rsidR="00A860A5">
        <w:rPr>
          <w:rFonts w:eastAsia="Times New Roman"/>
        </w:rPr>
        <w:t>,</w:t>
      </w:r>
      <w:r>
        <w:rPr>
          <w:rFonts w:eastAsia="Times New Roman"/>
        </w:rPr>
        <w:t xml:space="preserve"> but also the degree of family support experienced in the home. The measure of school readiness employed in the current study, Brief Early Skills and Support Index </w:t>
      </w:r>
      <w:r>
        <w:rPr>
          <w:rFonts w:eastAsia="Times New Roman"/>
          <w:noProof/>
        </w:rPr>
        <w:t>(</w:t>
      </w:r>
      <w:r w:rsidR="00A860A5">
        <w:rPr>
          <w:rFonts w:eastAsia="Times New Roman"/>
          <w:noProof/>
        </w:rPr>
        <w:t xml:space="preserve">BESSI; </w:t>
      </w:r>
      <w:r>
        <w:rPr>
          <w:rFonts w:eastAsia="Times New Roman"/>
          <w:noProof/>
        </w:rPr>
        <w:t>Hughes et al., 2015)</w:t>
      </w:r>
      <w:r>
        <w:rPr>
          <w:rFonts w:eastAsia="Times New Roman"/>
        </w:rPr>
        <w:t>, acknowledges the importance of children’s home life and relationships for school readiness and is unique amongst teacher-reported measures of school readiness in including a family support subscale.</w:t>
      </w:r>
    </w:p>
    <w:p w14:paraId="35F88E5A" w14:textId="77777777" w:rsidR="00027F7D" w:rsidRDefault="00027F7D" w:rsidP="00BB78C4">
      <w:pPr>
        <w:keepNext/>
        <w:widowControl w:val="0"/>
        <w:spacing w:line="480" w:lineRule="auto"/>
        <w:outlineLvl w:val="0"/>
        <w:rPr>
          <w:rFonts w:eastAsia="Times New Roman"/>
          <w:b/>
        </w:rPr>
      </w:pPr>
      <w:r>
        <w:rPr>
          <w:rFonts w:eastAsia="Times New Roman"/>
          <w:b/>
        </w:rPr>
        <w:lastRenderedPageBreak/>
        <w:t xml:space="preserve">Gender differences in school readiness </w:t>
      </w:r>
    </w:p>
    <w:p w14:paraId="1B79EF3C" w14:textId="5D8A7033" w:rsidR="00027F7D" w:rsidRDefault="00027F7D">
      <w:pPr>
        <w:widowControl w:val="0"/>
        <w:spacing w:line="480" w:lineRule="auto"/>
        <w:ind w:firstLine="720"/>
        <w:rPr>
          <w:rFonts w:eastAsia="Times New Roman"/>
        </w:rPr>
      </w:pPr>
      <w:r>
        <w:rPr>
          <w:rFonts w:eastAsia="Times New Roman"/>
        </w:rPr>
        <w:t xml:space="preserve">In addition to highlighting the importance of children’s home environment, Linder et al. (2013) also identified </w:t>
      </w:r>
      <w:r w:rsidR="0028657E">
        <w:rPr>
          <w:rFonts w:eastAsia="Times New Roman"/>
        </w:rPr>
        <w:t xml:space="preserve">gender </w:t>
      </w:r>
      <w:r>
        <w:rPr>
          <w:rFonts w:eastAsia="Times New Roman"/>
        </w:rPr>
        <w:t xml:space="preserve">as a risk factor associated with school readiness, with boys more likely to exhibit problems compared to girls. Such findings are consistent with research on </w:t>
      </w:r>
      <w:r w:rsidR="0028657E">
        <w:rPr>
          <w:rFonts w:eastAsia="Times New Roman"/>
        </w:rPr>
        <w:t xml:space="preserve">gender </w:t>
      </w:r>
      <w:r>
        <w:rPr>
          <w:rFonts w:eastAsia="Times New Roman"/>
        </w:rPr>
        <w:t>differences in the attributes that underpin school readiness. For example, longitudinal research has indicated that during early childhood</w:t>
      </w:r>
      <w:r w:rsidR="00A860A5">
        <w:rPr>
          <w:rFonts w:eastAsia="Times New Roman"/>
        </w:rPr>
        <w:t>,</w:t>
      </w:r>
      <w:r>
        <w:rPr>
          <w:rFonts w:eastAsia="Times New Roman"/>
        </w:rPr>
        <w:t xml:space="preserve"> boys are more likely to have poorer social-emotional competencies including greater problem behaviours and poorer self</w:t>
      </w:r>
      <w:r w:rsidR="00A860A5">
        <w:rPr>
          <w:rFonts w:eastAsia="Times New Roman"/>
        </w:rPr>
        <w:t>-</w:t>
      </w:r>
      <w:r>
        <w:rPr>
          <w:rFonts w:eastAsia="Times New Roman"/>
        </w:rPr>
        <w:t>regulation</w:t>
      </w:r>
      <w:r w:rsidR="00A860A5">
        <w:rPr>
          <w:rFonts w:eastAsia="Times New Roman"/>
        </w:rPr>
        <w:t>,</w:t>
      </w:r>
      <w:r>
        <w:rPr>
          <w:rFonts w:eastAsia="Times New Roman"/>
        </w:rPr>
        <w:t xml:space="preserve"> and once at school</w:t>
      </w:r>
      <w:r w:rsidR="00A860A5">
        <w:rPr>
          <w:rFonts w:eastAsia="Times New Roman"/>
        </w:rPr>
        <w:t>, boys also</w:t>
      </w:r>
      <w:r>
        <w:rPr>
          <w:rFonts w:eastAsia="Times New Roman"/>
        </w:rPr>
        <w:t xml:space="preserve"> show poorer academic attainment compared to girls </w:t>
      </w:r>
      <w:r>
        <w:rPr>
          <w:rFonts w:eastAsia="Times New Roman"/>
          <w:noProof/>
        </w:rPr>
        <w:t>(Dekker et al., 2007; Maguire, Niens, McCann, &amp; Connolly, 2016; Moffitt, 2001; Whalen et al., 2016)</w:t>
      </w:r>
      <w:r>
        <w:rPr>
          <w:rFonts w:eastAsia="Times New Roman"/>
        </w:rPr>
        <w:t xml:space="preserve">. </w:t>
      </w:r>
    </w:p>
    <w:p w14:paraId="2FDB90C9" w14:textId="57DD2886" w:rsidR="00027F7D" w:rsidRDefault="00027F7D">
      <w:pPr>
        <w:widowControl w:val="0"/>
        <w:spacing w:line="480" w:lineRule="auto"/>
        <w:ind w:firstLine="720"/>
        <w:rPr>
          <w:rFonts w:eastAsia="Times New Roman"/>
        </w:rPr>
      </w:pPr>
      <w:r>
        <w:rPr>
          <w:rFonts w:eastAsia="Times New Roman"/>
        </w:rPr>
        <w:t>In a recent population study of almost 36,000 children at school entry in British Columbia, Thomson</w:t>
      </w:r>
      <w:r w:rsidR="00A860A5">
        <w:rPr>
          <w:rFonts w:eastAsia="Times New Roman"/>
        </w:rPr>
        <w:t>,</w:t>
      </w:r>
      <w:r w:rsidR="00A860A5" w:rsidRPr="00A860A5">
        <w:rPr>
          <w:noProof/>
        </w:rPr>
        <w:t xml:space="preserve"> </w:t>
      </w:r>
      <w:r w:rsidR="00A860A5">
        <w:rPr>
          <w:noProof/>
        </w:rPr>
        <w:t>Guhn, Richardson, Ark</w:t>
      </w:r>
      <w:r w:rsidR="00A860A5" w:rsidRPr="00FD28D7">
        <w:rPr>
          <w:noProof/>
        </w:rPr>
        <w:t>, &amp; Shoveller</w:t>
      </w:r>
      <w:r w:rsidR="00AA491D">
        <w:rPr>
          <w:noProof/>
        </w:rPr>
        <w:t xml:space="preserve"> </w:t>
      </w:r>
      <w:r>
        <w:rPr>
          <w:rFonts w:eastAsia="Times New Roman"/>
          <w:noProof/>
        </w:rPr>
        <w:t>(2017)</w:t>
      </w:r>
      <w:r>
        <w:rPr>
          <w:rFonts w:eastAsia="Times New Roman"/>
        </w:rPr>
        <w:t xml:space="preserve"> measured children’s school readiness using the teacher-reported Early Development Instrument (EDI). Using latent profile analysis of EDI scores, 6 groups representing different levels of social-emotional skill were identified</w:t>
      </w:r>
      <w:r w:rsidR="00A860A5">
        <w:rPr>
          <w:rFonts w:eastAsia="Times New Roman"/>
        </w:rPr>
        <w:t>,</w:t>
      </w:r>
      <w:r>
        <w:rPr>
          <w:rFonts w:eastAsia="Times New Roman"/>
        </w:rPr>
        <w:t xml:space="preserve"> and </w:t>
      </w:r>
      <w:r w:rsidR="00A860A5">
        <w:rPr>
          <w:rFonts w:eastAsia="Times New Roman"/>
        </w:rPr>
        <w:t xml:space="preserve">it was found that </w:t>
      </w:r>
      <w:r>
        <w:rPr>
          <w:rFonts w:eastAsia="Times New Roman"/>
        </w:rPr>
        <w:t xml:space="preserve">boys were more likely to be included in the groups representing poorer social-emotional skills, especially those representing aggressive and hyperactive behaviour. </w:t>
      </w:r>
      <w:r w:rsidR="00A860A5">
        <w:rPr>
          <w:rFonts w:eastAsia="Times New Roman"/>
        </w:rPr>
        <w:t>Thus, i</w:t>
      </w:r>
      <w:r>
        <w:rPr>
          <w:rFonts w:eastAsia="Times New Roman"/>
        </w:rPr>
        <w:t xml:space="preserve">t appears that socio-emotional deficits for boys disrupt, either directly or indirectly, their ability to make a successful transition to formal schooling. Since there is a body of literature on </w:t>
      </w:r>
      <w:r w:rsidR="0028657E">
        <w:rPr>
          <w:rFonts w:eastAsia="Times New Roman"/>
        </w:rPr>
        <w:t xml:space="preserve">gender </w:t>
      </w:r>
      <w:r>
        <w:rPr>
          <w:rFonts w:eastAsia="Times New Roman"/>
        </w:rPr>
        <w:t>differences in socio-emotional domains and in peer relationships, the inclusion of such factors in the construct of school readiness highlights the need to adopt a gender lens for research in this area.</w:t>
      </w:r>
    </w:p>
    <w:p w14:paraId="154E4D82" w14:textId="26147877" w:rsidR="00027F7D" w:rsidRDefault="00027F7D">
      <w:pPr>
        <w:widowControl w:val="0"/>
        <w:spacing w:line="480" w:lineRule="auto"/>
        <w:ind w:firstLine="720"/>
        <w:rPr>
          <w:rFonts w:eastAsia="Times New Roman"/>
        </w:rPr>
      </w:pPr>
      <w:r>
        <w:rPr>
          <w:rFonts w:eastAsia="Times New Roman"/>
        </w:rPr>
        <w:t xml:space="preserve">When examining </w:t>
      </w:r>
      <w:r w:rsidR="0028657E">
        <w:rPr>
          <w:rFonts w:eastAsia="Times New Roman"/>
        </w:rPr>
        <w:t xml:space="preserve">gender </w:t>
      </w:r>
      <w:r>
        <w:rPr>
          <w:rFonts w:eastAsia="Times New Roman"/>
        </w:rPr>
        <w:t>differences at school entry</w:t>
      </w:r>
      <w:r w:rsidR="00A860A5">
        <w:rPr>
          <w:rFonts w:eastAsia="Times New Roman"/>
        </w:rPr>
        <w:t>,</w:t>
      </w:r>
      <w:r>
        <w:rPr>
          <w:rFonts w:eastAsia="Times New Roman"/>
        </w:rPr>
        <w:t xml:space="preserve"> it is important to account for children’s language ability. Language abilities are undoubtedly important for children at the transition to school not only in facilitating academic engagement</w:t>
      </w:r>
      <w:r w:rsidR="00A860A5">
        <w:rPr>
          <w:rFonts w:eastAsia="Times New Roman"/>
        </w:rPr>
        <w:t>,</w:t>
      </w:r>
      <w:r>
        <w:rPr>
          <w:rFonts w:eastAsia="Times New Roman"/>
        </w:rPr>
        <w:t xml:space="preserve"> but </w:t>
      </w:r>
      <w:r>
        <w:rPr>
          <w:rFonts w:eastAsia="Times New Roman"/>
        </w:rPr>
        <w:lastRenderedPageBreak/>
        <w:t xml:space="preserve">also in promoting positive relations among peers </w:t>
      </w:r>
      <w:r>
        <w:rPr>
          <w:rFonts w:eastAsia="Times New Roman"/>
          <w:noProof/>
        </w:rPr>
        <w:t>(Gallagher, 1993; Gertner, Rice, &amp; Hadley, 1994; Mendez, Fantuzzo, &amp; Cicchetti, 2002)</w:t>
      </w:r>
      <w:r>
        <w:rPr>
          <w:rFonts w:eastAsia="Times New Roman"/>
        </w:rPr>
        <w:t xml:space="preserve">. Gender differences in verbal-based skills have been found in children at two years of age (and younger), with studies identifying a female advantage </w:t>
      </w:r>
      <w:r>
        <w:rPr>
          <w:rFonts w:eastAsia="Times New Roman"/>
          <w:noProof/>
        </w:rPr>
        <w:t>(Bauer, Goldfield, &amp; Reznick, 2002; Bornstein &amp; Haynes, 1998; Huttenlocher, Haight, Bryk, Seltzer, &amp; Lyons, 1991)</w:t>
      </w:r>
      <w:r>
        <w:rPr>
          <w:rFonts w:eastAsia="Times New Roman"/>
        </w:rPr>
        <w:t xml:space="preserve">. </w:t>
      </w:r>
      <w:r w:rsidRPr="00D77ED2">
        <w:rPr>
          <w:rFonts w:eastAsia="Times New Roman"/>
        </w:rPr>
        <w:t xml:space="preserve">While there are inconsistencies in the literature surrounding the extent to which verbal abilities differ by </w:t>
      </w:r>
      <w:r w:rsidR="0028657E">
        <w:rPr>
          <w:rFonts w:eastAsia="Times New Roman"/>
        </w:rPr>
        <w:t>gender</w:t>
      </w:r>
      <w:r w:rsidR="0028657E" w:rsidRPr="00D77ED2">
        <w:rPr>
          <w:rFonts w:eastAsia="Times New Roman"/>
        </w:rPr>
        <w:t xml:space="preserve"> </w:t>
      </w:r>
      <w:r w:rsidR="0028657E">
        <w:rPr>
          <w:rFonts w:eastAsia="Times New Roman"/>
        </w:rPr>
        <w:t>upon</w:t>
      </w:r>
      <w:r w:rsidRPr="00D77ED2">
        <w:rPr>
          <w:rFonts w:eastAsia="Times New Roman"/>
        </w:rPr>
        <w:t xml:space="preserve"> entry to school, when differences are found, language abilities </w:t>
      </w:r>
      <w:r w:rsidR="0028657E">
        <w:rPr>
          <w:rFonts w:eastAsia="Times New Roman"/>
        </w:rPr>
        <w:t xml:space="preserve">in boys </w:t>
      </w:r>
      <w:r w:rsidRPr="00D77ED2">
        <w:rPr>
          <w:rFonts w:eastAsia="Times New Roman"/>
        </w:rPr>
        <w:t xml:space="preserve">tend to lag behind </w:t>
      </w:r>
      <w:r w:rsidR="0028657E">
        <w:rPr>
          <w:rFonts w:eastAsia="Times New Roman"/>
        </w:rPr>
        <w:t xml:space="preserve">those found in </w:t>
      </w:r>
      <w:r w:rsidRPr="00D77ED2">
        <w:rPr>
          <w:rFonts w:eastAsia="Times New Roman"/>
        </w:rPr>
        <w:t xml:space="preserve">girls </w:t>
      </w:r>
      <w:r>
        <w:rPr>
          <w:rFonts w:eastAsia="Times New Roman"/>
          <w:noProof/>
        </w:rPr>
        <w:t>(e.g., Voyer &amp; Voyer, 2014)</w:t>
      </w:r>
      <w:r w:rsidRPr="00D77ED2">
        <w:rPr>
          <w:rFonts w:eastAsia="Times New Roman"/>
        </w:rPr>
        <w:t xml:space="preserve">, and there is a higher prevalence of language impairments in boys compared to girls </w:t>
      </w:r>
      <w:r>
        <w:rPr>
          <w:rFonts w:eastAsia="Times New Roman"/>
          <w:noProof/>
        </w:rPr>
        <w:t>(Tomblin et al., 1997)</w:t>
      </w:r>
      <w:r w:rsidRPr="00D77ED2">
        <w:rPr>
          <w:rFonts w:eastAsia="Times New Roman"/>
        </w:rPr>
        <w:t>. In order to unpack the association between school readiness and children’s social success for</w:t>
      </w:r>
      <w:r>
        <w:rPr>
          <w:rFonts w:eastAsia="Times New Roman"/>
        </w:rPr>
        <w:t xml:space="preserve"> boys and girls, it is therefore crucial to take into account children’s language abilities. </w:t>
      </w:r>
    </w:p>
    <w:p w14:paraId="78002993" w14:textId="77777777" w:rsidR="00027F7D" w:rsidRDefault="00027F7D" w:rsidP="00BB78C4">
      <w:pPr>
        <w:widowControl w:val="0"/>
        <w:spacing w:line="480" w:lineRule="auto"/>
        <w:outlineLvl w:val="0"/>
        <w:rPr>
          <w:rFonts w:eastAsia="Times New Roman"/>
          <w:b/>
        </w:rPr>
      </w:pPr>
      <w:r>
        <w:rPr>
          <w:rFonts w:eastAsia="Times New Roman"/>
          <w:b/>
        </w:rPr>
        <w:t>The current study</w:t>
      </w:r>
    </w:p>
    <w:p w14:paraId="3947D2D4" w14:textId="3BFBFF52" w:rsidR="00027F7D" w:rsidRDefault="00027F7D">
      <w:pPr>
        <w:widowControl w:val="0"/>
        <w:spacing w:line="480" w:lineRule="auto"/>
        <w:ind w:firstLine="720"/>
        <w:rPr>
          <w:rFonts w:eastAsia="Times New Roman"/>
        </w:rPr>
      </w:pPr>
      <w:r>
        <w:rPr>
          <w:rFonts w:eastAsia="Times New Roman"/>
        </w:rPr>
        <w:t xml:space="preserve">The current study examines the association between children’s school readiness and two key indices of a child’s social success in the school-context; </w:t>
      </w:r>
      <w:r w:rsidR="007C7FCC">
        <w:rPr>
          <w:rFonts w:eastAsia="Times New Roman"/>
        </w:rPr>
        <w:t>social preference</w:t>
      </w:r>
      <w:r>
        <w:rPr>
          <w:rFonts w:eastAsia="Times New Roman"/>
        </w:rPr>
        <w:t>, defined as being liked by the majority of one’s classmates, and reciprocated friendship</w:t>
      </w:r>
      <w:r w:rsidR="0028657E">
        <w:rPr>
          <w:rFonts w:eastAsia="Times New Roman"/>
        </w:rPr>
        <w:t>s</w:t>
      </w:r>
      <w:r w:rsidR="00B57C87">
        <w:rPr>
          <w:rFonts w:eastAsia="Times New Roman"/>
        </w:rPr>
        <w:t>, a mutually</w:t>
      </w:r>
      <w:r w:rsidR="00B57C87" w:rsidRPr="00A930CD">
        <w:t xml:space="preserve">-reciprocated </w:t>
      </w:r>
      <w:r w:rsidR="00B57C87" w:rsidRPr="00A930CD">
        <w:rPr>
          <w:rFonts w:eastAsia="Times New Roman"/>
        </w:rPr>
        <w:t>dyadic relationship</w:t>
      </w:r>
      <w:r>
        <w:rPr>
          <w:rFonts w:eastAsia="Times New Roman"/>
        </w:rPr>
        <w:t xml:space="preserve"> </w:t>
      </w:r>
      <w:r w:rsidR="00C35B74">
        <w:rPr>
          <w:rFonts w:eastAsia="Times New Roman"/>
          <w:noProof/>
        </w:rPr>
        <w:t>(</w:t>
      </w:r>
      <w:r>
        <w:rPr>
          <w:rFonts w:eastAsia="Times New Roman"/>
          <w:noProof/>
        </w:rPr>
        <w:t>Ladd, 2005; Masters &amp; Furman, 1981)</w:t>
      </w:r>
      <w:r>
        <w:rPr>
          <w:rFonts w:eastAsia="Times New Roman"/>
        </w:rPr>
        <w:t xml:space="preserve">. The current study relies on a ‘child’s-eye view’ of social success to take advantage of the unique insight children have into their peers’ social competencies and to ensure that any association with school readiness is not a function of </w:t>
      </w:r>
      <w:r w:rsidR="0028657E">
        <w:rPr>
          <w:rFonts w:eastAsia="Times New Roman"/>
        </w:rPr>
        <w:t xml:space="preserve">having a </w:t>
      </w:r>
      <w:r>
        <w:rPr>
          <w:rFonts w:eastAsia="Times New Roman"/>
        </w:rPr>
        <w:t>shared informant. This study, to our knowledge, is the first to examine the association between teacher ratings of school readiness and child-rated indicators of social success</w:t>
      </w:r>
      <w:r w:rsidR="0028657E">
        <w:rPr>
          <w:rFonts w:eastAsia="Times New Roman"/>
        </w:rPr>
        <w:t>.</w:t>
      </w:r>
      <w:r>
        <w:rPr>
          <w:rFonts w:eastAsia="Times New Roman"/>
        </w:rPr>
        <w:t xml:space="preserve"> As children’s language ability has been shown to be important for </w:t>
      </w:r>
      <w:r w:rsidR="007C7FCC">
        <w:rPr>
          <w:rFonts w:eastAsia="Times New Roman"/>
        </w:rPr>
        <w:t>social preference</w:t>
      </w:r>
      <w:r>
        <w:rPr>
          <w:rFonts w:eastAsia="Times New Roman"/>
        </w:rPr>
        <w:t xml:space="preserve"> and reciprocated friendships, as well as school readiness </w:t>
      </w:r>
      <w:r>
        <w:rPr>
          <w:rFonts w:eastAsia="Times New Roman"/>
          <w:noProof/>
        </w:rPr>
        <w:t>(e.g., Doctoroff, Greer, &amp; Arnold, 2006)</w:t>
      </w:r>
      <w:r>
        <w:rPr>
          <w:rFonts w:eastAsia="Times New Roman"/>
        </w:rPr>
        <w:t xml:space="preserve">, an age-appropriate measure of </w:t>
      </w:r>
      <w:r>
        <w:rPr>
          <w:rFonts w:eastAsia="Times New Roman"/>
        </w:rPr>
        <w:lastRenderedPageBreak/>
        <w:t xml:space="preserve">language ability is also included in the current study to explore if the association between school readiness and social success is due to their shared reliance on children’s verbal skills. Finally, given the </w:t>
      </w:r>
      <w:r w:rsidR="0028657E">
        <w:rPr>
          <w:rFonts w:eastAsia="Times New Roman"/>
        </w:rPr>
        <w:t xml:space="preserve">gender </w:t>
      </w:r>
      <w:r>
        <w:rPr>
          <w:rFonts w:eastAsia="Times New Roman"/>
        </w:rPr>
        <w:t xml:space="preserve">differences in school readiness and social success in the early school years, analyses will explore the moderating role of </w:t>
      </w:r>
      <w:r w:rsidR="0028657E">
        <w:rPr>
          <w:rFonts w:eastAsia="Times New Roman"/>
        </w:rPr>
        <w:t xml:space="preserve">gender </w:t>
      </w:r>
      <w:r>
        <w:rPr>
          <w:rFonts w:eastAsia="Times New Roman"/>
        </w:rPr>
        <w:t xml:space="preserve">on all associations between school readiness and social success. </w:t>
      </w:r>
    </w:p>
    <w:p w14:paraId="136FF48C" w14:textId="12383B68" w:rsidR="00027F7D" w:rsidRDefault="00027F7D">
      <w:pPr>
        <w:widowControl w:val="0"/>
        <w:spacing w:line="480" w:lineRule="auto"/>
        <w:ind w:firstLine="720"/>
        <w:rPr>
          <w:rFonts w:eastAsia="Times New Roman"/>
          <w:b/>
        </w:rPr>
      </w:pPr>
      <w:r>
        <w:rPr>
          <w:rFonts w:eastAsia="Times New Roman"/>
        </w:rPr>
        <w:t xml:space="preserve">In sum, based on results from the extant literature, we expect that over and above the role of language ability, children’s school readiness will be an important predictor of social success at the transition to formal schooling, and that this association will be moderated by child </w:t>
      </w:r>
      <w:r w:rsidR="0028657E">
        <w:rPr>
          <w:rFonts w:eastAsia="Times New Roman"/>
        </w:rPr>
        <w:t>gender</w:t>
      </w:r>
      <w:r>
        <w:rPr>
          <w:rFonts w:eastAsia="Times New Roman"/>
        </w:rPr>
        <w:t xml:space="preserve">. Furthermore, to provide a more comprehensive view of social success, the current study will examine both </w:t>
      </w:r>
      <w:r w:rsidR="007C7FCC">
        <w:rPr>
          <w:rFonts w:eastAsia="Times New Roman"/>
        </w:rPr>
        <w:t>social preference</w:t>
      </w:r>
      <w:r>
        <w:rPr>
          <w:rFonts w:eastAsia="Times New Roman"/>
        </w:rPr>
        <w:t xml:space="preserve"> and reciprocated friendship</w:t>
      </w:r>
      <w:r w:rsidR="0028657E">
        <w:rPr>
          <w:rFonts w:eastAsia="Times New Roman"/>
        </w:rPr>
        <w:t>s</w:t>
      </w:r>
      <w:r>
        <w:rPr>
          <w:rFonts w:eastAsia="Times New Roman"/>
        </w:rPr>
        <w:t xml:space="preserve"> as indicators of social success.</w:t>
      </w:r>
    </w:p>
    <w:p w14:paraId="4905570E" w14:textId="77777777" w:rsidR="00027F7D" w:rsidRDefault="00027F7D">
      <w:pPr>
        <w:spacing w:line="480" w:lineRule="auto"/>
        <w:jc w:val="center"/>
        <w:rPr>
          <w:rFonts w:eastAsia="Times New Roman"/>
          <w:b/>
        </w:rPr>
      </w:pPr>
    </w:p>
    <w:p w14:paraId="6CE996C4" w14:textId="77777777" w:rsidR="00027F7D" w:rsidRDefault="00027F7D" w:rsidP="00BB78C4">
      <w:pPr>
        <w:spacing w:line="480" w:lineRule="auto"/>
        <w:jc w:val="center"/>
        <w:outlineLvl w:val="0"/>
        <w:rPr>
          <w:rFonts w:eastAsia="Times New Roman"/>
          <w:b/>
        </w:rPr>
      </w:pPr>
      <w:r>
        <w:rPr>
          <w:rFonts w:eastAsia="Times New Roman"/>
          <w:b/>
        </w:rPr>
        <w:t>Method</w:t>
      </w:r>
    </w:p>
    <w:p w14:paraId="5849BF82" w14:textId="77777777" w:rsidR="00027F7D" w:rsidRDefault="00027F7D" w:rsidP="00BB78C4">
      <w:pPr>
        <w:spacing w:line="480" w:lineRule="auto"/>
        <w:outlineLvl w:val="0"/>
        <w:rPr>
          <w:rFonts w:eastAsia="Times New Roman"/>
          <w:b/>
        </w:rPr>
      </w:pPr>
      <w:r>
        <w:rPr>
          <w:rFonts w:eastAsia="Times New Roman"/>
          <w:b/>
        </w:rPr>
        <w:t>Participants</w:t>
      </w:r>
    </w:p>
    <w:p w14:paraId="2044C40E" w14:textId="124BB3D7" w:rsidR="00027F7D" w:rsidRPr="00887F7C" w:rsidRDefault="00027F7D" w:rsidP="00887F7C">
      <w:pPr>
        <w:pStyle w:val="PlainText"/>
        <w:spacing w:line="480" w:lineRule="auto"/>
        <w:ind w:firstLine="720"/>
      </w:pPr>
      <w:r w:rsidRPr="00887F7C">
        <w:rPr>
          <w:rFonts w:ascii="Times New Roman" w:eastAsia="Times New Roman" w:hAnsi="Times New Roman" w:cs="Times New Roman"/>
          <w:sz w:val="24"/>
          <w:szCs w:val="24"/>
        </w:rPr>
        <w:t>Participants were 244 reception-aged children (131 boys, 54%) between the ages of 49 and 78 months (</w:t>
      </w:r>
      <w:r w:rsidRPr="00887F7C">
        <w:rPr>
          <w:rFonts w:ascii="Times New Roman" w:eastAsia="Times New Roman" w:hAnsi="Times New Roman" w:cs="Times New Roman"/>
          <w:i/>
          <w:sz w:val="24"/>
          <w:szCs w:val="24"/>
        </w:rPr>
        <w:t>M</w:t>
      </w:r>
      <w:r w:rsidRPr="00887F7C">
        <w:rPr>
          <w:rFonts w:ascii="Times New Roman" w:eastAsia="Times New Roman" w:hAnsi="Times New Roman" w:cs="Times New Roman"/>
          <w:sz w:val="24"/>
          <w:szCs w:val="24"/>
          <w:vertAlign w:val="subscript"/>
        </w:rPr>
        <w:t>age</w:t>
      </w:r>
      <w:r w:rsidRPr="00887F7C">
        <w:rPr>
          <w:rFonts w:ascii="Times New Roman" w:eastAsia="Times New Roman" w:hAnsi="Times New Roman" w:cs="Times New Roman"/>
          <w:sz w:val="24"/>
          <w:szCs w:val="24"/>
        </w:rPr>
        <w:t xml:space="preserve"> = 61 months, </w:t>
      </w:r>
      <w:r w:rsidRPr="00887F7C">
        <w:rPr>
          <w:rFonts w:ascii="Times New Roman" w:eastAsia="Times New Roman" w:hAnsi="Times New Roman" w:cs="Times New Roman"/>
          <w:i/>
          <w:sz w:val="24"/>
          <w:szCs w:val="24"/>
        </w:rPr>
        <w:t>SD</w:t>
      </w:r>
      <w:r w:rsidRPr="00887F7C">
        <w:rPr>
          <w:rFonts w:ascii="Times New Roman" w:eastAsia="Times New Roman" w:hAnsi="Times New Roman" w:cs="Times New Roman"/>
          <w:sz w:val="24"/>
          <w:szCs w:val="24"/>
        </w:rPr>
        <w:t xml:space="preserve"> = 4.</w:t>
      </w:r>
      <w:r w:rsidR="000C2A6C" w:rsidRPr="00887F7C">
        <w:rPr>
          <w:rFonts w:ascii="Times New Roman" w:eastAsia="Times New Roman" w:hAnsi="Times New Roman" w:cs="Times New Roman"/>
          <w:sz w:val="24"/>
          <w:szCs w:val="24"/>
        </w:rPr>
        <w:t>78</w:t>
      </w:r>
      <w:r w:rsidRPr="00887F7C">
        <w:rPr>
          <w:rFonts w:ascii="Times New Roman" w:eastAsia="Times New Roman" w:hAnsi="Times New Roman" w:cs="Times New Roman"/>
          <w:sz w:val="24"/>
          <w:szCs w:val="24"/>
        </w:rPr>
        <w:t xml:space="preserve"> months). The sample was recruited (with written parental consent for each child) from 14 classrooms in eight schools in the Cambridge area (UK). </w:t>
      </w:r>
      <w:r w:rsidR="00807A60" w:rsidRPr="00887F7C">
        <w:rPr>
          <w:rFonts w:ascii="Times New Roman" w:eastAsia="Times New Roman" w:hAnsi="Times New Roman" w:cs="Times New Roman"/>
          <w:sz w:val="24"/>
          <w:szCs w:val="24"/>
        </w:rPr>
        <w:t xml:space="preserve">The majority of the sample was </w:t>
      </w:r>
      <w:r w:rsidR="00807A60" w:rsidRPr="00887F7C">
        <w:rPr>
          <w:rFonts w:ascii="Times New Roman" w:hAnsi="Times New Roman" w:cs="Times New Roman"/>
          <w:sz w:val="24"/>
          <w:szCs w:val="24"/>
        </w:rPr>
        <w:t xml:space="preserve">Caucasian </w:t>
      </w:r>
      <w:r w:rsidR="001A59F2" w:rsidRPr="00887F7C">
        <w:rPr>
          <w:rFonts w:ascii="Times New Roman" w:hAnsi="Times New Roman" w:cs="Times New Roman"/>
          <w:sz w:val="24"/>
          <w:szCs w:val="24"/>
        </w:rPr>
        <w:t>(80%)</w:t>
      </w:r>
      <w:r w:rsidR="00807A60" w:rsidRPr="00887F7C">
        <w:rPr>
          <w:rFonts w:ascii="Times New Roman" w:hAnsi="Times New Roman" w:cs="Times New Roman"/>
          <w:sz w:val="24"/>
          <w:szCs w:val="24"/>
        </w:rPr>
        <w:t xml:space="preserve"> with the remaining sample classified as either Asian, </w:t>
      </w:r>
      <w:r w:rsidR="001A59F2" w:rsidRPr="00887F7C">
        <w:rPr>
          <w:rFonts w:ascii="Times New Roman" w:hAnsi="Times New Roman" w:cs="Times New Roman"/>
          <w:sz w:val="24"/>
          <w:szCs w:val="24"/>
        </w:rPr>
        <w:t>m</w:t>
      </w:r>
      <w:r w:rsidR="00807A60" w:rsidRPr="00887F7C">
        <w:rPr>
          <w:rFonts w:ascii="Times New Roman" w:hAnsi="Times New Roman" w:cs="Times New Roman"/>
          <w:sz w:val="24"/>
          <w:szCs w:val="24"/>
        </w:rPr>
        <w:t xml:space="preserve">ixed or other ethnicity. </w:t>
      </w:r>
      <w:r w:rsidR="001A59F2" w:rsidRPr="00887F7C">
        <w:rPr>
          <w:rFonts w:ascii="Times New Roman" w:hAnsi="Times New Roman" w:cs="Times New Roman"/>
          <w:sz w:val="24"/>
          <w:szCs w:val="24"/>
        </w:rPr>
        <w:t xml:space="preserve"> </w:t>
      </w:r>
      <w:r w:rsidR="00807A60" w:rsidRPr="00887F7C">
        <w:rPr>
          <w:rFonts w:ascii="Times New Roman" w:eastAsia="Times New Roman" w:hAnsi="Times New Roman" w:cs="Times New Roman"/>
          <w:sz w:val="24"/>
          <w:szCs w:val="24"/>
        </w:rPr>
        <w:t xml:space="preserve">A total of </w:t>
      </w:r>
      <w:r w:rsidRPr="00887F7C">
        <w:rPr>
          <w:rFonts w:ascii="Times New Roman" w:eastAsia="Times New Roman" w:hAnsi="Times New Roman" w:cs="Times New Roman"/>
          <w:sz w:val="24"/>
          <w:szCs w:val="24"/>
        </w:rPr>
        <w:t>84% of children had at least one parent who had completed tertiary education, while 9% of children were eligible for pupil premium (additional funding for disadvantaged children of all abilities)</w:t>
      </w:r>
      <w:r w:rsidR="009D71E9" w:rsidRPr="00887F7C">
        <w:rPr>
          <w:rFonts w:ascii="Times New Roman" w:eastAsia="Times New Roman" w:hAnsi="Times New Roman" w:cs="Times New Roman"/>
          <w:sz w:val="24"/>
          <w:szCs w:val="24"/>
        </w:rPr>
        <w:t>.</w:t>
      </w:r>
      <w:r w:rsidRPr="00887F7C">
        <w:rPr>
          <w:rFonts w:ascii="Times New Roman" w:eastAsia="Times New Roman" w:hAnsi="Times New Roman" w:cs="Times New Roman"/>
          <w:sz w:val="24"/>
          <w:szCs w:val="24"/>
        </w:rPr>
        <w:t xml:space="preserve"> </w:t>
      </w:r>
    </w:p>
    <w:p w14:paraId="09222129" w14:textId="0D6AE914" w:rsidR="00027F7D" w:rsidRDefault="00027F7D">
      <w:pPr>
        <w:spacing w:line="480" w:lineRule="auto"/>
        <w:ind w:firstLine="720"/>
        <w:rPr>
          <w:rFonts w:eastAsia="Times New Roman"/>
        </w:rPr>
      </w:pPr>
      <w:r>
        <w:rPr>
          <w:rFonts w:eastAsia="Times New Roman"/>
        </w:rPr>
        <w:t xml:space="preserve"> An average of 30.5</w:t>
      </w:r>
      <w:r w:rsidR="000C2A6C">
        <w:rPr>
          <w:rFonts w:eastAsia="Times New Roman"/>
        </w:rPr>
        <w:t>0</w:t>
      </w:r>
      <w:r>
        <w:rPr>
          <w:rFonts w:eastAsia="Times New Roman"/>
        </w:rPr>
        <w:t xml:space="preserve"> children from each school took part in the study (range: 15-58 children per school). To obtain accurate assessment</w:t>
      </w:r>
      <w:r w:rsidR="00860666">
        <w:rPr>
          <w:rFonts w:eastAsia="Times New Roman"/>
        </w:rPr>
        <w:t>s</w:t>
      </w:r>
      <w:r>
        <w:rPr>
          <w:rFonts w:eastAsia="Times New Roman"/>
        </w:rPr>
        <w:t xml:space="preserve"> of both </w:t>
      </w:r>
      <w:r w:rsidR="007C7FCC">
        <w:rPr>
          <w:rFonts w:eastAsia="Times New Roman"/>
        </w:rPr>
        <w:t>social preference</w:t>
      </w:r>
      <w:r>
        <w:rPr>
          <w:rFonts w:eastAsia="Times New Roman"/>
        </w:rPr>
        <w:t xml:space="preserve"> and reciprocated friendships, whole classrooms were invited to participate, resulting </w:t>
      </w:r>
      <w:r>
        <w:rPr>
          <w:rFonts w:eastAsia="Times New Roman"/>
        </w:rPr>
        <w:lastRenderedPageBreak/>
        <w:t>in between 45% and 86% (</w:t>
      </w:r>
      <w:r>
        <w:rPr>
          <w:rFonts w:eastAsia="Times New Roman"/>
          <w:i/>
        </w:rPr>
        <w:t>M</w:t>
      </w:r>
      <w:r>
        <w:rPr>
          <w:rFonts w:eastAsia="Times New Roman"/>
        </w:rPr>
        <w:t xml:space="preserve"> = 62%) of children recruited from each participating school. </w:t>
      </w:r>
    </w:p>
    <w:p w14:paraId="7D5ECDB9" w14:textId="77777777" w:rsidR="00027F7D" w:rsidRDefault="00027F7D" w:rsidP="00BB78C4">
      <w:pPr>
        <w:spacing w:line="480" w:lineRule="auto"/>
        <w:outlineLvl w:val="0"/>
        <w:rPr>
          <w:rFonts w:eastAsia="Times New Roman"/>
          <w:b/>
        </w:rPr>
      </w:pPr>
      <w:r>
        <w:rPr>
          <w:rFonts w:eastAsia="Times New Roman"/>
          <w:b/>
        </w:rPr>
        <w:t>Materials</w:t>
      </w:r>
    </w:p>
    <w:p w14:paraId="39073C60" w14:textId="32F97C2D" w:rsidR="00027F7D" w:rsidRDefault="00027F7D" w:rsidP="00BB78C4">
      <w:pPr>
        <w:spacing w:line="480" w:lineRule="auto"/>
        <w:ind w:firstLine="720"/>
        <w:outlineLvl w:val="0"/>
        <w:rPr>
          <w:rFonts w:eastAsia="Times New Roman"/>
          <w:b/>
        </w:rPr>
      </w:pPr>
      <w:r>
        <w:rPr>
          <w:rFonts w:eastAsia="Times New Roman"/>
          <w:b/>
        </w:rPr>
        <w:t>Language Ability</w:t>
      </w:r>
      <w:r w:rsidR="00887F7C">
        <w:rPr>
          <w:rFonts w:eastAsia="Times New Roman"/>
          <w:b/>
        </w:rPr>
        <w:t>.</w:t>
      </w:r>
    </w:p>
    <w:p w14:paraId="65A4069D" w14:textId="479D513C" w:rsidR="00027F7D" w:rsidRDefault="00027F7D">
      <w:pPr>
        <w:spacing w:line="480" w:lineRule="auto"/>
        <w:rPr>
          <w:rFonts w:eastAsia="Times New Roman"/>
        </w:rPr>
      </w:pPr>
      <w:r>
        <w:rPr>
          <w:rFonts w:eastAsia="Times New Roman"/>
          <w:b/>
        </w:rPr>
        <w:tab/>
      </w:r>
      <w:r>
        <w:rPr>
          <w:rFonts w:eastAsia="Times New Roman"/>
        </w:rPr>
        <w:t>The Clinical Evaluation of Language Fundamentals – Preschool 2 (CELF – Preschool 2) is a widely-</w:t>
      </w:r>
      <w:proofErr w:type="gramStart"/>
      <w:r>
        <w:rPr>
          <w:rFonts w:eastAsia="Times New Roman"/>
        </w:rPr>
        <w:t>used  measure</w:t>
      </w:r>
      <w:proofErr w:type="gramEnd"/>
      <w:r>
        <w:rPr>
          <w:rFonts w:eastAsia="Times New Roman"/>
        </w:rPr>
        <w:t xml:space="preserve"> to assess children’s expressive and receptive language skills</w:t>
      </w:r>
      <w:r w:rsidR="003C3FC7">
        <w:rPr>
          <w:rFonts w:eastAsia="Times New Roman"/>
        </w:rPr>
        <w:t>, with evidence from several different types of research proving acceptable levels of validity and reliability (</w:t>
      </w:r>
      <w:r w:rsidR="003C3FC7">
        <w:rPr>
          <w:lang w:val="en-US"/>
        </w:rPr>
        <w:t>Wiig,</w:t>
      </w:r>
      <w:r w:rsidR="003C3FC7" w:rsidRPr="00FD28D7">
        <w:rPr>
          <w:lang w:val="en-US"/>
        </w:rPr>
        <w:t xml:space="preserve"> Secord, &amp; </w:t>
      </w:r>
      <w:proofErr w:type="spellStart"/>
      <w:r w:rsidR="003C3FC7" w:rsidRPr="00FD28D7">
        <w:rPr>
          <w:lang w:val="en-US"/>
        </w:rPr>
        <w:t>Semel</w:t>
      </w:r>
      <w:proofErr w:type="spellEnd"/>
      <w:r w:rsidR="003C3FC7" w:rsidRPr="00FD28D7">
        <w:rPr>
          <w:rFonts w:eastAsia="Times New Roman"/>
        </w:rPr>
        <w:t>, 2004</w:t>
      </w:r>
      <w:r w:rsidR="003C3FC7">
        <w:rPr>
          <w:rFonts w:eastAsia="Times New Roman"/>
        </w:rPr>
        <w:t>).</w:t>
      </w:r>
      <w:r w:rsidR="0011556A">
        <w:rPr>
          <w:rFonts w:eastAsia="Times New Roman"/>
        </w:rPr>
        <w:t xml:space="preserve"> </w:t>
      </w:r>
      <w:r>
        <w:rPr>
          <w:rFonts w:eastAsia="Times New Roman"/>
        </w:rPr>
        <w:t>Expressive language abilities were measured using the Recalling Sentences</w:t>
      </w:r>
      <w:r w:rsidR="001F45AE">
        <w:rPr>
          <w:rFonts w:eastAsia="Times New Roman"/>
        </w:rPr>
        <w:t xml:space="preserve"> subscale</w:t>
      </w:r>
      <w:r>
        <w:rPr>
          <w:rFonts w:eastAsia="Times New Roman"/>
        </w:rPr>
        <w:t xml:space="preserve">. For this task, the experimenter read aloud a sentence, and asked the child to repeat the sentence verbatim. Sentences progressed in length and grammatical complexity. Receptive language abilities were measured with the Sentence Structure subtest, which involved children picking a picture that matched a sentence read aloud to them by the experimenter. Each subtest was scoring according to the CELF-Preschool 2 </w:t>
      </w:r>
      <w:proofErr w:type="gramStart"/>
      <w:r>
        <w:rPr>
          <w:rFonts w:eastAsia="Times New Roman"/>
        </w:rPr>
        <w:t>manual</w:t>
      </w:r>
      <w:proofErr w:type="gramEnd"/>
      <w:r w:rsidR="0011556A">
        <w:rPr>
          <w:rFonts w:eastAsia="Times New Roman"/>
        </w:rPr>
        <w:t xml:space="preserve"> and</w:t>
      </w:r>
      <w:r>
        <w:rPr>
          <w:rFonts w:eastAsia="Times New Roman"/>
        </w:rPr>
        <w:t xml:space="preserve"> each subtest w</w:t>
      </w:r>
      <w:r w:rsidR="001F45AE">
        <w:rPr>
          <w:rFonts w:eastAsia="Times New Roman"/>
        </w:rPr>
        <w:t>as</w:t>
      </w:r>
      <w:r>
        <w:rPr>
          <w:rFonts w:eastAsia="Times New Roman"/>
        </w:rPr>
        <w:t xml:space="preserve"> summed to give a total language ability score</w:t>
      </w:r>
      <w:r w:rsidR="0011556A">
        <w:rPr>
          <w:rFonts w:eastAsia="Times New Roman"/>
        </w:rPr>
        <w:t xml:space="preserve"> reflecting both expressive and receptive language skills</w:t>
      </w:r>
      <w:r>
        <w:rPr>
          <w:rFonts w:eastAsia="Times New Roman"/>
        </w:rPr>
        <w:t xml:space="preserve">. </w:t>
      </w:r>
    </w:p>
    <w:p w14:paraId="609EA9C6" w14:textId="281D8EAF" w:rsidR="00027F7D" w:rsidRDefault="00027F7D" w:rsidP="00BB78C4">
      <w:pPr>
        <w:spacing w:line="480" w:lineRule="auto"/>
        <w:ind w:firstLine="720"/>
        <w:outlineLvl w:val="0"/>
        <w:rPr>
          <w:rFonts w:eastAsia="Times New Roman"/>
          <w:b/>
        </w:rPr>
      </w:pPr>
      <w:r>
        <w:rPr>
          <w:rFonts w:eastAsia="Times New Roman"/>
          <w:b/>
        </w:rPr>
        <w:t>Teacher-rated School Readiness</w:t>
      </w:r>
      <w:r w:rsidR="00887F7C">
        <w:rPr>
          <w:rFonts w:eastAsia="Times New Roman"/>
          <w:b/>
        </w:rPr>
        <w:t>.</w:t>
      </w:r>
    </w:p>
    <w:p w14:paraId="41E3EA9E" w14:textId="557AED02" w:rsidR="00027F7D" w:rsidRDefault="00027F7D">
      <w:pPr>
        <w:spacing w:line="480" w:lineRule="auto"/>
        <w:ind w:firstLine="720"/>
        <w:rPr>
          <w:rFonts w:eastAsia="Times New Roman"/>
          <w:b/>
        </w:rPr>
      </w:pPr>
      <w:r>
        <w:rPr>
          <w:rFonts w:eastAsia="Times New Roman"/>
        </w:rPr>
        <w:t xml:space="preserve">Teachers reported on children’s school readiness using the Brief Early Skills and Support Index (BESSI). The BESSI is a validated questionnaire developed by Hughes et al. (2015) for teachers to determine how well a child is transitioning into school. The questionnaire has good test-retest reliability, established longitudinal measurement invariance </w:t>
      </w:r>
      <w:r>
        <w:rPr>
          <w:rFonts w:eastAsia="Times New Roman"/>
          <w:noProof/>
        </w:rPr>
        <w:t>(Hughes, White, Foley, &amp; Devine, 2017)</w:t>
      </w:r>
      <w:r>
        <w:rPr>
          <w:rFonts w:eastAsia="Times New Roman"/>
        </w:rPr>
        <w:t xml:space="preserve"> and is sensitive to special educational needs status </w:t>
      </w:r>
      <w:r>
        <w:rPr>
          <w:rFonts w:eastAsia="Times New Roman"/>
          <w:noProof/>
        </w:rPr>
        <w:t>(Hughes, Foley, White, &amp; Devine, 2017)</w:t>
      </w:r>
      <w:r>
        <w:rPr>
          <w:rFonts w:eastAsia="Times New Roman"/>
        </w:rPr>
        <w:t xml:space="preserve">. Alongside three child-related subscales (behavioural adjustment, language and cognition, and daily living skills), the questionnaire includes a family support subscale, indicating </w:t>
      </w:r>
      <w:r>
        <w:rPr>
          <w:rFonts w:eastAsia="Times New Roman"/>
        </w:rPr>
        <w:lastRenderedPageBreak/>
        <w:t xml:space="preserve">the degree to which children receive support for their education from their home/family life. The family support subscale has been shown to predict the three child-related factors, such that children with low family support </w:t>
      </w:r>
      <w:r w:rsidR="0011556A">
        <w:rPr>
          <w:rFonts w:eastAsia="Times New Roman"/>
        </w:rPr>
        <w:t>also have higher</w:t>
      </w:r>
      <w:r>
        <w:rPr>
          <w:rFonts w:eastAsia="Times New Roman"/>
        </w:rPr>
        <w:t xml:space="preserve"> problem scores on the child-related </w:t>
      </w:r>
      <w:r w:rsidR="0011556A">
        <w:rPr>
          <w:rFonts w:eastAsia="Times New Roman"/>
        </w:rPr>
        <w:t>subscales. In previous research, family support was shown to be strongly</w:t>
      </w:r>
      <w:r>
        <w:rPr>
          <w:rFonts w:eastAsia="Times New Roman"/>
        </w:rPr>
        <w:t xml:space="preserve"> associated with children’s free school meal status </w:t>
      </w:r>
      <w:r>
        <w:rPr>
          <w:rFonts w:eastAsia="Times New Roman"/>
          <w:noProof/>
        </w:rPr>
        <w:t>(Hughes et al., 2015)</w:t>
      </w:r>
      <w:r>
        <w:rPr>
          <w:rFonts w:eastAsia="Times New Roman"/>
        </w:rPr>
        <w:t xml:space="preserve">. Using a 4-point scale, teachers in the current study rated from ‘strongly agree’ to ‘strongly disagree’ the extent to which they agreed/disagreed with 30 statements for each child. </w:t>
      </w:r>
    </w:p>
    <w:p w14:paraId="5FAC997F" w14:textId="10F79C3B" w:rsidR="00027F7D" w:rsidRDefault="00027F7D" w:rsidP="00BB78C4">
      <w:pPr>
        <w:spacing w:line="480" w:lineRule="auto"/>
        <w:ind w:firstLine="720"/>
        <w:outlineLvl w:val="0"/>
        <w:rPr>
          <w:rFonts w:eastAsia="Times New Roman"/>
          <w:b/>
        </w:rPr>
      </w:pPr>
      <w:r>
        <w:rPr>
          <w:rFonts w:eastAsia="Times New Roman"/>
          <w:b/>
        </w:rPr>
        <w:t>Peer-rated social success</w:t>
      </w:r>
      <w:r w:rsidR="00887F7C">
        <w:rPr>
          <w:rFonts w:eastAsia="Times New Roman"/>
          <w:b/>
        </w:rPr>
        <w:t>.</w:t>
      </w:r>
    </w:p>
    <w:p w14:paraId="7B897EC4" w14:textId="117AA532" w:rsidR="00027F7D" w:rsidRPr="00887F7C" w:rsidRDefault="007C7FCC" w:rsidP="0011556A">
      <w:pPr>
        <w:spacing w:line="480" w:lineRule="auto"/>
        <w:ind w:firstLine="720"/>
        <w:rPr>
          <w:rFonts w:eastAsia="Times New Roman"/>
        </w:rPr>
      </w:pPr>
      <w:r>
        <w:rPr>
          <w:rFonts w:eastAsia="Times New Roman"/>
          <w:b/>
        </w:rPr>
        <w:t>Social preference</w:t>
      </w:r>
      <w:r w:rsidR="00027F7D">
        <w:rPr>
          <w:rFonts w:eastAsia="Times New Roman"/>
          <w:b/>
        </w:rPr>
        <w:t xml:space="preserve">. </w:t>
      </w:r>
      <w:r>
        <w:rPr>
          <w:rFonts w:eastAsia="Times New Roman"/>
        </w:rPr>
        <w:t xml:space="preserve">Social </w:t>
      </w:r>
      <w:r w:rsidR="00027F7D">
        <w:rPr>
          <w:rFonts w:eastAsia="Times New Roman"/>
        </w:rPr>
        <w:t xml:space="preserve">preference was assessed using the sociometric interview technique developed by </w:t>
      </w:r>
      <w:proofErr w:type="spellStart"/>
      <w:r w:rsidR="00027F7D">
        <w:rPr>
          <w:rFonts w:eastAsia="Times New Roman"/>
        </w:rPr>
        <w:t>Coie</w:t>
      </w:r>
      <w:proofErr w:type="spellEnd"/>
      <w:r w:rsidR="00027F7D">
        <w:rPr>
          <w:rFonts w:eastAsia="Times New Roman"/>
        </w:rPr>
        <w:t xml:space="preserve">, Dodge and </w:t>
      </w:r>
      <w:proofErr w:type="spellStart"/>
      <w:r w:rsidR="00027F7D">
        <w:rPr>
          <w:rFonts w:eastAsia="Times New Roman"/>
        </w:rPr>
        <w:t>Coppotelli</w:t>
      </w:r>
      <w:proofErr w:type="spellEnd"/>
      <w:r w:rsidR="00027F7D">
        <w:rPr>
          <w:rFonts w:eastAsia="Times New Roman"/>
        </w:rPr>
        <w:t xml:space="preserve"> </w:t>
      </w:r>
      <w:r w:rsidR="00027F7D">
        <w:rPr>
          <w:rFonts w:eastAsia="Times New Roman"/>
          <w:noProof/>
        </w:rPr>
        <w:t>(1982)</w:t>
      </w:r>
      <w:r w:rsidR="00027F7D">
        <w:rPr>
          <w:rFonts w:eastAsia="Times New Roman"/>
        </w:rPr>
        <w:t>. This widely used interview provides information on children’s relative social standing in their peer environment. Each child was interviewed individually. Using photographs, children were asked to nominate three children in their class that, “they like to play with the most” and three children, “they do not like to play with”. Cross-</w:t>
      </w:r>
      <w:r w:rsidR="00807A60">
        <w:rPr>
          <w:rFonts w:eastAsia="Times New Roman"/>
        </w:rPr>
        <w:t>gender</w:t>
      </w:r>
      <w:r w:rsidR="00027F7D">
        <w:rPr>
          <w:rFonts w:eastAsia="Times New Roman"/>
        </w:rPr>
        <w:t xml:space="preserve"> nominations were permitted </w:t>
      </w:r>
      <w:r w:rsidR="00027F7D">
        <w:rPr>
          <w:rFonts w:eastAsia="Times New Roman"/>
          <w:noProof/>
        </w:rPr>
        <w:t>(Graziano, Keane, &amp; Calkins, 2007; Terry &amp; Coie, 1991)</w:t>
      </w:r>
      <w:r w:rsidR="00027F7D">
        <w:rPr>
          <w:rFonts w:eastAsia="Times New Roman"/>
        </w:rPr>
        <w:t xml:space="preserve">. To account for the differing numbers of children in each classroom, ‘like most’ and ‘like least’ scores were standardised. Children’s standardised ‘like least’ total was subtracted from their standardised ‘like most’ total to calculate each child’s peer preference in their classroom </w:t>
      </w:r>
      <w:r w:rsidR="00027F7D">
        <w:rPr>
          <w:rFonts w:eastAsia="Times New Roman"/>
          <w:noProof/>
        </w:rPr>
        <w:t>(Coie et al., 1982)</w:t>
      </w:r>
      <w:r w:rsidR="00027F7D">
        <w:rPr>
          <w:rFonts w:eastAsia="Times New Roman"/>
        </w:rPr>
        <w:t>.</w:t>
      </w:r>
      <w:r w:rsidR="00764783">
        <w:rPr>
          <w:rFonts w:eastAsia="Times New Roman"/>
        </w:rPr>
        <w:t xml:space="preserve"> </w:t>
      </w:r>
      <w:r w:rsidR="0011556A">
        <w:rPr>
          <w:rFonts w:eastAsia="Times New Roman"/>
        </w:rPr>
        <w:t>Children’s social preference</w:t>
      </w:r>
      <w:r w:rsidR="00764783">
        <w:rPr>
          <w:rFonts w:eastAsia="Times New Roman"/>
        </w:rPr>
        <w:t xml:space="preserve"> has been shown to </w:t>
      </w:r>
      <w:r w:rsidR="00F80781">
        <w:rPr>
          <w:rFonts w:eastAsia="Times New Roman"/>
        </w:rPr>
        <w:t>reliable</w:t>
      </w:r>
      <w:r w:rsidR="00764783">
        <w:rPr>
          <w:rFonts w:eastAsia="Times New Roman"/>
        </w:rPr>
        <w:t xml:space="preserve"> and stable over time (Jiang &amp; </w:t>
      </w:r>
      <w:proofErr w:type="spellStart"/>
      <w:r w:rsidR="00764783">
        <w:rPr>
          <w:rFonts w:eastAsia="Times New Roman"/>
        </w:rPr>
        <w:t>Cillessen</w:t>
      </w:r>
      <w:proofErr w:type="spellEnd"/>
      <w:r w:rsidR="00764783">
        <w:rPr>
          <w:rFonts w:eastAsia="Times New Roman"/>
        </w:rPr>
        <w:t>, 2005).</w:t>
      </w:r>
    </w:p>
    <w:p w14:paraId="64D1190A" w14:textId="3D6DC85B" w:rsidR="00027F7D" w:rsidRDefault="00027F7D">
      <w:pPr>
        <w:spacing w:line="480" w:lineRule="auto"/>
        <w:ind w:firstLine="720"/>
        <w:rPr>
          <w:rFonts w:eastAsia="Times New Roman"/>
        </w:rPr>
      </w:pPr>
      <w:r>
        <w:rPr>
          <w:rFonts w:eastAsia="Times New Roman"/>
          <w:b/>
        </w:rPr>
        <w:t xml:space="preserve">Reciprocated friendship. </w:t>
      </w:r>
      <w:r w:rsidR="00F80781" w:rsidRPr="00F80781">
        <w:rPr>
          <w:rFonts w:eastAsia="Times New Roman"/>
        </w:rPr>
        <w:t xml:space="preserve">In line with previous </w:t>
      </w:r>
      <w:r w:rsidR="00F80781">
        <w:rPr>
          <w:rFonts w:eastAsia="Times New Roman"/>
        </w:rPr>
        <w:t xml:space="preserve">studies using this measure (e.g., </w:t>
      </w:r>
      <w:proofErr w:type="spellStart"/>
      <w:r w:rsidR="00FD436C">
        <w:rPr>
          <w:rFonts w:eastAsia="Times New Roman"/>
        </w:rPr>
        <w:t>Laursen</w:t>
      </w:r>
      <w:proofErr w:type="spellEnd"/>
      <w:r w:rsidR="00FD436C">
        <w:rPr>
          <w:rFonts w:eastAsia="Times New Roman"/>
        </w:rPr>
        <w:t xml:space="preserve"> et al., 2007), c</w:t>
      </w:r>
      <w:r w:rsidRPr="00F80781">
        <w:rPr>
          <w:rFonts w:eastAsia="Times New Roman"/>
        </w:rPr>
        <w:t>hildren</w:t>
      </w:r>
      <w:r>
        <w:rPr>
          <w:rFonts w:eastAsia="Times New Roman"/>
        </w:rPr>
        <w:t xml:space="preserve"> were individually asked to nominate their top three “best friends” in the class. Cross-</w:t>
      </w:r>
      <w:r w:rsidR="00807A60">
        <w:rPr>
          <w:rFonts w:eastAsia="Times New Roman"/>
        </w:rPr>
        <w:t>gender</w:t>
      </w:r>
      <w:r>
        <w:rPr>
          <w:rFonts w:eastAsia="Times New Roman"/>
        </w:rPr>
        <w:t xml:space="preserve"> nominations were permitted. Based on the coding outlined in Fink and colleagues </w:t>
      </w:r>
      <w:r>
        <w:rPr>
          <w:rFonts w:eastAsia="Times New Roman"/>
          <w:noProof/>
        </w:rPr>
        <w:t>(2015)</w:t>
      </w:r>
      <w:r>
        <w:rPr>
          <w:rFonts w:eastAsia="Times New Roman"/>
        </w:rPr>
        <w:t xml:space="preserve">, friendship tiers were classified as </w:t>
      </w:r>
      <w:r>
        <w:rPr>
          <w:rFonts w:eastAsia="Times New Roman"/>
        </w:rPr>
        <w:lastRenderedPageBreak/>
        <w:t>reciprocal if a child had a reciprocated top three friendship nomination (</w:t>
      </w:r>
      <w:r>
        <w:rPr>
          <w:rFonts w:eastAsia="Times New Roman"/>
          <w:i/>
        </w:rPr>
        <w:t>n</w:t>
      </w:r>
      <w:r>
        <w:rPr>
          <w:rFonts w:eastAsia="Times New Roman"/>
        </w:rPr>
        <w:t xml:space="preserve"> = 160). Non-reciprocated friendships were those where children did not receive a reciprocated friend nomination for any of the</w:t>
      </w:r>
      <w:r w:rsidR="005C3919">
        <w:rPr>
          <w:rFonts w:eastAsia="Times New Roman"/>
        </w:rPr>
        <w:t>ir</w:t>
      </w:r>
      <w:r>
        <w:rPr>
          <w:rFonts w:eastAsia="Times New Roman"/>
        </w:rPr>
        <w:t xml:space="preserve"> top three friends (</w:t>
      </w:r>
      <w:r>
        <w:rPr>
          <w:rFonts w:eastAsia="Times New Roman"/>
          <w:i/>
        </w:rPr>
        <w:t>n</w:t>
      </w:r>
      <w:r>
        <w:rPr>
          <w:rFonts w:eastAsia="Times New Roman"/>
        </w:rPr>
        <w:t xml:space="preserve"> = 75). </w:t>
      </w:r>
    </w:p>
    <w:p w14:paraId="44BA8DF1" w14:textId="77777777" w:rsidR="00027F7D" w:rsidRDefault="00027F7D" w:rsidP="00C35B74">
      <w:pPr>
        <w:keepNext/>
        <w:spacing w:line="480" w:lineRule="auto"/>
        <w:outlineLvl w:val="0"/>
        <w:rPr>
          <w:rFonts w:eastAsia="Times New Roman"/>
          <w:b/>
        </w:rPr>
      </w:pPr>
      <w:r>
        <w:rPr>
          <w:rFonts w:eastAsia="Times New Roman"/>
          <w:b/>
        </w:rPr>
        <w:t>Procedure</w:t>
      </w:r>
    </w:p>
    <w:p w14:paraId="43E43350" w14:textId="635AEE5A" w:rsidR="00027F7D" w:rsidRDefault="00027F7D" w:rsidP="00AC20E7">
      <w:pPr>
        <w:spacing w:line="480" w:lineRule="auto"/>
        <w:ind w:firstLine="720"/>
        <w:rPr>
          <w:rFonts w:eastAsia="Times New Roman"/>
          <w:highlight w:val="yellow"/>
        </w:rPr>
      </w:pPr>
      <w:r>
        <w:rPr>
          <w:rFonts w:eastAsia="Times New Roman"/>
        </w:rPr>
        <w:t>After obtaining parental consent, children were interviewed individually in a quiet room for the assessment</w:t>
      </w:r>
      <w:r w:rsidR="00A70CBD">
        <w:rPr>
          <w:rFonts w:eastAsia="Times New Roman"/>
        </w:rPr>
        <w:t>s</w:t>
      </w:r>
      <w:r>
        <w:rPr>
          <w:rFonts w:eastAsia="Times New Roman"/>
        </w:rPr>
        <w:t xml:space="preserve"> of language ability, </w:t>
      </w:r>
      <w:r w:rsidR="005C3919">
        <w:rPr>
          <w:rFonts w:eastAsia="Times New Roman"/>
        </w:rPr>
        <w:t>social preference</w:t>
      </w:r>
      <w:r w:rsidR="00A70CBD">
        <w:rPr>
          <w:rFonts w:eastAsia="Times New Roman"/>
        </w:rPr>
        <w:t xml:space="preserve"> </w:t>
      </w:r>
      <w:r>
        <w:rPr>
          <w:rFonts w:eastAsia="Times New Roman"/>
        </w:rPr>
        <w:t xml:space="preserve">and friendship nominations. Teachers completed the school readiness questionnaires mid-way through the school year and knew all participating children well. </w:t>
      </w:r>
    </w:p>
    <w:p w14:paraId="249158F5" w14:textId="77777777" w:rsidR="00027F7D" w:rsidRDefault="00027F7D" w:rsidP="00887F7C">
      <w:pPr>
        <w:spacing w:line="480" w:lineRule="auto"/>
        <w:jc w:val="center"/>
        <w:rPr>
          <w:rFonts w:eastAsia="Times New Roman"/>
          <w:b/>
        </w:rPr>
      </w:pPr>
    </w:p>
    <w:p w14:paraId="770E811F" w14:textId="77777777" w:rsidR="00027F7D" w:rsidRDefault="00027F7D" w:rsidP="00887F7C">
      <w:pPr>
        <w:spacing w:line="480" w:lineRule="auto"/>
        <w:jc w:val="center"/>
        <w:outlineLvl w:val="0"/>
        <w:rPr>
          <w:rFonts w:eastAsia="Times New Roman"/>
          <w:b/>
        </w:rPr>
      </w:pPr>
      <w:r>
        <w:rPr>
          <w:rFonts w:eastAsia="Times New Roman"/>
          <w:b/>
        </w:rPr>
        <w:t xml:space="preserve"> Results</w:t>
      </w:r>
    </w:p>
    <w:p w14:paraId="027C8577" w14:textId="1637AB6A" w:rsidR="00027F7D" w:rsidRDefault="00027F7D" w:rsidP="00AC20E7">
      <w:pPr>
        <w:spacing w:line="480" w:lineRule="auto"/>
        <w:ind w:firstLine="720"/>
        <w:rPr>
          <w:rFonts w:eastAsia="Times New Roman"/>
        </w:rPr>
      </w:pPr>
      <w:r>
        <w:rPr>
          <w:rFonts w:eastAsia="Times New Roman"/>
        </w:rPr>
        <w:t xml:space="preserve">Results are presented in two parts. First, mean differences in study variables as a function of </w:t>
      </w:r>
      <w:r w:rsidR="0028657E">
        <w:rPr>
          <w:rFonts w:eastAsia="Times New Roman"/>
        </w:rPr>
        <w:t xml:space="preserve">gender </w:t>
      </w:r>
      <w:r>
        <w:rPr>
          <w:rFonts w:eastAsia="Times New Roman"/>
        </w:rPr>
        <w:t xml:space="preserve">and bivariate associations between study variables are presented. Second, regression models predicting children’s peer-rated social success from school readiness are presented, including an examination of the moderating role of </w:t>
      </w:r>
      <w:r w:rsidR="0028657E">
        <w:rPr>
          <w:rFonts w:eastAsia="Times New Roman"/>
        </w:rPr>
        <w:t>gender</w:t>
      </w:r>
      <w:r>
        <w:rPr>
          <w:rFonts w:eastAsia="Times New Roman"/>
        </w:rPr>
        <w:t>.</w:t>
      </w:r>
    </w:p>
    <w:p w14:paraId="7E18DBCD" w14:textId="77777777" w:rsidR="00027F7D" w:rsidRDefault="00027F7D" w:rsidP="00BB78C4">
      <w:pPr>
        <w:spacing w:line="480" w:lineRule="auto"/>
        <w:outlineLvl w:val="0"/>
        <w:rPr>
          <w:rFonts w:eastAsia="Times New Roman"/>
          <w:b/>
        </w:rPr>
      </w:pPr>
      <w:r>
        <w:rPr>
          <w:rFonts w:eastAsia="Times New Roman"/>
          <w:b/>
        </w:rPr>
        <w:t>Descriptive statistics and preliminary analyses</w:t>
      </w:r>
    </w:p>
    <w:p w14:paraId="1AB542CF" w14:textId="5317142D" w:rsidR="00DD016F" w:rsidRDefault="00027F7D" w:rsidP="00DD016F">
      <w:pPr>
        <w:spacing w:line="480" w:lineRule="auto"/>
        <w:ind w:firstLine="720"/>
        <w:rPr>
          <w:rFonts w:eastAsia="Times New Roman"/>
        </w:rPr>
      </w:pPr>
      <w:r>
        <w:rPr>
          <w:rFonts w:eastAsia="Times New Roman"/>
        </w:rPr>
        <w:t xml:space="preserve">Descriptive statistics are presented in Table 1. Significant differences between boys and girls were found for age, language ability, all four subscales of the BESSI and </w:t>
      </w:r>
      <w:r w:rsidR="007C7FCC">
        <w:rPr>
          <w:rFonts w:eastAsia="Times New Roman"/>
        </w:rPr>
        <w:t>social preference</w:t>
      </w:r>
      <w:r>
        <w:rPr>
          <w:rFonts w:eastAsia="Times New Roman"/>
        </w:rPr>
        <w:t>. With respect to friendship reciprocity, there was a marginally significant difference between boys and girls in the proportion of children with and without a reciprocated best friend, χ</w:t>
      </w:r>
      <w:r>
        <w:rPr>
          <w:rFonts w:eastAsia="Times New Roman"/>
          <w:vertAlign w:val="superscript"/>
        </w:rPr>
        <w:t>2</w:t>
      </w:r>
      <w:r>
        <w:rPr>
          <w:rFonts w:eastAsia="Times New Roman"/>
          <w:vertAlign w:val="subscript"/>
        </w:rPr>
        <w:t xml:space="preserve">1 </w:t>
      </w:r>
      <w:r>
        <w:rPr>
          <w:rFonts w:eastAsia="Times New Roman"/>
        </w:rPr>
        <w:t>(N = 235) = 3.63</w:t>
      </w:r>
      <w:r>
        <w:rPr>
          <w:rFonts w:eastAsia="Times New Roman"/>
          <w:i/>
        </w:rPr>
        <w:t>, p</w:t>
      </w:r>
      <w:r>
        <w:rPr>
          <w:rFonts w:eastAsia="Times New Roman"/>
        </w:rPr>
        <w:t xml:space="preserve"> = 0.057, with girls more likely to have a reciprocated best friend</w:t>
      </w:r>
      <w:r w:rsidR="005C3919">
        <w:rPr>
          <w:rFonts w:eastAsia="Times New Roman"/>
        </w:rPr>
        <w:t xml:space="preserve"> than boys</w:t>
      </w:r>
      <w:r>
        <w:rPr>
          <w:rFonts w:eastAsia="Times New Roman"/>
        </w:rPr>
        <w:t xml:space="preserve"> (</w:t>
      </w:r>
      <w:r w:rsidR="00A70CBD">
        <w:rPr>
          <w:rFonts w:eastAsia="Times New Roman"/>
        </w:rPr>
        <w:t xml:space="preserve">girls </w:t>
      </w:r>
      <w:r>
        <w:rPr>
          <w:rFonts w:eastAsia="Times New Roman"/>
        </w:rPr>
        <w:t>reciprocated</w:t>
      </w:r>
      <w:r w:rsidR="00A70CBD">
        <w:rPr>
          <w:rFonts w:eastAsia="Times New Roman"/>
        </w:rPr>
        <w:t>:</w:t>
      </w:r>
      <w:r>
        <w:rPr>
          <w:rFonts w:eastAsia="Times New Roman"/>
        </w:rPr>
        <w:t xml:space="preserve"> </w:t>
      </w:r>
      <w:r>
        <w:rPr>
          <w:rFonts w:eastAsia="Times New Roman"/>
          <w:i/>
        </w:rPr>
        <w:t>n</w:t>
      </w:r>
      <w:r>
        <w:rPr>
          <w:rFonts w:eastAsia="Times New Roman"/>
        </w:rPr>
        <w:t xml:space="preserve"> = 81 [74%] compared to boys reciprocated</w:t>
      </w:r>
      <w:r w:rsidR="00A70CBD">
        <w:rPr>
          <w:rFonts w:eastAsia="Times New Roman"/>
        </w:rPr>
        <w:t>:</w:t>
      </w:r>
      <w:r>
        <w:rPr>
          <w:rFonts w:eastAsia="Times New Roman"/>
        </w:rPr>
        <w:t xml:space="preserve"> </w:t>
      </w:r>
      <w:r>
        <w:rPr>
          <w:rFonts w:eastAsia="Times New Roman"/>
          <w:i/>
        </w:rPr>
        <w:t>n</w:t>
      </w:r>
      <w:r>
        <w:rPr>
          <w:rFonts w:eastAsia="Times New Roman"/>
        </w:rPr>
        <w:t xml:space="preserve"> = 79 [63%]).</w:t>
      </w:r>
    </w:p>
    <w:p w14:paraId="02BC01FC" w14:textId="2A8013DB" w:rsidR="00DD016F" w:rsidRDefault="00027F7D" w:rsidP="00DD016F">
      <w:pPr>
        <w:spacing w:line="480" w:lineRule="auto"/>
        <w:ind w:firstLine="720"/>
        <w:rPr>
          <w:rFonts w:eastAsia="Times New Roman"/>
        </w:rPr>
      </w:pPr>
      <w:r>
        <w:rPr>
          <w:rFonts w:eastAsia="Times New Roman"/>
        </w:rPr>
        <w:t xml:space="preserve">Separate bivariate correlations for boys and girls are presented in Table 2. The correlations between the school readiness subscales were comparable in magnitude for boys and girls, however, language ability was more consistently associated with </w:t>
      </w:r>
      <w:r>
        <w:rPr>
          <w:rFonts w:eastAsia="Times New Roman"/>
        </w:rPr>
        <w:lastRenderedPageBreak/>
        <w:t>school readiness for boys compared to girls, with a significant difference in the magnitude of the association between language ability and behavioural adjustment (</w:t>
      </w:r>
      <w:r>
        <w:rPr>
          <w:rFonts w:eastAsia="Times New Roman"/>
          <w:i/>
        </w:rPr>
        <w:t>z</w:t>
      </w:r>
      <w:r>
        <w:rPr>
          <w:rFonts w:eastAsia="Times New Roman"/>
        </w:rPr>
        <w:t xml:space="preserve"> = -2.19, </w:t>
      </w:r>
      <w:r>
        <w:rPr>
          <w:rFonts w:eastAsia="Times New Roman"/>
          <w:i/>
        </w:rPr>
        <w:t>p</w:t>
      </w:r>
      <w:r>
        <w:rPr>
          <w:rFonts w:eastAsia="Times New Roman"/>
        </w:rPr>
        <w:t xml:space="preserve"> = 0.029) and language and cognition (</w:t>
      </w:r>
      <w:r>
        <w:rPr>
          <w:rFonts w:eastAsia="Times New Roman"/>
          <w:i/>
        </w:rPr>
        <w:t>z</w:t>
      </w:r>
      <w:r>
        <w:rPr>
          <w:rFonts w:eastAsia="Times New Roman"/>
        </w:rPr>
        <w:t xml:space="preserve"> = -3.32, </w:t>
      </w:r>
      <w:r>
        <w:rPr>
          <w:rFonts w:eastAsia="Times New Roman"/>
          <w:i/>
        </w:rPr>
        <w:t>p</w:t>
      </w:r>
      <w:r>
        <w:rPr>
          <w:rFonts w:eastAsia="Times New Roman"/>
        </w:rPr>
        <w:t xml:space="preserve"> &lt; 0.001). Furthermore, all four school readiness subscales were significantly associated with </w:t>
      </w:r>
      <w:r w:rsidR="007C7FCC">
        <w:rPr>
          <w:rFonts w:eastAsia="Times New Roman"/>
        </w:rPr>
        <w:t>social preference</w:t>
      </w:r>
      <w:r>
        <w:rPr>
          <w:rFonts w:eastAsia="Times New Roman"/>
        </w:rPr>
        <w:t xml:space="preserve"> for boys whereas only the association between family support and </w:t>
      </w:r>
      <w:r w:rsidR="007C7FCC">
        <w:rPr>
          <w:rFonts w:eastAsia="Times New Roman"/>
        </w:rPr>
        <w:t>social preference</w:t>
      </w:r>
      <w:r>
        <w:rPr>
          <w:rFonts w:eastAsia="Times New Roman"/>
        </w:rPr>
        <w:t xml:space="preserve"> was significant for girls, with a significant difference in the magnitude of the association between </w:t>
      </w:r>
      <w:r w:rsidR="007C7FCC">
        <w:rPr>
          <w:rFonts w:eastAsia="Times New Roman"/>
        </w:rPr>
        <w:t>social preference</w:t>
      </w:r>
      <w:r>
        <w:rPr>
          <w:rFonts w:eastAsia="Times New Roman"/>
        </w:rPr>
        <w:t xml:space="preserve"> and behavioural adjustment</w:t>
      </w:r>
      <w:r w:rsidR="00D34EA7">
        <w:rPr>
          <w:rFonts w:eastAsia="Times New Roman"/>
        </w:rPr>
        <w:t xml:space="preserve"> for boys and girls</w:t>
      </w:r>
      <w:r>
        <w:rPr>
          <w:rFonts w:eastAsia="Times New Roman"/>
        </w:rPr>
        <w:t xml:space="preserve"> (</w:t>
      </w:r>
      <w:r>
        <w:rPr>
          <w:rFonts w:eastAsia="Times New Roman"/>
          <w:i/>
        </w:rPr>
        <w:t>z</w:t>
      </w:r>
      <w:r>
        <w:rPr>
          <w:rFonts w:eastAsia="Times New Roman"/>
        </w:rPr>
        <w:t xml:space="preserve"> = -2.64, </w:t>
      </w:r>
      <w:r>
        <w:rPr>
          <w:rFonts w:eastAsia="Times New Roman"/>
          <w:i/>
        </w:rPr>
        <w:t>p</w:t>
      </w:r>
      <w:r>
        <w:rPr>
          <w:rFonts w:eastAsia="Times New Roman"/>
        </w:rPr>
        <w:t xml:space="preserve"> = 0.008).</w:t>
      </w:r>
    </w:p>
    <w:p w14:paraId="2B443D68" w14:textId="77777777" w:rsidR="00027F7D" w:rsidRDefault="00027F7D">
      <w:pPr>
        <w:spacing w:line="480" w:lineRule="auto"/>
        <w:ind w:firstLine="720"/>
        <w:rPr>
          <w:rFonts w:eastAsia="Times New Roman"/>
          <w:sz w:val="16"/>
          <w:szCs w:val="16"/>
        </w:rPr>
      </w:pPr>
      <w:r>
        <w:rPr>
          <w:rFonts w:eastAsia="Times New Roman"/>
        </w:rPr>
        <w:t>Given the consistently strong correlations between children’s scores on the behavioural adjustment, language and cognition and daily living skills subscales of the BESSI</w:t>
      </w:r>
      <w:r w:rsidR="00A70CBD">
        <w:rPr>
          <w:rFonts w:eastAsia="Times New Roman"/>
        </w:rPr>
        <w:t>,</w:t>
      </w:r>
      <w:r>
        <w:rPr>
          <w:rFonts w:eastAsia="Times New Roman"/>
        </w:rPr>
        <w:t xml:space="preserve"> these </w:t>
      </w:r>
      <w:r w:rsidR="00A70CBD">
        <w:rPr>
          <w:rFonts w:eastAsia="Times New Roman"/>
        </w:rPr>
        <w:t xml:space="preserve">variables </w:t>
      </w:r>
      <w:r>
        <w:rPr>
          <w:rFonts w:eastAsia="Times New Roman"/>
        </w:rPr>
        <w:t>were summed to create an overall child school readiness score for use in the regression models. Family support was kept separate as is typical when using this measure (e.g., Hughes et al., 2015).</w:t>
      </w:r>
    </w:p>
    <w:p w14:paraId="73F493E4" w14:textId="77777777" w:rsidR="00027F7D" w:rsidRDefault="00027F7D" w:rsidP="00BB78C4">
      <w:pPr>
        <w:spacing w:line="480" w:lineRule="auto"/>
        <w:outlineLvl w:val="0"/>
        <w:rPr>
          <w:rFonts w:eastAsia="Times New Roman"/>
          <w:b/>
        </w:rPr>
      </w:pPr>
      <w:r>
        <w:rPr>
          <w:rFonts w:eastAsia="Times New Roman"/>
          <w:b/>
        </w:rPr>
        <w:t>Regression models predicting social success</w:t>
      </w:r>
    </w:p>
    <w:p w14:paraId="08DA8C14" w14:textId="2CA72730" w:rsidR="00027F7D" w:rsidRDefault="00027F7D">
      <w:pPr>
        <w:spacing w:line="480" w:lineRule="auto"/>
        <w:ind w:firstLine="720"/>
        <w:rPr>
          <w:rFonts w:eastAsia="Times New Roman"/>
        </w:rPr>
      </w:pPr>
      <w:r>
        <w:rPr>
          <w:rFonts w:eastAsia="Times New Roman"/>
        </w:rPr>
        <w:t>Two planned regression models were constructed to evaluate whether the association between school readiness and children’s social success was independent of other covarying influences. First</w:t>
      </w:r>
      <w:r w:rsidR="00A70CBD">
        <w:rPr>
          <w:rFonts w:eastAsia="Times New Roman"/>
        </w:rPr>
        <w:t>,</w:t>
      </w:r>
      <w:r>
        <w:rPr>
          <w:rFonts w:eastAsia="Times New Roman"/>
        </w:rPr>
        <w:t xml:space="preserve"> a hierarchical linear regression model was constructed</w:t>
      </w:r>
      <w:r w:rsidR="00A70CBD">
        <w:rPr>
          <w:rFonts w:eastAsia="Times New Roman"/>
        </w:rPr>
        <w:t>,</w:t>
      </w:r>
      <w:r>
        <w:rPr>
          <w:rFonts w:eastAsia="Times New Roman"/>
        </w:rPr>
        <w:t xml:space="preserve"> such that</w:t>
      </w:r>
      <w:r w:rsidR="00A70CBD">
        <w:rPr>
          <w:rFonts w:eastAsia="Times New Roman"/>
        </w:rPr>
        <w:t>,</w:t>
      </w:r>
      <w:r>
        <w:rPr>
          <w:rFonts w:eastAsia="Times New Roman"/>
        </w:rPr>
        <w:t xml:space="preserve"> </w:t>
      </w:r>
      <w:r w:rsidR="007C7FCC">
        <w:rPr>
          <w:rFonts w:eastAsia="Times New Roman"/>
        </w:rPr>
        <w:t>social preference</w:t>
      </w:r>
      <w:r>
        <w:rPr>
          <w:rFonts w:eastAsia="Times New Roman"/>
        </w:rPr>
        <w:t xml:space="preserve"> was regressed on </w:t>
      </w:r>
      <w:r w:rsidR="0028657E">
        <w:rPr>
          <w:rFonts w:eastAsia="Times New Roman"/>
        </w:rPr>
        <w:t>gender</w:t>
      </w:r>
      <w:r>
        <w:rPr>
          <w:rFonts w:eastAsia="Times New Roman"/>
        </w:rPr>
        <w:t xml:space="preserve">, age, language ability at Step one, overall child school readiness and family support at Step two, and finally interaction term between </w:t>
      </w:r>
      <w:r w:rsidR="0028657E">
        <w:rPr>
          <w:rFonts w:eastAsia="Times New Roman"/>
        </w:rPr>
        <w:t xml:space="preserve">gender </w:t>
      </w:r>
      <w:r>
        <w:rPr>
          <w:rFonts w:eastAsia="Times New Roman"/>
        </w:rPr>
        <w:t>and school readiness at Step three (see Table 3).</w:t>
      </w:r>
    </w:p>
    <w:p w14:paraId="433C88E6" w14:textId="106B472D" w:rsidR="00027F7D" w:rsidRDefault="00027F7D">
      <w:pPr>
        <w:spacing w:line="480" w:lineRule="auto"/>
        <w:ind w:firstLine="720"/>
        <w:rPr>
          <w:rFonts w:eastAsia="Times New Roman"/>
        </w:rPr>
      </w:pPr>
      <w:r>
        <w:rPr>
          <w:rFonts w:eastAsia="Times New Roman"/>
        </w:rPr>
        <w:t xml:space="preserve">The first step was significant, </w:t>
      </w:r>
      <w:proofErr w:type="gramStart"/>
      <w:r>
        <w:rPr>
          <w:rFonts w:eastAsia="Times New Roman"/>
          <w:i/>
        </w:rPr>
        <w:t>F</w:t>
      </w:r>
      <w:r>
        <w:rPr>
          <w:rFonts w:eastAsia="Times New Roman"/>
        </w:rPr>
        <w:t>(</w:t>
      </w:r>
      <w:proofErr w:type="gramEnd"/>
      <w:r>
        <w:rPr>
          <w:rFonts w:eastAsia="Times New Roman"/>
        </w:rPr>
        <w:t xml:space="preserve">3, 226) = 2.22, </w:t>
      </w:r>
      <w:r>
        <w:rPr>
          <w:rFonts w:eastAsia="Times New Roman"/>
          <w:i/>
        </w:rPr>
        <w:t>p</w:t>
      </w:r>
      <w:r>
        <w:rPr>
          <w:rFonts w:eastAsia="Times New Roman"/>
        </w:rPr>
        <w:t xml:space="preserve"> = 0.043, and explained just </w:t>
      </w:r>
      <w:r w:rsidR="00081AF9">
        <w:rPr>
          <w:rFonts w:eastAsia="Times New Roman"/>
        </w:rPr>
        <w:t>4</w:t>
      </w:r>
      <w:r>
        <w:rPr>
          <w:rFonts w:eastAsia="Times New Roman"/>
        </w:rPr>
        <w:t xml:space="preserve">% of the variability in </w:t>
      </w:r>
      <w:r w:rsidR="007C7FCC">
        <w:rPr>
          <w:rFonts w:eastAsia="Times New Roman"/>
        </w:rPr>
        <w:t>social preference</w:t>
      </w:r>
      <w:r>
        <w:rPr>
          <w:rFonts w:eastAsia="Times New Roman"/>
        </w:rPr>
        <w:t xml:space="preserve">. At this step, only </w:t>
      </w:r>
      <w:r w:rsidR="00807A60">
        <w:rPr>
          <w:rFonts w:eastAsia="Times New Roman"/>
        </w:rPr>
        <w:t>gender</w:t>
      </w:r>
      <w:r>
        <w:rPr>
          <w:rFonts w:eastAsia="Times New Roman"/>
        </w:rPr>
        <w:t xml:space="preserve"> made a significant independent contribution to the prediction of </w:t>
      </w:r>
      <w:r w:rsidR="007C7FCC">
        <w:rPr>
          <w:rFonts w:eastAsia="Times New Roman"/>
        </w:rPr>
        <w:t>social preference</w:t>
      </w:r>
      <w:r w:rsidR="00A70CBD">
        <w:rPr>
          <w:rFonts w:eastAsia="Times New Roman"/>
        </w:rPr>
        <w:t>,</w:t>
      </w:r>
      <w:r>
        <w:rPr>
          <w:rFonts w:eastAsia="Times New Roman"/>
        </w:rPr>
        <w:t xml:space="preserve"> such that boys had lower </w:t>
      </w:r>
      <w:r w:rsidR="007C7FCC">
        <w:rPr>
          <w:rFonts w:eastAsia="Times New Roman"/>
        </w:rPr>
        <w:t>social preference</w:t>
      </w:r>
      <w:r>
        <w:rPr>
          <w:rFonts w:eastAsia="Times New Roman"/>
        </w:rPr>
        <w:t xml:space="preserve"> scores than girls. Step two significantly improved model fit, </w:t>
      </w:r>
      <w:r>
        <w:rPr>
          <w:rFonts w:eastAsia="Times New Roman"/>
        </w:rPr>
        <w:lastRenderedPageBreak/>
        <w:t>Δ</w:t>
      </w:r>
      <w:proofErr w:type="gramStart"/>
      <w:r>
        <w:rPr>
          <w:rFonts w:eastAsia="Times New Roman"/>
          <w:i/>
        </w:rPr>
        <w:t>F</w:t>
      </w:r>
      <w:r>
        <w:rPr>
          <w:rFonts w:eastAsia="Times New Roman"/>
        </w:rPr>
        <w:t>(</w:t>
      </w:r>
      <w:proofErr w:type="gramEnd"/>
      <w:r>
        <w:rPr>
          <w:rFonts w:eastAsia="Times New Roman"/>
        </w:rPr>
        <w:t xml:space="preserve">2, 225) = 10.33, </w:t>
      </w:r>
      <w:r>
        <w:rPr>
          <w:rFonts w:eastAsia="Times New Roman"/>
          <w:i/>
        </w:rPr>
        <w:t>p</w:t>
      </w:r>
      <w:r>
        <w:rPr>
          <w:rFonts w:eastAsia="Times New Roman"/>
        </w:rPr>
        <w:t xml:space="preserve"> &lt; 0.001. Overall</w:t>
      </w:r>
      <w:r w:rsidR="00A70CBD">
        <w:rPr>
          <w:rFonts w:eastAsia="Times New Roman"/>
        </w:rPr>
        <w:t>,</w:t>
      </w:r>
      <w:r>
        <w:rPr>
          <w:rFonts w:eastAsia="Times New Roman"/>
        </w:rPr>
        <w:t xml:space="preserve"> child school readiness made a significant independent contribution to the prediction of </w:t>
      </w:r>
      <w:r w:rsidR="007C7FCC">
        <w:rPr>
          <w:rFonts w:eastAsia="Times New Roman"/>
        </w:rPr>
        <w:t>social preference</w:t>
      </w:r>
      <w:r>
        <w:rPr>
          <w:rFonts w:eastAsia="Times New Roman"/>
        </w:rPr>
        <w:t xml:space="preserve">. At this step, </w:t>
      </w:r>
      <w:r w:rsidR="00807A60">
        <w:rPr>
          <w:rFonts w:eastAsia="Times New Roman"/>
        </w:rPr>
        <w:t>gender</w:t>
      </w:r>
      <w:r>
        <w:rPr>
          <w:rFonts w:eastAsia="Times New Roman"/>
        </w:rPr>
        <w:t xml:space="preserve"> was no longer a significant predictor.</w:t>
      </w:r>
    </w:p>
    <w:p w14:paraId="045CAAC9" w14:textId="4F7A4187" w:rsidR="00027F7D" w:rsidRDefault="00027F7D">
      <w:pPr>
        <w:spacing w:line="480" w:lineRule="auto"/>
        <w:ind w:firstLine="720"/>
        <w:rPr>
          <w:rFonts w:eastAsia="Times New Roman"/>
        </w:rPr>
      </w:pPr>
      <w:r>
        <w:rPr>
          <w:rFonts w:eastAsia="Times New Roman"/>
        </w:rPr>
        <w:t xml:space="preserve">Finally, given </w:t>
      </w:r>
      <w:r w:rsidR="00A70CBD">
        <w:rPr>
          <w:rFonts w:eastAsia="Times New Roman"/>
        </w:rPr>
        <w:t xml:space="preserve">that </w:t>
      </w:r>
      <w:r>
        <w:rPr>
          <w:rFonts w:eastAsia="Times New Roman"/>
        </w:rPr>
        <w:t xml:space="preserve">only the overall child school readiness score was a significant predictor, the interaction between this term and </w:t>
      </w:r>
      <w:r w:rsidR="00807A60">
        <w:rPr>
          <w:rFonts w:eastAsia="Times New Roman"/>
        </w:rPr>
        <w:t>gender</w:t>
      </w:r>
      <w:r>
        <w:rPr>
          <w:rFonts w:eastAsia="Times New Roman"/>
        </w:rPr>
        <w:t xml:space="preserve"> was included at Step three. This step made a significant contribution to model fit</w:t>
      </w:r>
      <w:r>
        <w:rPr>
          <w:rFonts w:eastAsia="Times New Roman"/>
          <w:b/>
        </w:rPr>
        <w:t xml:space="preserve">, </w:t>
      </w:r>
      <w:r>
        <w:rPr>
          <w:rFonts w:eastAsia="Times New Roman"/>
        </w:rPr>
        <w:t>Δ</w:t>
      </w:r>
      <w:proofErr w:type="gramStart"/>
      <w:r>
        <w:rPr>
          <w:rFonts w:eastAsia="Times New Roman"/>
          <w:i/>
        </w:rPr>
        <w:t>F</w:t>
      </w:r>
      <w:r>
        <w:rPr>
          <w:rFonts w:eastAsia="Times New Roman"/>
        </w:rPr>
        <w:t>(</w:t>
      </w:r>
      <w:proofErr w:type="gramEnd"/>
      <w:r>
        <w:rPr>
          <w:rFonts w:eastAsia="Times New Roman"/>
        </w:rPr>
        <w:t xml:space="preserve">1, 224) = 4.69, </w:t>
      </w:r>
      <w:r>
        <w:rPr>
          <w:rFonts w:eastAsia="Times New Roman"/>
          <w:i/>
        </w:rPr>
        <w:t>p</w:t>
      </w:r>
      <w:r>
        <w:rPr>
          <w:rFonts w:eastAsia="Times New Roman"/>
        </w:rPr>
        <w:t xml:space="preserve"> = 0.031, and the overall model, </w:t>
      </w:r>
      <w:r>
        <w:rPr>
          <w:rFonts w:eastAsia="Times New Roman"/>
          <w:i/>
        </w:rPr>
        <w:t>F</w:t>
      </w:r>
      <w:r>
        <w:rPr>
          <w:rFonts w:eastAsia="Times New Roman"/>
        </w:rPr>
        <w:t xml:space="preserve">(6, 224) = 5.80, </w:t>
      </w:r>
      <w:r>
        <w:rPr>
          <w:rFonts w:eastAsia="Times New Roman"/>
          <w:i/>
        </w:rPr>
        <w:t>p</w:t>
      </w:r>
      <w:r>
        <w:rPr>
          <w:rFonts w:eastAsia="Times New Roman"/>
        </w:rPr>
        <w:t xml:space="preserve"> &lt; 0.001, explained 13% of the variability in </w:t>
      </w:r>
      <w:r w:rsidR="007C7FCC">
        <w:rPr>
          <w:rFonts w:eastAsia="Times New Roman"/>
        </w:rPr>
        <w:t>social preference</w:t>
      </w:r>
      <w:r>
        <w:rPr>
          <w:rFonts w:eastAsia="Times New Roman"/>
        </w:rPr>
        <w:t xml:space="preserve">. At the final step, both overall child school readiness and the interaction between </w:t>
      </w:r>
      <w:r w:rsidR="00807A60">
        <w:rPr>
          <w:rFonts w:eastAsia="Times New Roman"/>
        </w:rPr>
        <w:t>gender</w:t>
      </w:r>
      <w:r>
        <w:rPr>
          <w:rFonts w:eastAsia="Times New Roman"/>
        </w:rPr>
        <w:t xml:space="preserve"> and overall child school readiness were significant independent predictors of </w:t>
      </w:r>
      <w:r w:rsidR="007C7FCC">
        <w:rPr>
          <w:rFonts w:eastAsia="Times New Roman"/>
        </w:rPr>
        <w:t>social preference</w:t>
      </w:r>
      <w:r>
        <w:rPr>
          <w:rFonts w:eastAsia="Times New Roman"/>
        </w:rPr>
        <w:t xml:space="preserve">, suggesting that </w:t>
      </w:r>
      <w:r w:rsidR="00807A60">
        <w:rPr>
          <w:rFonts w:eastAsia="Times New Roman"/>
        </w:rPr>
        <w:t>gender</w:t>
      </w:r>
      <w:r>
        <w:rPr>
          <w:rFonts w:eastAsia="Times New Roman"/>
        </w:rPr>
        <w:t xml:space="preserve"> moderates the association between school readiness and </w:t>
      </w:r>
      <w:r w:rsidR="007C7FCC">
        <w:rPr>
          <w:rFonts w:eastAsia="Times New Roman"/>
        </w:rPr>
        <w:t>social preference</w:t>
      </w:r>
      <w:r>
        <w:rPr>
          <w:rFonts w:eastAsia="Times New Roman"/>
        </w:rPr>
        <w:t>. Subsequent simple slopes analysis of this interaction showed that for boys</w:t>
      </w:r>
      <w:r w:rsidR="00A70CBD">
        <w:rPr>
          <w:rFonts w:eastAsia="Times New Roman"/>
        </w:rPr>
        <w:t>,</w:t>
      </w:r>
      <w:r>
        <w:rPr>
          <w:rFonts w:eastAsia="Times New Roman"/>
        </w:rPr>
        <w:t xml:space="preserve"> there was a significant negative association between school readiness and </w:t>
      </w:r>
      <w:r w:rsidR="007C7FCC">
        <w:rPr>
          <w:rFonts w:eastAsia="Times New Roman"/>
        </w:rPr>
        <w:t>social preference</w:t>
      </w:r>
      <w:r>
        <w:rPr>
          <w:rFonts w:eastAsia="Times New Roman"/>
        </w:rPr>
        <w:t xml:space="preserve">, </w:t>
      </w:r>
      <w:r>
        <w:rPr>
          <w:rFonts w:eastAsia="Times New Roman"/>
          <w:i/>
        </w:rPr>
        <w:t>b</w:t>
      </w:r>
      <w:r>
        <w:rPr>
          <w:rFonts w:eastAsia="Times New Roman"/>
        </w:rPr>
        <w:t xml:space="preserve"> = -.52, </w:t>
      </w:r>
      <w:r>
        <w:rPr>
          <w:rFonts w:eastAsia="Times New Roman"/>
          <w:i/>
        </w:rPr>
        <w:t>t</w:t>
      </w:r>
      <w:r>
        <w:rPr>
          <w:rFonts w:eastAsia="Times New Roman"/>
        </w:rPr>
        <w:t xml:space="preserve"> (126) = -4.48, </w:t>
      </w:r>
      <w:r>
        <w:rPr>
          <w:rFonts w:eastAsia="Times New Roman"/>
          <w:i/>
        </w:rPr>
        <w:t>p</w:t>
      </w:r>
      <w:r>
        <w:rPr>
          <w:rFonts w:eastAsia="Times New Roman"/>
        </w:rPr>
        <w:t xml:space="preserve"> &lt; 0.001, whereas for girls</w:t>
      </w:r>
      <w:r w:rsidR="00A70CBD">
        <w:rPr>
          <w:rFonts w:eastAsia="Times New Roman"/>
        </w:rPr>
        <w:t>,</w:t>
      </w:r>
      <w:r>
        <w:rPr>
          <w:rFonts w:eastAsia="Times New Roman"/>
        </w:rPr>
        <w:t xml:space="preserve"> this association was not significant, </w:t>
      </w:r>
      <w:r>
        <w:rPr>
          <w:rFonts w:eastAsia="Times New Roman"/>
          <w:i/>
        </w:rPr>
        <w:t>b</w:t>
      </w:r>
      <w:r>
        <w:rPr>
          <w:rFonts w:eastAsia="Times New Roman"/>
        </w:rPr>
        <w:t xml:space="preserve"> = -.13, </w:t>
      </w:r>
      <w:r>
        <w:rPr>
          <w:rFonts w:eastAsia="Times New Roman"/>
          <w:i/>
        </w:rPr>
        <w:t xml:space="preserve">t </w:t>
      </w:r>
      <w:r>
        <w:rPr>
          <w:rFonts w:eastAsia="Times New Roman"/>
        </w:rPr>
        <w:t xml:space="preserve">(109) = -1.00, </w:t>
      </w:r>
      <w:r>
        <w:rPr>
          <w:rFonts w:eastAsia="Times New Roman"/>
          <w:i/>
        </w:rPr>
        <w:t>p</w:t>
      </w:r>
      <w:r>
        <w:rPr>
          <w:rFonts w:eastAsia="Times New Roman"/>
        </w:rPr>
        <w:t xml:space="preserve"> = .319.</w:t>
      </w:r>
    </w:p>
    <w:p w14:paraId="63F1AB2E" w14:textId="18A59827" w:rsidR="00027F7D" w:rsidRDefault="00027F7D">
      <w:pPr>
        <w:spacing w:line="480" w:lineRule="auto"/>
        <w:rPr>
          <w:rFonts w:eastAsia="Times New Roman"/>
        </w:rPr>
      </w:pPr>
      <w:r>
        <w:rPr>
          <w:rFonts w:eastAsia="Times New Roman"/>
        </w:rPr>
        <w:t xml:space="preserve">        </w:t>
      </w:r>
      <w:r>
        <w:rPr>
          <w:rFonts w:eastAsia="Times New Roman"/>
        </w:rPr>
        <w:tab/>
        <w:t xml:space="preserve">Second, the independent contribution of study variables </w:t>
      </w:r>
      <w:r w:rsidR="00D34EA7">
        <w:rPr>
          <w:rFonts w:eastAsia="Times New Roman"/>
        </w:rPr>
        <w:t>for</w:t>
      </w:r>
      <w:r>
        <w:rPr>
          <w:rFonts w:eastAsia="Times New Roman"/>
        </w:rPr>
        <w:t xml:space="preserve"> the prediction of reciprocated friendship status was examined using binary logistic regression. The model was first run including </w:t>
      </w:r>
      <w:r w:rsidR="00807A60">
        <w:rPr>
          <w:rFonts w:eastAsia="Times New Roman"/>
        </w:rPr>
        <w:t>gender</w:t>
      </w:r>
      <w:r>
        <w:rPr>
          <w:rFonts w:eastAsia="Times New Roman"/>
        </w:rPr>
        <w:t>, age, language ability, overall child school readiness and family support. This model was significant, χ</w:t>
      </w:r>
      <w:r>
        <w:rPr>
          <w:rFonts w:eastAsia="Times New Roman"/>
          <w:vertAlign w:val="superscript"/>
        </w:rPr>
        <w:t>2</w:t>
      </w:r>
      <w:r>
        <w:rPr>
          <w:rFonts w:eastAsia="Times New Roman"/>
          <w:vertAlign w:val="subscript"/>
        </w:rPr>
        <w:t xml:space="preserve">5 </w:t>
      </w:r>
      <w:r>
        <w:rPr>
          <w:rFonts w:eastAsia="Times New Roman"/>
        </w:rPr>
        <w:t>(</w:t>
      </w:r>
      <w:r>
        <w:rPr>
          <w:rFonts w:eastAsia="Times New Roman"/>
          <w:i/>
        </w:rPr>
        <w:t>N</w:t>
      </w:r>
      <w:r>
        <w:rPr>
          <w:rFonts w:eastAsia="Times New Roman"/>
        </w:rPr>
        <w:t xml:space="preserve"> = 225) = 22.50, </w:t>
      </w:r>
      <w:r>
        <w:rPr>
          <w:rFonts w:eastAsia="Times New Roman"/>
          <w:i/>
        </w:rPr>
        <w:t xml:space="preserve">p </w:t>
      </w:r>
      <w:r>
        <w:rPr>
          <w:rFonts w:eastAsia="Times New Roman"/>
        </w:rPr>
        <w:t xml:space="preserve">&lt; 0.001, </w:t>
      </w:r>
      <w:proofErr w:type="spellStart"/>
      <w:r>
        <w:rPr>
          <w:rFonts w:eastAsia="Times New Roman"/>
        </w:rPr>
        <w:t>Nagelkerke</w:t>
      </w:r>
      <w:proofErr w:type="spellEnd"/>
      <w:r>
        <w:rPr>
          <w:rFonts w:eastAsia="Times New Roman"/>
        </w:rPr>
        <w:t xml:space="preserve"> pseudo-</w:t>
      </w:r>
      <w:r>
        <w:rPr>
          <w:rFonts w:eastAsia="Times New Roman"/>
          <w:i/>
        </w:rPr>
        <w:t>R</w:t>
      </w:r>
      <w:r>
        <w:rPr>
          <w:rFonts w:eastAsia="Times New Roman"/>
          <w:vertAlign w:val="superscript"/>
        </w:rPr>
        <w:t>2</w:t>
      </w:r>
      <w:r>
        <w:rPr>
          <w:rFonts w:eastAsia="Times New Roman"/>
        </w:rPr>
        <w:t xml:space="preserve"> = .13. Only family support made a significant independent contribution to the prediction of reciprocated friendship status (see Table 4). Teacher ratings of family support were significantly higher for children with a reciprocated friendship than for those without. Expressed in </w:t>
      </w:r>
      <w:r>
        <w:rPr>
          <w:rFonts w:eastAsia="Times New Roman"/>
          <w:i/>
        </w:rPr>
        <w:t xml:space="preserve">SD </w:t>
      </w:r>
      <w:r>
        <w:rPr>
          <w:rFonts w:eastAsia="Times New Roman"/>
        </w:rPr>
        <w:t xml:space="preserve">increments, the likelihood of having a reciprocal friend decreased 2.13 times for every </w:t>
      </w:r>
      <w:r>
        <w:rPr>
          <w:rFonts w:eastAsia="Times New Roman"/>
          <w:i/>
        </w:rPr>
        <w:t>SD</w:t>
      </w:r>
      <w:r>
        <w:rPr>
          <w:rFonts w:eastAsia="Times New Roman"/>
        </w:rPr>
        <w:t xml:space="preserve"> increase in the ‘problems of family support’ subscale. When including the interaction between </w:t>
      </w:r>
      <w:r w:rsidR="00807A60">
        <w:rPr>
          <w:rFonts w:eastAsia="Times New Roman"/>
        </w:rPr>
        <w:lastRenderedPageBreak/>
        <w:t>gender</w:t>
      </w:r>
      <w:r>
        <w:rPr>
          <w:rFonts w:eastAsia="Times New Roman"/>
        </w:rPr>
        <w:t xml:space="preserve"> and family support, neither this interaction nor the increase in χ</w:t>
      </w:r>
      <w:r>
        <w:rPr>
          <w:rFonts w:eastAsia="Times New Roman"/>
          <w:vertAlign w:val="superscript"/>
        </w:rPr>
        <w:t xml:space="preserve">2 </w:t>
      </w:r>
      <w:r>
        <w:rPr>
          <w:rFonts w:eastAsia="Times New Roman"/>
        </w:rPr>
        <w:t>for the addition of this term was significant, χ</w:t>
      </w:r>
      <w:r>
        <w:rPr>
          <w:rFonts w:eastAsia="Times New Roman"/>
          <w:vertAlign w:val="superscript"/>
        </w:rPr>
        <w:t>2</w:t>
      </w:r>
      <w:r>
        <w:rPr>
          <w:rFonts w:eastAsia="Times New Roman"/>
          <w:vertAlign w:val="subscript"/>
        </w:rPr>
        <w:t xml:space="preserve">1 </w:t>
      </w:r>
      <w:r>
        <w:rPr>
          <w:rFonts w:eastAsia="Times New Roman"/>
        </w:rPr>
        <w:t>(</w:t>
      </w:r>
      <w:r>
        <w:rPr>
          <w:rFonts w:eastAsia="Times New Roman"/>
          <w:i/>
        </w:rPr>
        <w:t>N</w:t>
      </w:r>
      <w:r>
        <w:rPr>
          <w:rFonts w:eastAsia="Times New Roman"/>
        </w:rPr>
        <w:t xml:space="preserve"> = 225) = </w:t>
      </w:r>
      <w:r w:rsidRPr="00631192">
        <w:rPr>
          <w:rFonts w:eastAsia="Times New Roman"/>
        </w:rPr>
        <w:t xml:space="preserve">0.10, </w:t>
      </w:r>
      <w:r w:rsidRPr="00631192">
        <w:rPr>
          <w:rFonts w:eastAsia="Times New Roman"/>
          <w:i/>
        </w:rPr>
        <w:t xml:space="preserve">p </w:t>
      </w:r>
      <w:r w:rsidRPr="00631192">
        <w:rPr>
          <w:rFonts w:eastAsia="Times New Roman"/>
        </w:rPr>
        <w:t>= 0.749.</w:t>
      </w:r>
      <w:r>
        <w:rPr>
          <w:rFonts w:eastAsia="Times New Roman"/>
        </w:rPr>
        <w:t xml:space="preserve">  </w:t>
      </w:r>
    </w:p>
    <w:p w14:paraId="4940FFF2" w14:textId="36CE6AF3" w:rsidR="00DD016F" w:rsidRDefault="00027F7D">
      <w:pPr>
        <w:spacing w:line="480" w:lineRule="auto"/>
        <w:rPr>
          <w:rFonts w:eastAsia="Times New Roman"/>
        </w:rPr>
      </w:pPr>
      <w:bookmarkStart w:id="1" w:name="_30j0zll" w:colFirst="0" w:colLast="0"/>
      <w:bookmarkEnd w:id="1"/>
      <w:r>
        <w:rPr>
          <w:rFonts w:eastAsia="Times New Roman"/>
        </w:rPr>
        <w:t xml:space="preserve">        </w:t>
      </w:r>
      <w:r>
        <w:rPr>
          <w:rFonts w:eastAsia="Times New Roman"/>
        </w:rPr>
        <w:tab/>
        <w:t xml:space="preserve">Finally, a post-hoc analysis was conducted to test if the independent contribution of children’s family support on reciprocated friendships remained significant when children’s </w:t>
      </w:r>
      <w:r w:rsidR="007C7FCC">
        <w:rPr>
          <w:rFonts w:eastAsia="Times New Roman"/>
        </w:rPr>
        <w:t>social preference</w:t>
      </w:r>
      <w:r>
        <w:rPr>
          <w:rFonts w:eastAsia="Times New Roman"/>
        </w:rPr>
        <w:t xml:space="preserve"> scores were controlled. This final logistic regression model, χ</w:t>
      </w:r>
      <w:r>
        <w:rPr>
          <w:rFonts w:eastAsia="Times New Roman"/>
          <w:vertAlign w:val="superscript"/>
        </w:rPr>
        <w:t>2</w:t>
      </w:r>
      <w:r>
        <w:rPr>
          <w:rFonts w:eastAsia="Times New Roman"/>
          <w:vertAlign w:val="subscript"/>
        </w:rPr>
        <w:t xml:space="preserve">6 </w:t>
      </w:r>
      <w:r>
        <w:rPr>
          <w:rFonts w:eastAsia="Times New Roman"/>
        </w:rPr>
        <w:t>(</w:t>
      </w:r>
      <w:r>
        <w:rPr>
          <w:rFonts w:eastAsia="Times New Roman"/>
          <w:i/>
        </w:rPr>
        <w:t>N</w:t>
      </w:r>
      <w:r>
        <w:rPr>
          <w:rFonts w:eastAsia="Times New Roman"/>
        </w:rPr>
        <w:t xml:space="preserve"> = 225) = 27.26, </w:t>
      </w:r>
      <w:r>
        <w:rPr>
          <w:rFonts w:eastAsia="Times New Roman"/>
          <w:i/>
        </w:rPr>
        <w:t xml:space="preserve">p </w:t>
      </w:r>
      <w:r>
        <w:rPr>
          <w:rFonts w:eastAsia="Times New Roman"/>
        </w:rPr>
        <w:t xml:space="preserve">&lt; 0.001, </w:t>
      </w:r>
      <w:proofErr w:type="spellStart"/>
      <w:r>
        <w:rPr>
          <w:rFonts w:eastAsia="Times New Roman"/>
        </w:rPr>
        <w:t>Nagelkerke</w:t>
      </w:r>
      <w:proofErr w:type="spellEnd"/>
      <w:r>
        <w:rPr>
          <w:rFonts w:eastAsia="Times New Roman"/>
        </w:rPr>
        <w:t xml:space="preserve"> pseudo-</w:t>
      </w:r>
      <w:r>
        <w:rPr>
          <w:rFonts w:eastAsia="Times New Roman"/>
          <w:i/>
        </w:rPr>
        <w:t>R</w:t>
      </w:r>
      <w:r>
        <w:rPr>
          <w:rFonts w:eastAsia="Times New Roman"/>
          <w:vertAlign w:val="superscript"/>
        </w:rPr>
        <w:t>2</w:t>
      </w:r>
      <w:r>
        <w:rPr>
          <w:rFonts w:eastAsia="Times New Roman"/>
        </w:rPr>
        <w:t xml:space="preserve"> = .16, showed that family support remained a significant independent predictor (</w:t>
      </w:r>
      <w:r>
        <w:rPr>
          <w:rFonts w:eastAsia="Times New Roman"/>
          <w:i/>
        </w:rPr>
        <w:t>b</w:t>
      </w:r>
      <w:r>
        <w:rPr>
          <w:rFonts w:eastAsia="Times New Roman"/>
        </w:rPr>
        <w:t xml:space="preserve"> = -.35, Wald = 4.21, </w:t>
      </w:r>
      <w:r>
        <w:rPr>
          <w:rFonts w:eastAsia="Times New Roman"/>
          <w:i/>
        </w:rPr>
        <w:t>p</w:t>
      </w:r>
      <w:r>
        <w:rPr>
          <w:rFonts w:eastAsia="Times New Roman"/>
        </w:rPr>
        <w:t xml:space="preserve"> = .040) of reciprocated friendship even when accounting for the significant contribution of </w:t>
      </w:r>
      <w:r w:rsidR="007C7FCC">
        <w:rPr>
          <w:rFonts w:eastAsia="Times New Roman"/>
        </w:rPr>
        <w:t>social preference</w:t>
      </w:r>
      <w:r>
        <w:rPr>
          <w:rFonts w:eastAsia="Times New Roman"/>
        </w:rPr>
        <w:t xml:space="preserve"> (</w:t>
      </w:r>
      <w:r>
        <w:rPr>
          <w:rFonts w:eastAsia="Times New Roman"/>
          <w:i/>
        </w:rPr>
        <w:t>b</w:t>
      </w:r>
      <w:r>
        <w:rPr>
          <w:rFonts w:eastAsia="Times New Roman"/>
        </w:rPr>
        <w:t xml:space="preserve"> = .27, Wald = 4.55, </w:t>
      </w:r>
      <w:r>
        <w:rPr>
          <w:rFonts w:eastAsia="Times New Roman"/>
          <w:i/>
        </w:rPr>
        <w:t>p</w:t>
      </w:r>
      <w:r>
        <w:rPr>
          <w:rFonts w:eastAsia="Times New Roman"/>
        </w:rPr>
        <w:t xml:space="preserve"> = .033). </w:t>
      </w:r>
    </w:p>
    <w:p w14:paraId="0638EDB2" w14:textId="77777777" w:rsidR="00027F7D" w:rsidRDefault="00027F7D" w:rsidP="00BB78C4">
      <w:pPr>
        <w:spacing w:line="360" w:lineRule="auto"/>
        <w:outlineLvl w:val="0"/>
        <w:rPr>
          <w:rFonts w:eastAsia="Times New Roman"/>
          <w:b/>
        </w:rPr>
      </w:pPr>
    </w:p>
    <w:p w14:paraId="510380DB" w14:textId="77777777" w:rsidR="00027F7D" w:rsidRDefault="00027F7D" w:rsidP="00BB78C4">
      <w:pPr>
        <w:spacing w:line="360" w:lineRule="auto"/>
        <w:jc w:val="center"/>
        <w:outlineLvl w:val="0"/>
        <w:rPr>
          <w:rFonts w:eastAsia="Times New Roman"/>
          <w:b/>
        </w:rPr>
      </w:pPr>
      <w:r>
        <w:rPr>
          <w:rFonts w:eastAsia="Times New Roman"/>
          <w:b/>
        </w:rPr>
        <w:t>Discussion</w:t>
      </w:r>
    </w:p>
    <w:p w14:paraId="0E733E6F" w14:textId="77777777" w:rsidR="00027F7D" w:rsidRDefault="00027F7D" w:rsidP="00BB78C4">
      <w:pPr>
        <w:spacing w:line="360" w:lineRule="auto"/>
        <w:jc w:val="center"/>
        <w:outlineLvl w:val="0"/>
        <w:rPr>
          <w:rFonts w:eastAsia="Times New Roman"/>
          <w:b/>
        </w:rPr>
      </w:pPr>
    </w:p>
    <w:p w14:paraId="762ED8E0" w14:textId="3533CA21" w:rsidR="00027F7D" w:rsidRDefault="00027F7D">
      <w:pPr>
        <w:spacing w:line="480" w:lineRule="auto"/>
        <w:ind w:firstLine="720"/>
        <w:rPr>
          <w:rFonts w:eastAsia="Times New Roman"/>
        </w:rPr>
      </w:pPr>
      <w:r>
        <w:rPr>
          <w:rFonts w:eastAsia="Times New Roman"/>
        </w:rPr>
        <w:t>Three key findings emerged</w:t>
      </w:r>
      <w:r w:rsidDel="009E5265">
        <w:rPr>
          <w:rFonts w:eastAsia="Times New Roman"/>
        </w:rPr>
        <w:t xml:space="preserve"> </w:t>
      </w:r>
      <w:r>
        <w:rPr>
          <w:rFonts w:eastAsia="Times New Roman"/>
        </w:rPr>
        <w:t xml:space="preserve">from this investigation of the association between teacher ratings of children’s school readiness and child-reported social success during the first year of formal schooling. First, boys scored lower than girls on all measures of school readiness. Second, findings showed that while child school readiness is important for </w:t>
      </w:r>
      <w:r w:rsidR="007C7FCC">
        <w:rPr>
          <w:rFonts w:eastAsia="Times New Roman"/>
        </w:rPr>
        <w:t>social preference</w:t>
      </w:r>
      <w:r>
        <w:rPr>
          <w:rFonts w:eastAsia="Times New Roman"/>
        </w:rPr>
        <w:t xml:space="preserve"> in the classroom, it was family support at home that was critical for the development of reciprocated friendships, even when controlling for a child’s existing level of </w:t>
      </w:r>
      <w:r w:rsidR="007C7FCC">
        <w:rPr>
          <w:rFonts w:eastAsia="Times New Roman"/>
        </w:rPr>
        <w:t>social preference</w:t>
      </w:r>
      <w:r>
        <w:rPr>
          <w:rFonts w:eastAsia="Times New Roman"/>
        </w:rPr>
        <w:t xml:space="preserve">. Third, the association between children’s school readiness and </w:t>
      </w:r>
      <w:r w:rsidR="007C7FCC">
        <w:rPr>
          <w:rFonts w:eastAsia="Times New Roman"/>
        </w:rPr>
        <w:t>social preference</w:t>
      </w:r>
      <w:r>
        <w:rPr>
          <w:rFonts w:eastAsia="Times New Roman"/>
        </w:rPr>
        <w:t xml:space="preserve"> was moderated by </w:t>
      </w:r>
      <w:r w:rsidR="00807A60">
        <w:rPr>
          <w:rFonts w:eastAsia="Times New Roman"/>
        </w:rPr>
        <w:t>gender</w:t>
      </w:r>
      <w:r>
        <w:rPr>
          <w:rFonts w:eastAsia="Times New Roman"/>
        </w:rPr>
        <w:t>, such that for boys</w:t>
      </w:r>
      <w:r w:rsidR="00674C4A">
        <w:rPr>
          <w:rFonts w:eastAsia="Times New Roman"/>
        </w:rPr>
        <w:t>,</w:t>
      </w:r>
      <w:r>
        <w:rPr>
          <w:rFonts w:eastAsia="Times New Roman"/>
        </w:rPr>
        <w:t xml:space="preserve"> the detrimental impact of poor school readiness on </w:t>
      </w:r>
      <w:r w:rsidR="007C7FCC">
        <w:rPr>
          <w:rFonts w:eastAsia="Times New Roman"/>
        </w:rPr>
        <w:t>social preference</w:t>
      </w:r>
      <w:r>
        <w:rPr>
          <w:rFonts w:eastAsia="Times New Roman"/>
        </w:rPr>
        <w:t xml:space="preserve"> was more marked than for girls. These findings are broadly in line with existing research </w:t>
      </w:r>
      <w:r w:rsidR="00D34EA7">
        <w:rPr>
          <w:rFonts w:eastAsia="Times New Roman"/>
        </w:rPr>
        <w:t>demonstrating</w:t>
      </w:r>
      <w:r>
        <w:rPr>
          <w:rFonts w:eastAsia="Times New Roman"/>
        </w:rPr>
        <w:t xml:space="preserve"> that boys are more vulnerable than girls at the transition to formal schooling and have greater difficulties with social and emotional competence in early childhood </w:t>
      </w:r>
      <w:r>
        <w:rPr>
          <w:rFonts w:eastAsia="Times New Roman"/>
          <w:noProof/>
        </w:rPr>
        <w:t>(e.g., Linder et al., 2013)</w:t>
      </w:r>
      <w:r>
        <w:rPr>
          <w:rFonts w:eastAsia="Times New Roman"/>
        </w:rPr>
        <w:t xml:space="preserve">. However, there were no </w:t>
      </w:r>
      <w:r w:rsidR="00807A60">
        <w:rPr>
          <w:rFonts w:eastAsia="Times New Roman"/>
        </w:rPr>
        <w:t>gender</w:t>
      </w:r>
      <w:r>
        <w:rPr>
          <w:rFonts w:eastAsia="Times New Roman"/>
        </w:rPr>
        <w:t xml:space="preserve"> differences in the </w:t>
      </w:r>
      <w:r>
        <w:rPr>
          <w:rFonts w:eastAsia="Times New Roman"/>
        </w:rPr>
        <w:lastRenderedPageBreak/>
        <w:t>association between school readiness and reciprocated friendships</w:t>
      </w:r>
      <w:r w:rsidR="00674C4A">
        <w:rPr>
          <w:rFonts w:eastAsia="Times New Roman"/>
        </w:rPr>
        <w:t xml:space="preserve"> in the current study</w:t>
      </w:r>
      <w:r>
        <w:rPr>
          <w:rFonts w:eastAsia="Times New Roman"/>
        </w:rPr>
        <w:t xml:space="preserve">. </w:t>
      </w:r>
    </w:p>
    <w:p w14:paraId="7E42FE2F" w14:textId="1666866C" w:rsidR="00027F7D" w:rsidRDefault="00027F7D">
      <w:pPr>
        <w:spacing w:line="480" w:lineRule="auto"/>
        <w:ind w:firstLine="720"/>
        <w:rPr>
          <w:rFonts w:eastAsia="Times New Roman"/>
        </w:rPr>
      </w:pPr>
      <w:r>
        <w:rPr>
          <w:rFonts w:eastAsia="Times New Roman"/>
        </w:rPr>
        <w:t xml:space="preserve">Consistent with past research </w:t>
      </w:r>
      <w:r>
        <w:rPr>
          <w:rFonts w:eastAsia="Times New Roman"/>
          <w:noProof/>
        </w:rPr>
        <w:t>(e.g., Thomson et al., 2017)</w:t>
      </w:r>
      <w:r>
        <w:rPr>
          <w:rFonts w:eastAsia="Times New Roman"/>
        </w:rPr>
        <w:t xml:space="preserve">, descriptive analyses indicated a significant </w:t>
      </w:r>
      <w:r w:rsidR="00807A60">
        <w:rPr>
          <w:rFonts w:eastAsia="Times New Roman"/>
        </w:rPr>
        <w:t>gender</w:t>
      </w:r>
      <w:r>
        <w:rPr>
          <w:rFonts w:eastAsia="Times New Roman"/>
        </w:rPr>
        <w:t xml:space="preserve"> difference on all four subscales of the BESSI, with poorer outcomes in boys compared to girls, including the family support subscale. Thus, as well as starting schools with greater social and cognitive disadvantages, boys are also more prone to disadvantage in social/family-based domains.</w:t>
      </w:r>
      <w:r w:rsidR="00C2019F">
        <w:rPr>
          <w:rFonts w:eastAsia="Times New Roman"/>
        </w:rPr>
        <w:t xml:space="preserve"> The fact that family support in this study was not independent from children’s gender clearly requires further investigation, particularly given that poorer family support for boys has been found in a previous study using the BESSI (Hughes et al., 2015).</w:t>
      </w:r>
      <w:r>
        <w:rPr>
          <w:rFonts w:eastAsia="Times New Roman"/>
        </w:rPr>
        <w:t xml:space="preserve"> </w:t>
      </w:r>
      <w:r w:rsidR="00C2019F">
        <w:rPr>
          <w:rFonts w:eastAsia="Times New Roman"/>
        </w:rPr>
        <w:t xml:space="preserve">One possible explanation for </w:t>
      </w:r>
      <w:r w:rsidR="00877D7E">
        <w:rPr>
          <w:rFonts w:eastAsia="Times New Roman"/>
        </w:rPr>
        <w:t xml:space="preserve">this </w:t>
      </w:r>
      <w:r w:rsidR="00C2019F">
        <w:rPr>
          <w:rFonts w:eastAsia="Times New Roman"/>
        </w:rPr>
        <w:t>result may be that</w:t>
      </w:r>
      <w:r w:rsidR="00877D7E">
        <w:rPr>
          <w:rFonts w:eastAsia="Times New Roman"/>
        </w:rPr>
        <w:t xml:space="preserve"> it is </w:t>
      </w:r>
      <w:r w:rsidR="00C2019F">
        <w:rPr>
          <w:rFonts w:eastAsia="Times New Roman"/>
        </w:rPr>
        <w:t xml:space="preserve">teacher </w:t>
      </w:r>
      <w:r w:rsidR="00877D7E">
        <w:rPr>
          <w:rFonts w:eastAsia="Times New Roman"/>
        </w:rPr>
        <w:t xml:space="preserve">perceptions of children’s family support that differs by gender. Nonetheless, </w:t>
      </w:r>
      <w:r>
        <w:rPr>
          <w:rFonts w:eastAsia="Times New Roman"/>
        </w:rPr>
        <w:t>the</w:t>
      </w:r>
      <w:r w:rsidR="00877D7E">
        <w:rPr>
          <w:rFonts w:eastAsia="Times New Roman"/>
        </w:rPr>
        <w:t xml:space="preserve"> current</w:t>
      </w:r>
      <w:r>
        <w:rPr>
          <w:rFonts w:eastAsia="Times New Roman"/>
        </w:rPr>
        <w:t xml:space="preserve"> findings highlight the importance of prioritising resource allocation to schemes aimed at ameliorating these areas of risk in boys, for example, by developing intervention strategies that may include a more supportive school environment, community-based programs and parental support initiatives. </w:t>
      </w:r>
    </w:p>
    <w:p w14:paraId="6B1E582B" w14:textId="17D5FCCD" w:rsidR="00027F7D" w:rsidRDefault="00027F7D">
      <w:pPr>
        <w:spacing w:line="480" w:lineRule="auto"/>
        <w:ind w:firstLine="720"/>
        <w:rPr>
          <w:rFonts w:eastAsia="Times New Roman"/>
        </w:rPr>
      </w:pPr>
      <w:r>
        <w:rPr>
          <w:rFonts w:eastAsia="Times New Roman"/>
        </w:rPr>
        <w:t xml:space="preserve">Children’s school readiness was closely associated with their social success in the classroom. The current study extends the existing literature by demonstrating that children’s own perceptions of their classmates’ social success are also influenced by the degree to which an individual child is school ready, even when accounting for </w:t>
      </w:r>
      <w:r w:rsidR="00807A60">
        <w:rPr>
          <w:rFonts w:eastAsia="Times New Roman"/>
        </w:rPr>
        <w:t>gender</w:t>
      </w:r>
      <w:r>
        <w:rPr>
          <w:rFonts w:eastAsia="Times New Roman"/>
        </w:rPr>
        <w:t xml:space="preserve">, age and verbal abilities. When including </w:t>
      </w:r>
      <w:r w:rsidR="00807A60">
        <w:rPr>
          <w:rFonts w:eastAsia="Times New Roman"/>
        </w:rPr>
        <w:t>gender</w:t>
      </w:r>
      <w:r>
        <w:rPr>
          <w:rFonts w:eastAsia="Times New Roman"/>
        </w:rPr>
        <w:t xml:space="preserve"> as a moderator </w:t>
      </w:r>
      <w:r w:rsidR="00674C4A">
        <w:rPr>
          <w:rFonts w:eastAsia="Times New Roman"/>
        </w:rPr>
        <w:t>in</w:t>
      </w:r>
      <w:r>
        <w:rPr>
          <w:rFonts w:eastAsia="Times New Roman"/>
        </w:rPr>
        <w:t xml:space="preserve"> the association between school readiness and </w:t>
      </w:r>
      <w:r w:rsidR="007C7FCC">
        <w:rPr>
          <w:rFonts w:eastAsia="Times New Roman"/>
        </w:rPr>
        <w:t>social preference</w:t>
      </w:r>
      <w:r>
        <w:rPr>
          <w:rFonts w:eastAsia="Times New Roman"/>
        </w:rPr>
        <w:t xml:space="preserve">, it was clear that this association only held for boys. While girls with high and low school readiness scores were equally likely to be rated as well-liked by their peers, boys who had lower levels of school readiness were also those that were less well accepted by the peer group. </w:t>
      </w:r>
      <w:r>
        <w:rPr>
          <w:rFonts w:eastAsia="Times New Roman"/>
        </w:rPr>
        <w:lastRenderedPageBreak/>
        <w:t xml:space="preserve">This finding begs the question of why variability in school readiness appears less salient for social relationships with peers for girls as compared with boys. One possible explanation is that girls, on the whole, were more ready for school, as seen in consistently better scores on all BESSI subscales, and as a result, </w:t>
      </w:r>
      <w:r w:rsidR="00674C4A">
        <w:rPr>
          <w:rFonts w:eastAsia="Times New Roman"/>
        </w:rPr>
        <w:t xml:space="preserve">girls </w:t>
      </w:r>
      <w:proofErr w:type="gramStart"/>
      <w:r w:rsidR="00674C4A">
        <w:rPr>
          <w:rFonts w:eastAsia="Times New Roman"/>
        </w:rPr>
        <w:t xml:space="preserve">showed </w:t>
      </w:r>
      <w:r>
        <w:rPr>
          <w:rFonts w:eastAsia="Times New Roman"/>
        </w:rPr>
        <w:t xml:space="preserve"> less</w:t>
      </w:r>
      <w:proofErr w:type="gramEnd"/>
      <w:r>
        <w:rPr>
          <w:rFonts w:eastAsia="Times New Roman"/>
        </w:rPr>
        <w:t xml:space="preserve"> extreme behaviours which would be perceived by peers as poor characteristics in a playmate. These results do suggest that teachers have a view of adaptive behaviours at the transition to school for their students that does not align with girls’ own views on which classmates they most liked. It is notable</w:t>
      </w:r>
      <w:r w:rsidR="00674C4A">
        <w:rPr>
          <w:rFonts w:eastAsia="Times New Roman"/>
        </w:rPr>
        <w:t>,</w:t>
      </w:r>
      <w:r>
        <w:rPr>
          <w:rFonts w:eastAsia="Times New Roman"/>
        </w:rPr>
        <w:t xml:space="preserve"> however, that there were no </w:t>
      </w:r>
      <w:r w:rsidR="00807A60">
        <w:rPr>
          <w:rFonts w:eastAsia="Times New Roman"/>
        </w:rPr>
        <w:t>gender</w:t>
      </w:r>
      <w:r>
        <w:rPr>
          <w:rFonts w:eastAsia="Times New Roman"/>
        </w:rPr>
        <w:t xml:space="preserve"> differences in how school readiness was associated with the more intimate friendship indicator of social success. </w:t>
      </w:r>
    </w:p>
    <w:p w14:paraId="062956A5" w14:textId="7FD73D85" w:rsidR="00027F7D" w:rsidRDefault="00027F7D">
      <w:pPr>
        <w:spacing w:line="480" w:lineRule="auto"/>
        <w:rPr>
          <w:rFonts w:eastAsia="Times New Roman"/>
        </w:rPr>
      </w:pPr>
      <w:r>
        <w:rPr>
          <w:rFonts w:eastAsia="Times New Roman"/>
          <w:b/>
        </w:rPr>
        <w:tab/>
      </w:r>
      <w:r>
        <w:rPr>
          <w:rFonts w:eastAsia="Times New Roman"/>
        </w:rPr>
        <w:t>A somewhat unexpected finding that emerged in the current study was the specific association between family support and children’s reciprocated friendships</w:t>
      </w:r>
      <w:r w:rsidR="00674C4A">
        <w:rPr>
          <w:rFonts w:eastAsia="Times New Roman"/>
        </w:rPr>
        <w:t xml:space="preserve">, which </w:t>
      </w:r>
      <w:proofErr w:type="gramStart"/>
      <w:r w:rsidR="00674C4A">
        <w:rPr>
          <w:rFonts w:eastAsia="Times New Roman"/>
        </w:rPr>
        <w:t>was</w:t>
      </w:r>
      <w:r>
        <w:rPr>
          <w:rFonts w:eastAsia="Times New Roman"/>
        </w:rPr>
        <w:t xml:space="preserve">  independent</w:t>
      </w:r>
      <w:proofErr w:type="gramEnd"/>
      <w:r>
        <w:rPr>
          <w:rFonts w:eastAsia="Times New Roman"/>
        </w:rPr>
        <w:t xml:space="preserve"> of both children’s school readiness and their </w:t>
      </w:r>
      <w:r w:rsidR="007C7FCC">
        <w:rPr>
          <w:rFonts w:eastAsia="Times New Roman"/>
        </w:rPr>
        <w:t>social preference</w:t>
      </w:r>
      <w:r>
        <w:rPr>
          <w:rFonts w:eastAsia="Times New Roman"/>
        </w:rPr>
        <w:t xml:space="preserve">. This result suggests that parental support in the home plays a unique role in enabling children to develop intimate reciprocated dyadic relationships with their peers during the transition to school. Previous research has also found an association between the home environment and the quality of children’s friendships </w:t>
      </w:r>
      <w:r>
        <w:rPr>
          <w:rFonts w:eastAsia="Times New Roman"/>
          <w:noProof/>
        </w:rPr>
        <w:t>(Gifford-Smith &amp; Brownell, 2003)</w:t>
      </w:r>
      <w:r>
        <w:rPr>
          <w:rFonts w:eastAsia="Times New Roman"/>
        </w:rPr>
        <w:t xml:space="preserve">. For example, Dunn, Cutting, and Fisher </w:t>
      </w:r>
      <w:r>
        <w:rPr>
          <w:rFonts w:eastAsia="Times New Roman"/>
          <w:noProof/>
        </w:rPr>
        <w:t>(2002)</w:t>
      </w:r>
      <w:r>
        <w:rPr>
          <w:rFonts w:eastAsia="Times New Roman"/>
        </w:rPr>
        <w:t xml:space="preserve"> found that children with more educated mothers were more likely to have better quality friendships. Further research is clearly needed to understand the mechanisms linking children’s social success at school and support they receive at home. One possible mechanism may be that play-dates at home or shared activities outside of the school context, which presumably are afforded to those children who have greater parental support, play a valuable role in enabling children to consider specific classroom peers as their friends. </w:t>
      </w:r>
    </w:p>
    <w:p w14:paraId="7AEDB681" w14:textId="7F6006F5" w:rsidR="00027F7D" w:rsidRDefault="00027F7D">
      <w:pPr>
        <w:spacing w:line="480" w:lineRule="auto"/>
        <w:ind w:firstLine="720"/>
        <w:rPr>
          <w:rFonts w:eastAsia="Times New Roman"/>
        </w:rPr>
      </w:pPr>
      <w:r>
        <w:rPr>
          <w:rFonts w:eastAsia="Times New Roman"/>
        </w:rPr>
        <w:t xml:space="preserve">Finally, the current findings showed that language ability was more consistently associated with school readiness for boys compared to girls, with a significant difference in the magnitude of the association between language ability and behavioural adjustment and language and cognition. As previously noted, verbal-based skills have revealed a disadvantage in boys compared to girls at 2 years of age and younger </w:t>
      </w:r>
      <w:r>
        <w:rPr>
          <w:rFonts w:eastAsia="Times New Roman"/>
          <w:noProof/>
        </w:rPr>
        <w:t>(Bauer et al., 2002; Bornstein &amp; Haynes, 1998; Huttenlocher et al., 1991)</w:t>
      </w:r>
      <w:r>
        <w:rPr>
          <w:rFonts w:eastAsia="Times New Roman"/>
        </w:rPr>
        <w:t xml:space="preserve">. Consistent with this, the current study found that boys demonstrated poorer performance on the verbal-based task compared to girls. In this respect, an interesting finding to emerge from the current study is that variation in verbal skills has different implications for school readiness in boys compared to girls. Although care should be taken when inferring cause and effect, it could be speculated that weaker verbal abilities in boys may lead to more behavioural problems and inhibit the development of certain cognitive functions. It is possible, for example, that boys are not as adept at using their verbal skills to negotiate difficult interactions, so behavioural problems manifest. Indeed, research has shown that poorer language skills are more strongly associated with disruptive behaviour and difficult peer interactions in boys than girls </w:t>
      </w:r>
      <w:r>
        <w:rPr>
          <w:rFonts w:eastAsia="Times New Roman"/>
          <w:noProof/>
        </w:rPr>
        <w:t>(Doctoroff et al., 2006; Stowe, Arnold, &amp; Ortiz, 1999)</w:t>
      </w:r>
      <w:r>
        <w:rPr>
          <w:rFonts w:eastAsia="Times New Roman"/>
        </w:rPr>
        <w:t xml:space="preserve">. Additionally, weaker verbal skills in boys may negatively impact their ability to learn more generally. Thus, if verbal skills are at least partly a vehicle to academic, social and behavioural functioning, a focus on targeting a deficiency in this skill requires intervention at school but also at home, given that weaknesses may become evident in the pre-school years. For example, schools and parents could be encouraged to increase child engagement in reading and singing-based activities which utilise and develop their verbal skills. </w:t>
      </w:r>
    </w:p>
    <w:p w14:paraId="748C5EC8" w14:textId="77777777" w:rsidR="00B95E4D" w:rsidRDefault="00B95E4D" w:rsidP="00BB78C4">
      <w:pPr>
        <w:spacing w:line="480" w:lineRule="auto"/>
        <w:outlineLvl w:val="0"/>
        <w:rPr>
          <w:rFonts w:eastAsia="Times New Roman"/>
          <w:b/>
        </w:rPr>
      </w:pPr>
    </w:p>
    <w:p w14:paraId="0C7F6668" w14:textId="77777777" w:rsidR="00027F7D" w:rsidRDefault="00027F7D" w:rsidP="00BB78C4">
      <w:pPr>
        <w:spacing w:line="480" w:lineRule="auto"/>
        <w:outlineLvl w:val="0"/>
        <w:rPr>
          <w:rFonts w:eastAsia="Times New Roman"/>
        </w:rPr>
      </w:pPr>
      <w:r>
        <w:rPr>
          <w:rFonts w:eastAsia="Times New Roman"/>
          <w:b/>
        </w:rPr>
        <w:t>Strengths and limitations</w:t>
      </w:r>
    </w:p>
    <w:p w14:paraId="0E885ADB" w14:textId="07BB100B" w:rsidR="00027F7D" w:rsidRDefault="00027F7D">
      <w:pPr>
        <w:spacing w:line="480" w:lineRule="auto"/>
        <w:ind w:firstLine="720"/>
        <w:rPr>
          <w:rFonts w:eastAsia="Times New Roman"/>
        </w:rPr>
      </w:pPr>
      <w:r>
        <w:rPr>
          <w:rFonts w:eastAsia="Times New Roman"/>
        </w:rPr>
        <w:t xml:space="preserve">The current study explored the association between school readiness as rated by teachers and social success as rated by children themselves. Using a multi-informant approach ensures that teachers and peers represent the domains of adjustment which </w:t>
      </w:r>
      <w:proofErr w:type="gramStart"/>
      <w:r w:rsidR="00674C4A">
        <w:rPr>
          <w:rFonts w:eastAsia="Times New Roman"/>
        </w:rPr>
        <w:t xml:space="preserve">are </w:t>
      </w:r>
      <w:r>
        <w:rPr>
          <w:rFonts w:eastAsia="Times New Roman"/>
        </w:rPr>
        <w:t xml:space="preserve"> most</w:t>
      </w:r>
      <w:proofErr w:type="gramEnd"/>
      <w:r>
        <w:rPr>
          <w:rFonts w:eastAsia="Times New Roman"/>
        </w:rPr>
        <w:t xml:space="preserve"> salient to them. The use of a ‘child’s eye view’ to measure social success is arguably a more appropriate approach to measuring children’s social competencies, such that, children are themselves immersed on a regular and intimate basis in their peer group and may therefore be better placed to comment on the nuances of their peer dynamics compared to teachers or parents. Furthermore, the current study investigated both </w:t>
      </w:r>
      <w:r w:rsidR="007C7FCC">
        <w:rPr>
          <w:rFonts w:eastAsia="Times New Roman"/>
        </w:rPr>
        <w:t>social preference</w:t>
      </w:r>
      <w:r>
        <w:rPr>
          <w:rFonts w:eastAsia="Times New Roman"/>
        </w:rPr>
        <w:t xml:space="preserve"> and reciprocal friendships</w:t>
      </w:r>
      <w:r w:rsidR="00674C4A">
        <w:rPr>
          <w:rFonts w:eastAsia="Times New Roman"/>
        </w:rPr>
        <w:t>,</w:t>
      </w:r>
      <w:r>
        <w:rPr>
          <w:rFonts w:eastAsia="Times New Roman"/>
        </w:rPr>
        <w:t xml:space="preserve"> and as a result</w:t>
      </w:r>
      <w:r w:rsidR="00674C4A">
        <w:rPr>
          <w:rFonts w:eastAsia="Times New Roman"/>
        </w:rPr>
        <w:t xml:space="preserve">, </w:t>
      </w:r>
      <w:r>
        <w:rPr>
          <w:rFonts w:eastAsia="Times New Roman"/>
        </w:rPr>
        <w:t xml:space="preserve">provided a comprehensive assessment of a child’s social success. As indicated by the findings, distinct effects were established for the two factors thereby highlighting their utility as distinct markers of a child’s social standing within their peer group. </w:t>
      </w:r>
    </w:p>
    <w:p w14:paraId="20124A71" w14:textId="77777777" w:rsidR="00027F7D" w:rsidRDefault="00027F7D">
      <w:pPr>
        <w:spacing w:line="480" w:lineRule="auto"/>
        <w:ind w:firstLine="720"/>
        <w:rPr>
          <w:rFonts w:eastAsia="Times New Roman"/>
        </w:rPr>
      </w:pPr>
      <w:r>
        <w:rPr>
          <w:rFonts w:eastAsia="Times New Roman"/>
        </w:rPr>
        <w:t>Second, the BESSI questionnaire used in the current study provides information on not only a child’s academic and social school readiness, but also characteristics of the home environment that can support a child in the transition to school (Hughes et al., 2015). The inclusion of a family support subscale in the BESSI means that teachers are permitted the opportunity to provide an outsider’s perspective on the support a child receives from their family towards their education. An emphasis on home</w:t>
      </w:r>
      <w:r w:rsidR="00674C4A">
        <w:rPr>
          <w:rFonts w:eastAsia="Times New Roman"/>
        </w:rPr>
        <w:t>-</w:t>
      </w:r>
      <w:r>
        <w:rPr>
          <w:rFonts w:eastAsia="Times New Roman"/>
        </w:rPr>
        <w:t xml:space="preserve"> or parent-based factors have been shown to be important contributors to child school readiness (Linder et al., 2013) and as a consequence, a further advantage in using the BESSI for the current study will have meant broadened the scope of investigation of the construct. </w:t>
      </w:r>
    </w:p>
    <w:p w14:paraId="72A6CF0D" w14:textId="07CAD83E" w:rsidR="00CB5AB4" w:rsidRDefault="00027F7D" w:rsidP="00BB78C4">
      <w:pPr>
        <w:spacing w:line="480" w:lineRule="auto"/>
        <w:outlineLvl w:val="0"/>
        <w:rPr>
          <w:rFonts w:eastAsia="Times New Roman"/>
        </w:rPr>
      </w:pPr>
      <w:r>
        <w:rPr>
          <w:rFonts w:eastAsia="Times New Roman"/>
        </w:rPr>
        <w:t xml:space="preserve">One notable limitation of the current study relates to the participant population. All children were recruited from a specific region in Cambridge, a UK city known have a more affluent economic and educational status compared to the national average. As a consequence, those who took part are unlikely to represent those in the general population. Research has indicated that poverty and parental stress are associated with school readiness </w:t>
      </w:r>
      <w:r>
        <w:rPr>
          <w:rFonts w:eastAsia="Times New Roman"/>
          <w:noProof/>
        </w:rPr>
        <w:t xml:space="preserve">(Chazan-Cohen et al., 2009; </w:t>
      </w:r>
      <w:r w:rsidR="00372C08">
        <w:t xml:space="preserve">Janus &amp; </w:t>
      </w:r>
      <w:proofErr w:type="spellStart"/>
      <w:r w:rsidR="00372C08">
        <w:t>Duku</w:t>
      </w:r>
      <w:proofErr w:type="spellEnd"/>
      <w:r w:rsidR="00372C08">
        <w:t>, 2007;</w:t>
      </w:r>
      <w:r w:rsidR="00372C08" w:rsidRPr="00ED6F4E">
        <w:rPr>
          <w:rFonts w:eastAsia="Times New Roman"/>
          <w:noProof/>
        </w:rPr>
        <w:t xml:space="preserve"> </w:t>
      </w:r>
      <w:r w:rsidR="00ED6F4E" w:rsidRPr="00ED6F4E">
        <w:rPr>
          <w:rFonts w:eastAsia="Times New Roman"/>
          <w:noProof/>
        </w:rPr>
        <w:t>Patrianakos-Hoobler, Msal</w:t>
      </w:r>
      <w:r w:rsidR="00ED6F4E">
        <w:rPr>
          <w:rFonts w:eastAsia="Times New Roman"/>
          <w:noProof/>
        </w:rPr>
        <w:t>l, Marks, Huo, &amp; Schreiber, 2009;</w:t>
      </w:r>
      <w:r w:rsidR="00ED6F4E" w:rsidRPr="00ED6F4E">
        <w:rPr>
          <w:rFonts w:eastAsia="Times New Roman"/>
          <w:noProof/>
        </w:rPr>
        <w:t xml:space="preserve"> </w:t>
      </w:r>
      <w:r w:rsidR="00674C4A">
        <w:rPr>
          <w:rFonts w:eastAsia="Times New Roman"/>
          <w:noProof/>
        </w:rPr>
        <w:t xml:space="preserve">Ryan, Fauth, &amp; Brooks-Gunn, 2006; </w:t>
      </w:r>
      <w:r w:rsidR="00372C08">
        <w:rPr>
          <w:rFonts w:eastAsia="Times New Roman"/>
          <w:noProof/>
        </w:rPr>
        <w:t xml:space="preserve">Stipek &amp; Ryan, 1997; </w:t>
      </w:r>
      <w:r>
        <w:rPr>
          <w:rFonts w:eastAsia="Times New Roman"/>
          <w:noProof/>
        </w:rPr>
        <w:t>Swanson, &amp; Lipscomb, 2016)</w:t>
      </w:r>
      <w:r>
        <w:rPr>
          <w:rFonts w:eastAsia="Times New Roman"/>
        </w:rPr>
        <w:t xml:space="preserve">. Evidence also indicates that school readiness can vary as a function of ethnic and racial differences in parenting during early childhood </w:t>
      </w:r>
      <w:r>
        <w:rPr>
          <w:rFonts w:eastAsia="Times New Roman"/>
          <w:noProof/>
        </w:rPr>
        <w:t>(for a review, see Brooks-Gunn &amp; Markman, 2005)</w:t>
      </w:r>
      <w:r>
        <w:rPr>
          <w:rFonts w:eastAsia="Times New Roman"/>
        </w:rPr>
        <w:t xml:space="preserve">. Thus, it is possible that </w:t>
      </w:r>
      <w:r w:rsidR="00B57C87">
        <w:rPr>
          <w:rFonts w:eastAsia="Times New Roman"/>
        </w:rPr>
        <w:t>the association</w:t>
      </w:r>
      <w:r w:rsidR="00B95E4D">
        <w:rPr>
          <w:rFonts w:eastAsia="Times New Roman"/>
        </w:rPr>
        <w:t xml:space="preserve"> between</w:t>
      </w:r>
      <w:r w:rsidR="00B57C87">
        <w:rPr>
          <w:rFonts w:eastAsia="Times New Roman"/>
        </w:rPr>
        <w:t xml:space="preserve"> </w:t>
      </w:r>
      <w:r>
        <w:rPr>
          <w:rFonts w:eastAsia="Times New Roman"/>
        </w:rPr>
        <w:t xml:space="preserve">school readiness and social success </w:t>
      </w:r>
      <w:r w:rsidR="00B57C87">
        <w:rPr>
          <w:rFonts w:eastAsia="Times New Roman"/>
        </w:rPr>
        <w:t xml:space="preserve">found in the current study would differ </w:t>
      </w:r>
      <w:r w:rsidR="000A4F69">
        <w:rPr>
          <w:rFonts w:eastAsia="Times New Roman"/>
        </w:rPr>
        <w:t xml:space="preserve">in populations with lower </w:t>
      </w:r>
      <w:r>
        <w:rPr>
          <w:rFonts w:eastAsia="Times New Roman"/>
        </w:rPr>
        <w:t xml:space="preserve">socio-economic indices. </w:t>
      </w:r>
      <w:r w:rsidR="007A453D">
        <w:rPr>
          <w:rFonts w:eastAsia="Times New Roman"/>
        </w:rPr>
        <w:t>Furthermore, research has</w:t>
      </w:r>
      <w:r w:rsidR="00D3568A">
        <w:rPr>
          <w:rFonts w:eastAsia="Times New Roman"/>
        </w:rPr>
        <w:t xml:space="preserve"> indicated the influence </w:t>
      </w:r>
      <w:proofErr w:type="gramStart"/>
      <w:r w:rsidR="00D3568A">
        <w:rPr>
          <w:rFonts w:eastAsia="Times New Roman"/>
        </w:rPr>
        <w:t>of  cumulative</w:t>
      </w:r>
      <w:proofErr w:type="gramEnd"/>
      <w:r w:rsidR="00D3568A">
        <w:rPr>
          <w:rFonts w:eastAsia="Times New Roman"/>
        </w:rPr>
        <w:t xml:space="preserve"> risk, such that</w:t>
      </w:r>
      <w:r w:rsidR="00E4039A">
        <w:rPr>
          <w:rFonts w:eastAsia="Times New Roman"/>
        </w:rPr>
        <w:t xml:space="preserve"> the dynamic interplay</w:t>
      </w:r>
      <w:r w:rsidR="00D3568A">
        <w:rPr>
          <w:rFonts w:eastAsia="Times New Roman"/>
        </w:rPr>
        <w:t xml:space="preserve"> between </w:t>
      </w:r>
      <w:r w:rsidR="00E4039A">
        <w:rPr>
          <w:rFonts w:eastAsia="Times New Roman"/>
        </w:rPr>
        <w:t xml:space="preserve">multiple </w:t>
      </w:r>
      <w:r w:rsidR="00D3568A">
        <w:rPr>
          <w:rFonts w:eastAsia="Times New Roman"/>
        </w:rPr>
        <w:t>socio</w:t>
      </w:r>
      <w:r w:rsidR="00B95E4D">
        <w:rPr>
          <w:rFonts w:eastAsia="Times New Roman"/>
        </w:rPr>
        <w:t>-</w:t>
      </w:r>
      <w:r w:rsidR="00D3568A">
        <w:rPr>
          <w:rFonts w:eastAsia="Times New Roman"/>
        </w:rPr>
        <w:t>demographic and family-based</w:t>
      </w:r>
      <w:r w:rsidR="00E4039A">
        <w:rPr>
          <w:rFonts w:eastAsia="Times New Roman"/>
        </w:rPr>
        <w:t xml:space="preserve"> risk factors </w:t>
      </w:r>
      <w:r w:rsidR="00B95E4D">
        <w:rPr>
          <w:rFonts w:eastAsia="Times New Roman"/>
        </w:rPr>
        <w:t xml:space="preserve">may </w:t>
      </w:r>
      <w:r w:rsidR="00E4039A">
        <w:rPr>
          <w:rFonts w:eastAsia="Times New Roman"/>
        </w:rPr>
        <w:t>lead to different risk profiles and consequently different outcomes regarding a child’s school readiness</w:t>
      </w:r>
      <w:r w:rsidR="00D3568A">
        <w:rPr>
          <w:rFonts w:eastAsia="Times New Roman"/>
        </w:rPr>
        <w:t xml:space="preserve"> (</w:t>
      </w:r>
      <w:r w:rsidR="00FD4FC6">
        <w:rPr>
          <w:noProof/>
        </w:rPr>
        <w:t>Pratt, McClelland, Swanson, &amp; Lipscomb, 2016)</w:t>
      </w:r>
      <w:r w:rsidR="007A453D">
        <w:rPr>
          <w:rFonts w:eastAsia="Times New Roman"/>
        </w:rPr>
        <w:t xml:space="preserve">. </w:t>
      </w:r>
      <w:r w:rsidR="00CB5AB4">
        <w:rPr>
          <w:rFonts w:eastAsia="Times New Roman"/>
        </w:rPr>
        <w:t>Additional</w:t>
      </w:r>
      <w:r w:rsidR="00B95E4D">
        <w:rPr>
          <w:rFonts w:eastAsia="Times New Roman"/>
        </w:rPr>
        <w:t xml:space="preserve"> research is clearly needed to explore the association between school readiness and social outcomes </w:t>
      </w:r>
      <w:r w:rsidR="00CB5AB4">
        <w:rPr>
          <w:rFonts w:eastAsia="Times New Roman"/>
        </w:rPr>
        <w:t>a broader socio-economic group.</w:t>
      </w:r>
      <w:r w:rsidR="00B95E4D">
        <w:rPr>
          <w:rFonts w:eastAsia="Times New Roman"/>
        </w:rPr>
        <w:t xml:space="preserve"> </w:t>
      </w:r>
    </w:p>
    <w:p w14:paraId="44B7899F" w14:textId="77777777" w:rsidR="00027F7D" w:rsidRDefault="00027F7D" w:rsidP="00BB78C4">
      <w:pPr>
        <w:spacing w:line="480" w:lineRule="auto"/>
        <w:outlineLvl w:val="0"/>
        <w:rPr>
          <w:rFonts w:eastAsia="Times New Roman"/>
          <w:b/>
        </w:rPr>
      </w:pPr>
      <w:r>
        <w:rPr>
          <w:rFonts w:eastAsia="Times New Roman"/>
          <w:b/>
        </w:rPr>
        <w:t>Future research and conclusions</w:t>
      </w:r>
    </w:p>
    <w:p w14:paraId="50277B4B" w14:textId="373C8A29" w:rsidR="00027F7D" w:rsidRPr="00B7373D" w:rsidRDefault="00027F7D">
      <w:pPr>
        <w:spacing w:line="480" w:lineRule="auto"/>
        <w:ind w:firstLine="720"/>
        <w:rPr>
          <w:rFonts w:eastAsia="Times New Roman"/>
        </w:rPr>
      </w:pPr>
      <w:r>
        <w:rPr>
          <w:rFonts w:eastAsia="Times New Roman"/>
        </w:rPr>
        <w:t xml:space="preserve">To further unpack the association between school readiness and social success, the findings of the current study should be extended to include a longitudinal design. Such a framework would allow, for example, an exploration of whether the identified negative association between school readiness and </w:t>
      </w:r>
      <w:r w:rsidR="007C7FCC">
        <w:rPr>
          <w:rFonts w:eastAsia="Times New Roman"/>
        </w:rPr>
        <w:t>social preference</w:t>
      </w:r>
      <w:r>
        <w:rPr>
          <w:rFonts w:eastAsia="Times New Roman"/>
        </w:rPr>
        <w:t xml:space="preserve"> in boys persists beyond reception age. As noted by previous research, longitudinal investigations reveal more behavioural problems and poorer academic attainment in boys compared to girls during early childhood </w:t>
      </w:r>
      <w:r>
        <w:rPr>
          <w:rFonts w:eastAsia="Times New Roman"/>
          <w:noProof/>
        </w:rPr>
        <w:t>(Dekker et al., 2007; Maguire et al., 2016; Moffitt, 2001; Thomson et al., 2017; Whalen et al., 2016)</w:t>
      </w:r>
      <w:r>
        <w:rPr>
          <w:rFonts w:eastAsia="Times New Roman"/>
        </w:rPr>
        <w:t xml:space="preserve">. Thus, it appears that boys are more vulnerable in the school context and had the current study included multiple time-points, it may have been possible to establish whether lower school readiness inhibits </w:t>
      </w:r>
      <w:r w:rsidR="007C7FCC">
        <w:rPr>
          <w:rFonts w:eastAsia="Times New Roman"/>
        </w:rPr>
        <w:t>social preference</w:t>
      </w:r>
      <w:r>
        <w:rPr>
          <w:rFonts w:eastAsia="Times New Roman"/>
        </w:rPr>
        <w:t xml:space="preserve"> in boys only initially, or whether the effect is more pervasive. Research suggests that emotional and behavio</w:t>
      </w:r>
      <w:r w:rsidR="00C35B74">
        <w:rPr>
          <w:rFonts w:eastAsia="Times New Roman"/>
        </w:rPr>
        <w:t>u</w:t>
      </w:r>
      <w:r>
        <w:rPr>
          <w:rFonts w:eastAsia="Times New Roman"/>
        </w:rPr>
        <w:t xml:space="preserve">ral problems may stabilise or escalate and negatively affect performance throughout the school years </w:t>
      </w:r>
      <w:r>
        <w:rPr>
          <w:rFonts w:eastAsia="Times New Roman"/>
          <w:noProof/>
        </w:rPr>
        <w:t>(Raver &amp; Knitzer, 2002)</w:t>
      </w:r>
      <w:r>
        <w:rPr>
          <w:rFonts w:eastAsia="Times New Roman"/>
        </w:rPr>
        <w:t xml:space="preserve">. Therefore, further studies into the longitudinal impact of school readiness and its associations with social success are warranted, </w:t>
      </w:r>
      <w:r w:rsidRPr="00B7373D">
        <w:rPr>
          <w:rFonts w:eastAsia="Times New Roman"/>
        </w:rPr>
        <w:t xml:space="preserve">particularly in light of the potential </w:t>
      </w:r>
      <w:r w:rsidR="00807A60">
        <w:rPr>
          <w:rFonts w:eastAsia="Times New Roman"/>
        </w:rPr>
        <w:t>gender</w:t>
      </w:r>
      <w:r w:rsidRPr="00B7373D">
        <w:rPr>
          <w:rFonts w:eastAsia="Times New Roman"/>
        </w:rPr>
        <w:t xml:space="preserve"> contrasts which seem to suggest a need for greater support for boys. </w:t>
      </w:r>
    </w:p>
    <w:p w14:paraId="15B1C09E" w14:textId="77777777" w:rsidR="00027F7D" w:rsidRPr="0040399D" w:rsidRDefault="00027F7D" w:rsidP="00BB78C4">
      <w:pPr>
        <w:spacing w:line="480" w:lineRule="auto"/>
        <w:rPr>
          <w:rFonts w:eastAsia="Times New Roman"/>
        </w:rPr>
      </w:pPr>
      <w:r w:rsidRPr="00B7373D">
        <w:rPr>
          <w:rFonts w:eastAsia="Times New Roman"/>
        </w:rPr>
        <w:tab/>
        <w:t>In conclusion</w:t>
      </w:r>
      <w:r>
        <w:rPr>
          <w:rFonts w:eastAsia="Times New Roman"/>
        </w:rPr>
        <w:t xml:space="preserve">, the current findings explored the relative importance of cognitive, behavioural, and social perspective of school readiness at the transition to formal schooling on a child’s ability to be accepted by their peer group and establish reciprocated friendships. The assessment of social success through the perspective of the child gave particular novelty to the study. Based on the current findings, it appears that boys may benefit the most from social and academic support strategies, for example, those aimed at targeting early verbal skills. An intervention possibility based on the current findings more generally could include the provision of training for teachers on how to identify children at risk of lower levels of school readiness and effective ways to ameliorate these problems. Since difficulties could manifest during the preschool age, interventions which focus on enhancing the home learning environment and the degree of family support a child receives may also improve any cognitive or social disadvantages that may result during the transition to formal schooling and beyond. </w:t>
      </w:r>
      <w:bookmarkStart w:id="2" w:name="_qti5q0x1xrws" w:colFirst="0" w:colLast="0"/>
      <w:bookmarkStart w:id="3" w:name="_66bnqwbrsm94" w:colFirst="0" w:colLast="0"/>
      <w:bookmarkEnd w:id="2"/>
      <w:bookmarkEnd w:id="3"/>
    </w:p>
    <w:p w14:paraId="5F37351A" w14:textId="77777777" w:rsidR="00027F7D" w:rsidRDefault="00027F7D">
      <w:pPr>
        <w:pBdr>
          <w:top w:val="nil"/>
          <w:left w:val="nil"/>
          <w:bottom w:val="nil"/>
          <w:right w:val="nil"/>
          <w:between w:val="nil"/>
        </w:pBdr>
        <w:rPr>
          <w:rFonts w:eastAsia="Times New Roman"/>
          <w:b/>
        </w:rPr>
      </w:pPr>
      <w:bookmarkStart w:id="4" w:name="_26in1rg" w:colFirst="0" w:colLast="0"/>
      <w:bookmarkStart w:id="5" w:name="_4c4ew9pq6oee" w:colFirst="0" w:colLast="0"/>
      <w:bookmarkEnd w:id="4"/>
      <w:bookmarkEnd w:id="5"/>
      <w:r>
        <w:rPr>
          <w:rFonts w:eastAsia="Times New Roman"/>
          <w:b/>
        </w:rPr>
        <w:br w:type="page"/>
      </w:r>
    </w:p>
    <w:p w14:paraId="63FD2021" w14:textId="77777777" w:rsidR="00027F7D" w:rsidRPr="00C35B74" w:rsidRDefault="00027F7D" w:rsidP="00C35B74">
      <w:pPr>
        <w:spacing w:line="360" w:lineRule="auto"/>
        <w:jc w:val="center"/>
        <w:outlineLvl w:val="0"/>
        <w:rPr>
          <w:rFonts w:eastAsia="Times New Roman"/>
          <w:b/>
        </w:rPr>
      </w:pPr>
      <w:r>
        <w:rPr>
          <w:rFonts w:eastAsia="Times New Roman"/>
          <w:b/>
        </w:rPr>
        <w:t>References</w:t>
      </w:r>
      <w:bookmarkStart w:id="6" w:name="_lnxbz9" w:colFirst="0" w:colLast="0"/>
      <w:bookmarkStart w:id="7" w:name="_1ksv4uv" w:colFirst="0" w:colLast="0"/>
      <w:bookmarkStart w:id="8" w:name="_2hx53uxdvaui" w:colFirst="0" w:colLast="0"/>
      <w:bookmarkStart w:id="9" w:name="_40ew0vw" w:colFirst="0" w:colLast="0"/>
      <w:bookmarkStart w:id="10" w:name="_2fk6b3p" w:colFirst="0" w:colLast="0"/>
      <w:bookmarkEnd w:id="6"/>
      <w:bookmarkEnd w:id="7"/>
      <w:bookmarkEnd w:id="8"/>
      <w:bookmarkEnd w:id="9"/>
      <w:bookmarkEnd w:id="10"/>
    </w:p>
    <w:p w14:paraId="00C66B3B" w14:textId="77777777" w:rsidR="00027F7D" w:rsidRPr="00FD28D7" w:rsidRDefault="00027F7D" w:rsidP="00C35B74">
      <w:pPr>
        <w:pStyle w:val="EndNoteBibliography"/>
        <w:spacing w:line="480" w:lineRule="auto"/>
        <w:ind w:left="720" w:hanging="720"/>
        <w:rPr>
          <w:noProof/>
        </w:rPr>
      </w:pPr>
      <w:r w:rsidRPr="00FD28D7">
        <w:rPr>
          <w:noProof/>
        </w:rPr>
        <w:t xml:space="preserve">Allen, G. (2011). </w:t>
      </w:r>
      <w:r w:rsidRPr="00FD28D7">
        <w:rPr>
          <w:i/>
          <w:noProof/>
        </w:rPr>
        <w:t>Early intervention: the next steps, an independent report to Her Majesty's government by Graham Allen MP</w:t>
      </w:r>
      <w:r w:rsidRPr="00FD28D7">
        <w:rPr>
          <w:noProof/>
        </w:rPr>
        <w:t>: The Stationery Office.</w:t>
      </w:r>
    </w:p>
    <w:p w14:paraId="570C76B9" w14:textId="77777777" w:rsidR="00027F7D" w:rsidRPr="00FD28D7" w:rsidRDefault="00027F7D" w:rsidP="00C35B74">
      <w:pPr>
        <w:pStyle w:val="EndNoteBibliography"/>
        <w:spacing w:line="480" w:lineRule="auto"/>
        <w:ind w:left="720" w:hanging="720"/>
        <w:rPr>
          <w:noProof/>
        </w:rPr>
      </w:pPr>
      <w:r w:rsidRPr="00FD28D7">
        <w:rPr>
          <w:noProof/>
        </w:rPr>
        <w:t xml:space="preserve">Bauer, D. J., Goldfield, B. A., &amp; Reznick, J. S. (2002). Alternative approaches to analyzing individual differences in the rate of early vocabulary development. </w:t>
      </w:r>
      <w:r w:rsidRPr="00FD28D7">
        <w:rPr>
          <w:i/>
          <w:noProof/>
        </w:rPr>
        <w:t>Applied Psycholinguistics, 23</w:t>
      </w:r>
      <w:r w:rsidRPr="00FD28D7">
        <w:rPr>
          <w:noProof/>
        </w:rPr>
        <w:t xml:space="preserve">(3), 313-335. </w:t>
      </w:r>
    </w:p>
    <w:p w14:paraId="14336B35" w14:textId="77777777" w:rsidR="00027F7D" w:rsidRPr="00FD28D7" w:rsidRDefault="00027F7D" w:rsidP="00C35B74">
      <w:pPr>
        <w:pStyle w:val="EndNoteBibliography"/>
        <w:spacing w:line="480" w:lineRule="auto"/>
        <w:ind w:left="720" w:hanging="720"/>
        <w:rPr>
          <w:noProof/>
        </w:rPr>
      </w:pPr>
      <w:r w:rsidRPr="00FD28D7">
        <w:rPr>
          <w:noProof/>
        </w:rPr>
        <w:t xml:space="preserve">Bornstein, M. H., &amp; Haynes, O. M. (1998). Vocabulary competence in early childhood: Measurement, latent construct, and predictive validity. </w:t>
      </w:r>
      <w:r w:rsidRPr="00FD28D7">
        <w:rPr>
          <w:i/>
          <w:noProof/>
        </w:rPr>
        <w:t>Child Development, 69</w:t>
      </w:r>
      <w:r w:rsidRPr="00FD28D7">
        <w:rPr>
          <w:noProof/>
        </w:rPr>
        <w:t xml:space="preserve">(3), 654-671. </w:t>
      </w:r>
    </w:p>
    <w:p w14:paraId="13A48096" w14:textId="77777777" w:rsidR="00027F7D" w:rsidRPr="00FD28D7" w:rsidRDefault="00027F7D" w:rsidP="00C35B74">
      <w:pPr>
        <w:pStyle w:val="EndNoteBibliography"/>
        <w:spacing w:line="480" w:lineRule="auto"/>
        <w:ind w:left="720" w:hanging="720"/>
        <w:rPr>
          <w:noProof/>
        </w:rPr>
      </w:pPr>
      <w:r w:rsidRPr="00FD28D7">
        <w:rPr>
          <w:noProof/>
        </w:rPr>
        <w:t xml:space="preserve">Brooks-Gunn, J., &amp; Markman, L. B. (2005). The contribution of parenting to ethnic and racial gaps in school readiness. </w:t>
      </w:r>
      <w:r w:rsidRPr="00FD28D7">
        <w:rPr>
          <w:i/>
          <w:noProof/>
        </w:rPr>
        <w:t>The Future of Children</w:t>
      </w:r>
      <w:r w:rsidRPr="00FD28D7">
        <w:rPr>
          <w:noProof/>
        </w:rPr>
        <w:t xml:space="preserve">, 139-168. </w:t>
      </w:r>
    </w:p>
    <w:p w14:paraId="28E5B40A" w14:textId="77777777" w:rsidR="00027F7D" w:rsidRPr="00FD28D7" w:rsidRDefault="00027F7D" w:rsidP="00C35B74">
      <w:pPr>
        <w:pStyle w:val="EndNoteBibliography"/>
        <w:spacing w:line="480" w:lineRule="auto"/>
        <w:ind w:left="720" w:hanging="720"/>
        <w:rPr>
          <w:noProof/>
        </w:rPr>
      </w:pPr>
      <w:r w:rsidRPr="00FD28D7">
        <w:rPr>
          <w:noProof/>
        </w:rPr>
        <w:t xml:space="preserve">Caprara, G. V., Barbaranelli, C., Pastorelli, C., Bandura, A., &amp; Zimbardo, P. G. (2000). Prosocial foundations of children's academic achievement. </w:t>
      </w:r>
      <w:r w:rsidRPr="00FD28D7">
        <w:rPr>
          <w:i/>
          <w:noProof/>
        </w:rPr>
        <w:t>Psychological Science, 11</w:t>
      </w:r>
      <w:r w:rsidRPr="00FD28D7">
        <w:rPr>
          <w:noProof/>
        </w:rPr>
        <w:t xml:space="preserve">(4), 302-306. </w:t>
      </w:r>
    </w:p>
    <w:p w14:paraId="0F38AA4B" w14:textId="77777777" w:rsidR="00027F7D" w:rsidRPr="00FD28D7" w:rsidRDefault="00027F7D" w:rsidP="00C35B74">
      <w:pPr>
        <w:pStyle w:val="EndNoteBibliography"/>
        <w:spacing w:line="480" w:lineRule="auto"/>
        <w:ind w:left="720" w:hanging="720"/>
        <w:rPr>
          <w:noProof/>
        </w:rPr>
      </w:pPr>
      <w:r w:rsidRPr="00FD28D7">
        <w:rPr>
          <w:noProof/>
        </w:rPr>
        <w:t xml:space="preserve">Chazan-Cohen, R., Raikes, H., Brooks-Gunn, J., Ayoub, C., Pan, B. A., Kisker, E. E., . . . Fuligni, A. S. (2009). Low-income children's school readiness: Parent contributions over the first five years. </w:t>
      </w:r>
      <w:r w:rsidRPr="00FD28D7">
        <w:rPr>
          <w:i/>
          <w:noProof/>
        </w:rPr>
        <w:t>Early Education and Development, 20</w:t>
      </w:r>
      <w:r w:rsidRPr="00FD28D7">
        <w:rPr>
          <w:noProof/>
        </w:rPr>
        <w:t xml:space="preserve">(6), 958-977. </w:t>
      </w:r>
    </w:p>
    <w:p w14:paraId="0BE9BDBD" w14:textId="77777777" w:rsidR="00027F7D" w:rsidRPr="00FD28D7" w:rsidRDefault="00027F7D" w:rsidP="00C35B74">
      <w:pPr>
        <w:pStyle w:val="EndNoteBibliography"/>
        <w:spacing w:line="480" w:lineRule="auto"/>
        <w:ind w:left="720" w:hanging="720"/>
        <w:rPr>
          <w:noProof/>
        </w:rPr>
      </w:pPr>
      <w:r w:rsidRPr="00FD28D7">
        <w:rPr>
          <w:noProof/>
        </w:rPr>
        <w:t xml:space="preserve">Coie, J. D., Dodge, K. A., &amp; Coppotelli, H. (1982). Dimensions and types of social status: A cross-age perspective. </w:t>
      </w:r>
      <w:r w:rsidRPr="00FD28D7">
        <w:rPr>
          <w:i/>
          <w:noProof/>
        </w:rPr>
        <w:t>Developmental Psychology, 18</w:t>
      </w:r>
      <w:r w:rsidRPr="00FD28D7">
        <w:rPr>
          <w:noProof/>
        </w:rPr>
        <w:t xml:space="preserve">(4), 557-570. </w:t>
      </w:r>
    </w:p>
    <w:p w14:paraId="2120C1DF" w14:textId="77777777" w:rsidR="00027F7D" w:rsidRPr="00FD28D7" w:rsidRDefault="00027F7D" w:rsidP="00C35B74">
      <w:pPr>
        <w:pStyle w:val="EndNoteBibliography"/>
        <w:spacing w:line="480" w:lineRule="auto"/>
        <w:ind w:left="720" w:hanging="720"/>
        <w:rPr>
          <w:noProof/>
        </w:rPr>
      </w:pPr>
      <w:r w:rsidRPr="00FD28D7">
        <w:rPr>
          <w:noProof/>
        </w:rPr>
        <w:t xml:space="preserve">Dekker, M. C., Ferdinand, R. F., Van Lang, N. D., Bongers, I. L., Van Der Ende, J., &amp; Verhulst, F. C. (2007). Developmental trajectories of depressive symptoms from early childhood to late adolescence: gender differences and adult outcome. </w:t>
      </w:r>
      <w:r w:rsidRPr="00FD28D7">
        <w:rPr>
          <w:i/>
          <w:noProof/>
        </w:rPr>
        <w:t>Journal of Child Psychology and Psychiatry, 48</w:t>
      </w:r>
      <w:r w:rsidRPr="00FD28D7">
        <w:rPr>
          <w:noProof/>
        </w:rPr>
        <w:t xml:space="preserve">(7), 657-666. </w:t>
      </w:r>
    </w:p>
    <w:p w14:paraId="00BA430F" w14:textId="77777777" w:rsidR="00027F7D" w:rsidRPr="00FD28D7" w:rsidRDefault="00027F7D" w:rsidP="00C35B74">
      <w:pPr>
        <w:pStyle w:val="EndNoteBibliography"/>
        <w:spacing w:line="480" w:lineRule="auto"/>
        <w:ind w:left="720" w:hanging="720"/>
        <w:rPr>
          <w:noProof/>
        </w:rPr>
      </w:pPr>
      <w:r w:rsidRPr="00FD28D7">
        <w:rPr>
          <w:noProof/>
        </w:rPr>
        <w:t>Denham, S. A., Bassett, H. H., Zinsser, K., &amp; Wyatt, T. M. (2014). How preschoolers' social–emotional learning predicts their early school success: Developing theory</w:t>
      </w:r>
      <w:r w:rsidRPr="00FD28D7">
        <w:rPr>
          <w:rFonts w:ascii="Noteworthy Light" w:hAnsi="Noteworthy Light" w:cs="Noteworthy Light"/>
          <w:noProof/>
        </w:rPr>
        <w:t>‐</w:t>
      </w:r>
      <w:r w:rsidRPr="00FD28D7">
        <w:rPr>
          <w:noProof/>
        </w:rPr>
        <w:t>promoting, competency</w:t>
      </w:r>
      <w:r w:rsidRPr="00FD28D7">
        <w:rPr>
          <w:rFonts w:ascii="Noteworthy Light" w:hAnsi="Noteworthy Light" w:cs="Noteworthy Light"/>
          <w:noProof/>
        </w:rPr>
        <w:t>‐</w:t>
      </w:r>
      <w:r w:rsidRPr="00FD28D7">
        <w:rPr>
          <w:noProof/>
        </w:rPr>
        <w:t xml:space="preserve">based assessments. </w:t>
      </w:r>
      <w:r w:rsidRPr="00FD28D7">
        <w:rPr>
          <w:i/>
          <w:noProof/>
        </w:rPr>
        <w:t>Infant and Child Development, 23</w:t>
      </w:r>
      <w:r w:rsidRPr="00FD28D7">
        <w:rPr>
          <w:noProof/>
        </w:rPr>
        <w:t xml:space="preserve">(4), 426-454. </w:t>
      </w:r>
    </w:p>
    <w:p w14:paraId="04AB4F06" w14:textId="77777777" w:rsidR="00027F7D" w:rsidRPr="00FD28D7" w:rsidRDefault="00027F7D" w:rsidP="00C35B74">
      <w:pPr>
        <w:pStyle w:val="EndNoteBibliography"/>
        <w:spacing w:line="480" w:lineRule="auto"/>
        <w:ind w:left="720" w:hanging="720"/>
        <w:rPr>
          <w:noProof/>
        </w:rPr>
      </w:pPr>
      <w:r w:rsidRPr="00FD28D7">
        <w:rPr>
          <w:noProof/>
        </w:rPr>
        <w:t xml:space="preserve">Dobbs, J., Doctoroff, G. L., Fisher, P. H., &amp; Arnold, D. H. (2006). The association between preschool children's socio-emotional functioning and their mathematical skills. </w:t>
      </w:r>
      <w:r w:rsidRPr="00FD28D7">
        <w:rPr>
          <w:i/>
          <w:noProof/>
        </w:rPr>
        <w:t>Journal of Applied Developmental Psychology, 27</w:t>
      </w:r>
      <w:r w:rsidRPr="00FD28D7">
        <w:rPr>
          <w:noProof/>
        </w:rPr>
        <w:t xml:space="preserve">(2), 97-108. </w:t>
      </w:r>
    </w:p>
    <w:p w14:paraId="3B0351FA" w14:textId="77777777" w:rsidR="00027F7D" w:rsidRPr="00FD28D7" w:rsidRDefault="00027F7D" w:rsidP="00C35B74">
      <w:pPr>
        <w:pStyle w:val="EndNoteBibliography"/>
        <w:spacing w:line="480" w:lineRule="auto"/>
        <w:ind w:left="720" w:hanging="720"/>
        <w:rPr>
          <w:noProof/>
        </w:rPr>
      </w:pPr>
      <w:r w:rsidRPr="00FD28D7">
        <w:rPr>
          <w:noProof/>
        </w:rPr>
        <w:t xml:space="preserve">Doctoroff, G. L., Greer, J. A., &amp; Arnold, D. H. (2006). The relationship between social behavior and emergent literacy among preschool boys and girls. </w:t>
      </w:r>
      <w:r w:rsidRPr="00FD28D7">
        <w:rPr>
          <w:i/>
          <w:noProof/>
        </w:rPr>
        <w:t>Journal of Applied Developmental Psychology, 27</w:t>
      </w:r>
      <w:r w:rsidRPr="00FD28D7">
        <w:rPr>
          <w:noProof/>
        </w:rPr>
        <w:t xml:space="preserve">(1), 1-13. </w:t>
      </w:r>
    </w:p>
    <w:p w14:paraId="096CBD05" w14:textId="77777777" w:rsidR="00027F7D" w:rsidRPr="00FD28D7" w:rsidRDefault="00027F7D" w:rsidP="00C35B74">
      <w:pPr>
        <w:pStyle w:val="EndNoteBibliography"/>
        <w:spacing w:line="480" w:lineRule="auto"/>
        <w:ind w:left="720" w:hanging="720"/>
        <w:rPr>
          <w:noProof/>
        </w:rPr>
      </w:pPr>
      <w:r w:rsidRPr="00FD28D7">
        <w:rPr>
          <w:noProof/>
        </w:rPr>
        <w:t xml:space="preserve">Duncan, G. J., Dowsett, C. J., Claessens, A., Magnuson, K., Huston, A. C., Klebanov, P., . . . Japel, C. (2007). School readiness and later achievement. </w:t>
      </w:r>
      <w:r w:rsidRPr="00FD28D7">
        <w:rPr>
          <w:i/>
          <w:noProof/>
        </w:rPr>
        <w:t>Developmental Psychology, 43</w:t>
      </w:r>
      <w:r w:rsidRPr="00FD28D7">
        <w:rPr>
          <w:noProof/>
        </w:rPr>
        <w:t>(6), 1428-1446. doi:10.1037/0012-1649.43.6.1428</w:t>
      </w:r>
    </w:p>
    <w:p w14:paraId="2B9C3133" w14:textId="77777777" w:rsidR="00027F7D" w:rsidRPr="00FD28D7" w:rsidRDefault="00027F7D" w:rsidP="00C35B74">
      <w:pPr>
        <w:pStyle w:val="EndNoteBibliography"/>
        <w:spacing w:line="480" w:lineRule="auto"/>
        <w:ind w:left="720" w:hanging="720"/>
        <w:rPr>
          <w:noProof/>
        </w:rPr>
      </w:pPr>
      <w:r w:rsidRPr="00FD28D7">
        <w:rPr>
          <w:noProof/>
        </w:rPr>
        <w:t xml:space="preserve">Dunn, J., Cutting, A. L., &amp; Fisher, N. (2002). Old friends, new friends: Predictors of children's perspective on their friends at school. </w:t>
      </w:r>
      <w:r w:rsidRPr="00FD28D7">
        <w:rPr>
          <w:i/>
          <w:noProof/>
        </w:rPr>
        <w:t>Child Development, 73</w:t>
      </w:r>
      <w:r w:rsidRPr="00FD28D7">
        <w:rPr>
          <w:noProof/>
        </w:rPr>
        <w:t xml:space="preserve">(2), 621-635. </w:t>
      </w:r>
    </w:p>
    <w:p w14:paraId="221836D7" w14:textId="77777777" w:rsidR="00027F7D" w:rsidRPr="00FD28D7" w:rsidRDefault="00027F7D" w:rsidP="00C35B74">
      <w:pPr>
        <w:pStyle w:val="EndNoteBibliography"/>
        <w:spacing w:line="480" w:lineRule="auto"/>
        <w:ind w:left="720" w:hanging="720"/>
        <w:rPr>
          <w:noProof/>
        </w:rPr>
      </w:pPr>
      <w:r w:rsidRPr="00FD28D7">
        <w:rPr>
          <w:noProof/>
        </w:rPr>
        <w:t>Durlak, J. A., Weissberg, R. P., Dymnicki, A. B., Taylor, R. D., &amp; Schellinger, K. B. (2011). The impact of enhancing students’ social and emotional learning: A meta</w:t>
      </w:r>
      <w:r w:rsidRPr="00FD28D7">
        <w:rPr>
          <w:rFonts w:ascii="Noteworthy Light" w:hAnsi="Noteworthy Light" w:cs="Noteworthy Light"/>
          <w:noProof/>
        </w:rPr>
        <w:t>‐</w:t>
      </w:r>
      <w:r w:rsidRPr="00FD28D7">
        <w:rPr>
          <w:noProof/>
        </w:rPr>
        <w:t>analysis of school</w:t>
      </w:r>
      <w:r w:rsidRPr="00FD28D7">
        <w:rPr>
          <w:rFonts w:ascii="Noteworthy Light" w:hAnsi="Noteworthy Light" w:cs="Noteworthy Light"/>
          <w:noProof/>
        </w:rPr>
        <w:t>‐</w:t>
      </w:r>
      <w:r w:rsidRPr="00FD28D7">
        <w:rPr>
          <w:noProof/>
        </w:rPr>
        <w:t xml:space="preserve">based universal interventions. </w:t>
      </w:r>
      <w:r w:rsidRPr="00FD28D7">
        <w:rPr>
          <w:i/>
          <w:noProof/>
        </w:rPr>
        <w:t>Child Development, 82</w:t>
      </w:r>
      <w:r w:rsidRPr="00FD28D7">
        <w:rPr>
          <w:noProof/>
        </w:rPr>
        <w:t xml:space="preserve">(1), 405-432. </w:t>
      </w:r>
    </w:p>
    <w:p w14:paraId="15FC8A42" w14:textId="77777777" w:rsidR="00027F7D" w:rsidRPr="00FD28D7" w:rsidRDefault="00027F7D" w:rsidP="00C35B74">
      <w:pPr>
        <w:pStyle w:val="EndNoteBibliography"/>
        <w:spacing w:line="480" w:lineRule="auto"/>
        <w:ind w:left="720" w:hanging="720"/>
        <w:rPr>
          <w:noProof/>
        </w:rPr>
      </w:pPr>
      <w:r w:rsidRPr="00FD28D7">
        <w:rPr>
          <w:noProof/>
        </w:rPr>
        <w:t xml:space="preserve">Elias, M. J., &amp; Haynes, N. M. (2008). Social competence, social support, and academic achievement in minority, low-income, urban elementary school children. </w:t>
      </w:r>
      <w:r w:rsidRPr="00FD28D7">
        <w:rPr>
          <w:i/>
          <w:noProof/>
        </w:rPr>
        <w:t>School Psychology Quarterly, 23</w:t>
      </w:r>
      <w:r w:rsidRPr="00FD28D7">
        <w:rPr>
          <w:noProof/>
        </w:rPr>
        <w:t xml:space="preserve">(4), 474. </w:t>
      </w:r>
    </w:p>
    <w:p w14:paraId="1450C9A4" w14:textId="77777777" w:rsidR="00027F7D" w:rsidRPr="00FD28D7" w:rsidRDefault="00027F7D" w:rsidP="00C35B74">
      <w:pPr>
        <w:pStyle w:val="EndNoteBibliography"/>
        <w:spacing w:line="480" w:lineRule="auto"/>
        <w:ind w:left="720" w:hanging="720"/>
        <w:rPr>
          <w:noProof/>
        </w:rPr>
      </w:pPr>
      <w:r w:rsidRPr="00FD28D7">
        <w:rPr>
          <w:noProof/>
        </w:rPr>
        <w:t xml:space="preserve">Fink, E., Begeer, S., Peterson, C. C., Slaughter, V., &amp; de Rosnay, M. (2015). Friendlessness and theory of mind: a prospective longitudinal study. </w:t>
      </w:r>
      <w:r w:rsidRPr="00FD28D7">
        <w:rPr>
          <w:i/>
          <w:noProof/>
        </w:rPr>
        <w:t>Br J Dev Psychol, 33</w:t>
      </w:r>
      <w:r w:rsidRPr="00FD28D7">
        <w:rPr>
          <w:noProof/>
        </w:rPr>
        <w:t>(1), 1-17. doi:10.1111/bjdp.12060</w:t>
      </w:r>
    </w:p>
    <w:p w14:paraId="7A544CE0" w14:textId="77777777" w:rsidR="00027F7D" w:rsidRPr="00FD28D7" w:rsidRDefault="00027F7D" w:rsidP="00C35B74">
      <w:pPr>
        <w:pStyle w:val="EndNoteBibliography"/>
        <w:spacing w:line="480" w:lineRule="auto"/>
        <w:ind w:left="720" w:hanging="720"/>
        <w:rPr>
          <w:noProof/>
        </w:rPr>
      </w:pPr>
      <w:r w:rsidRPr="00FD28D7">
        <w:rPr>
          <w:noProof/>
        </w:rPr>
        <w:t xml:space="preserve">Gallagher, T. M. (1993). Language skill and the development of social competence in school-age children. </w:t>
      </w:r>
      <w:r w:rsidRPr="00FD28D7">
        <w:rPr>
          <w:i/>
          <w:noProof/>
        </w:rPr>
        <w:t>Language Speech and Hearing Services in Schools, 24</w:t>
      </w:r>
      <w:r w:rsidRPr="00FD28D7">
        <w:rPr>
          <w:noProof/>
        </w:rPr>
        <w:t xml:space="preserve">, 199-199. </w:t>
      </w:r>
    </w:p>
    <w:p w14:paraId="0F162557" w14:textId="77777777" w:rsidR="00027F7D" w:rsidRPr="00FD28D7" w:rsidRDefault="00027F7D" w:rsidP="00C35B74">
      <w:pPr>
        <w:pStyle w:val="EndNoteBibliography"/>
        <w:spacing w:line="480" w:lineRule="auto"/>
        <w:ind w:left="720" w:hanging="720"/>
        <w:rPr>
          <w:noProof/>
        </w:rPr>
      </w:pPr>
      <w:r w:rsidRPr="00FD28D7">
        <w:rPr>
          <w:noProof/>
        </w:rPr>
        <w:t xml:space="preserve">Gertner, B. L., Rice, M. L., &amp; Hadley, P. A. (1994). Influence of communicative competence on peer preferences in a preschool classroom. </w:t>
      </w:r>
      <w:r w:rsidRPr="00FD28D7">
        <w:rPr>
          <w:i/>
          <w:noProof/>
        </w:rPr>
        <w:t>Journal of Speech, Language, and Hearing Research, 37</w:t>
      </w:r>
      <w:r w:rsidRPr="00FD28D7">
        <w:rPr>
          <w:noProof/>
        </w:rPr>
        <w:t xml:space="preserve">(4), 913-923. </w:t>
      </w:r>
    </w:p>
    <w:p w14:paraId="5FA326BD" w14:textId="77777777" w:rsidR="00027F7D" w:rsidRPr="00FD28D7" w:rsidRDefault="00027F7D" w:rsidP="00C35B74">
      <w:pPr>
        <w:pStyle w:val="EndNoteBibliography"/>
        <w:spacing w:line="480" w:lineRule="auto"/>
        <w:ind w:left="720" w:hanging="720"/>
        <w:rPr>
          <w:noProof/>
        </w:rPr>
      </w:pPr>
      <w:r w:rsidRPr="00FD28D7">
        <w:rPr>
          <w:noProof/>
        </w:rPr>
        <w:t xml:space="preserve">Gifford-Smith, M. E., &amp; Brownell, C. A. (2003). Childhood peer relationships: Social acceptance, friendships, and peer networks. </w:t>
      </w:r>
      <w:r w:rsidRPr="00FD28D7">
        <w:rPr>
          <w:i/>
          <w:noProof/>
        </w:rPr>
        <w:t>Journal of School Psychology, 41</w:t>
      </w:r>
      <w:r w:rsidRPr="00FD28D7">
        <w:rPr>
          <w:noProof/>
        </w:rPr>
        <w:t xml:space="preserve">(4), 235-284. </w:t>
      </w:r>
    </w:p>
    <w:p w14:paraId="1111F9FA" w14:textId="77777777" w:rsidR="00027F7D" w:rsidRPr="00FD28D7" w:rsidRDefault="00027F7D" w:rsidP="00C35B74">
      <w:pPr>
        <w:pStyle w:val="EndNoteBibliography"/>
        <w:spacing w:line="480" w:lineRule="auto"/>
        <w:ind w:left="720" w:hanging="720"/>
        <w:rPr>
          <w:noProof/>
        </w:rPr>
      </w:pPr>
      <w:r w:rsidRPr="00FD28D7">
        <w:rPr>
          <w:noProof/>
        </w:rPr>
        <w:t xml:space="preserve">Graziano, P. A., Keane, S. P., &amp; Calkins, S. D. (2007). Cardiac vagal regulation and early peer status. </w:t>
      </w:r>
      <w:r w:rsidRPr="00FD28D7">
        <w:rPr>
          <w:i/>
          <w:noProof/>
        </w:rPr>
        <w:t>Child Development, 78</w:t>
      </w:r>
      <w:r w:rsidRPr="00FD28D7">
        <w:rPr>
          <w:noProof/>
        </w:rPr>
        <w:t xml:space="preserve">(1), 264-278. </w:t>
      </w:r>
    </w:p>
    <w:p w14:paraId="79AFB313" w14:textId="77777777" w:rsidR="00027F7D" w:rsidRPr="00FD28D7" w:rsidRDefault="00027F7D" w:rsidP="00C35B74">
      <w:pPr>
        <w:pStyle w:val="EndNoteBibliography"/>
        <w:spacing w:line="480" w:lineRule="auto"/>
        <w:ind w:left="720" w:hanging="720"/>
        <w:rPr>
          <w:noProof/>
        </w:rPr>
      </w:pPr>
      <w:r w:rsidRPr="00FD28D7">
        <w:rPr>
          <w:noProof/>
        </w:rPr>
        <w:t xml:space="preserve">Hughes, C., Daly, I., Foley, S., White, N., &amp; Devine, R. T. (2015). Measuring the foundations of school readiness: Introducing a new questionnaire for teachers–The Brief Early Skills and Support Index (BESSI). </w:t>
      </w:r>
      <w:r w:rsidRPr="00FD28D7">
        <w:rPr>
          <w:i/>
          <w:noProof/>
        </w:rPr>
        <w:t>British Journal of Educational Psychology, 85</w:t>
      </w:r>
      <w:r w:rsidRPr="00FD28D7">
        <w:rPr>
          <w:noProof/>
        </w:rPr>
        <w:t xml:space="preserve">(3), 332-356. </w:t>
      </w:r>
    </w:p>
    <w:p w14:paraId="6475D623" w14:textId="77777777" w:rsidR="00027F7D" w:rsidRPr="00FD28D7" w:rsidRDefault="00027F7D" w:rsidP="00C35B74">
      <w:pPr>
        <w:pStyle w:val="EndNoteBibliography"/>
        <w:spacing w:line="480" w:lineRule="auto"/>
        <w:ind w:left="720" w:hanging="720"/>
        <w:rPr>
          <w:noProof/>
        </w:rPr>
      </w:pPr>
      <w:r w:rsidRPr="00FD28D7">
        <w:rPr>
          <w:noProof/>
        </w:rPr>
        <w:t xml:space="preserve">Hughes, C., Foley, S., White, N., &amp; Devine, R. T. (2017). School readiness in children with special educational needs and disabilities: Psychometric findings from a new screening tool, the Brief Early Skills, and Support Index. </w:t>
      </w:r>
      <w:r w:rsidRPr="00FD28D7">
        <w:rPr>
          <w:i/>
          <w:noProof/>
        </w:rPr>
        <w:t>British Journal of Educational Psychology</w:t>
      </w:r>
      <w:r w:rsidRPr="00FD28D7">
        <w:rPr>
          <w:noProof/>
        </w:rPr>
        <w:t xml:space="preserve">. </w:t>
      </w:r>
    </w:p>
    <w:p w14:paraId="17A4EED5" w14:textId="77777777" w:rsidR="00027F7D" w:rsidRPr="00FD28D7" w:rsidRDefault="00027F7D" w:rsidP="00C35B74">
      <w:pPr>
        <w:pStyle w:val="EndNoteBibliography"/>
        <w:spacing w:line="480" w:lineRule="auto"/>
        <w:ind w:left="720" w:hanging="720"/>
        <w:rPr>
          <w:noProof/>
        </w:rPr>
      </w:pPr>
      <w:r w:rsidRPr="00FD28D7">
        <w:rPr>
          <w:noProof/>
        </w:rPr>
        <w:t xml:space="preserve">Hughes, C., White, N., Foley, S., &amp; Devine, R. T. (2017). Family support and gains in school readiness: A longitudinal study. </w:t>
      </w:r>
      <w:r w:rsidRPr="00FD28D7">
        <w:rPr>
          <w:i/>
          <w:noProof/>
        </w:rPr>
        <w:t>British Journal of Educational Psychology</w:t>
      </w:r>
      <w:r w:rsidRPr="00FD28D7">
        <w:rPr>
          <w:noProof/>
        </w:rPr>
        <w:t xml:space="preserve">. </w:t>
      </w:r>
    </w:p>
    <w:p w14:paraId="2D6B2D5C" w14:textId="77777777" w:rsidR="00027F7D" w:rsidRDefault="00027F7D" w:rsidP="00C35B74">
      <w:pPr>
        <w:pStyle w:val="EndNoteBibliography"/>
        <w:spacing w:line="480" w:lineRule="auto"/>
        <w:ind w:left="720" w:hanging="720"/>
        <w:rPr>
          <w:noProof/>
        </w:rPr>
      </w:pPr>
      <w:r w:rsidRPr="00FD28D7">
        <w:rPr>
          <w:noProof/>
        </w:rPr>
        <w:t xml:space="preserve">Huttenlocher, J., Haight, W., Bryk, A., Seltzer, M., &amp; Lyons, T. (1991). Early vocabulary growth: Relation to language input and gender. </w:t>
      </w:r>
      <w:r w:rsidRPr="00FD28D7">
        <w:rPr>
          <w:i/>
          <w:noProof/>
        </w:rPr>
        <w:t>Developmental Psychology, 27</w:t>
      </w:r>
      <w:r w:rsidRPr="00FD28D7">
        <w:rPr>
          <w:noProof/>
        </w:rPr>
        <w:t xml:space="preserve">(2), 236. </w:t>
      </w:r>
    </w:p>
    <w:p w14:paraId="3FA3DE12" w14:textId="288D266E" w:rsidR="00372C08" w:rsidRPr="00764783" w:rsidRDefault="00372C08" w:rsidP="00FD436C">
      <w:pPr>
        <w:pStyle w:val="EndNoteBibliography"/>
        <w:spacing w:line="480" w:lineRule="auto"/>
        <w:ind w:left="720" w:hanging="720"/>
        <w:rPr>
          <w:noProof/>
        </w:rPr>
      </w:pPr>
      <w:r>
        <w:rPr>
          <w:noProof/>
        </w:rPr>
        <w:t>Janus, M., &amp; Duku, E. (2007). The school entry gap: socioeconomic, family, and health factors associated with children's school readiness to learn.</w:t>
      </w:r>
      <w:r w:rsidR="00B57C87">
        <w:rPr>
          <w:i/>
          <w:noProof/>
        </w:rPr>
        <w:t xml:space="preserve"> </w:t>
      </w:r>
      <w:r w:rsidRPr="00887F7C">
        <w:rPr>
          <w:i/>
          <w:noProof/>
        </w:rPr>
        <w:t>Early Education &amp; Development, 18</w:t>
      </w:r>
      <w:r w:rsidRPr="00764783">
        <w:rPr>
          <w:noProof/>
        </w:rPr>
        <w:t>, 375-403.</w:t>
      </w:r>
    </w:p>
    <w:p w14:paraId="0C8B2E30" w14:textId="77777777" w:rsidR="00027F7D" w:rsidRPr="00764783" w:rsidRDefault="00027F7D" w:rsidP="00FD436C">
      <w:pPr>
        <w:pStyle w:val="EndNoteBibliography"/>
        <w:spacing w:line="480" w:lineRule="auto"/>
        <w:ind w:left="720" w:hanging="720"/>
        <w:rPr>
          <w:noProof/>
        </w:rPr>
      </w:pPr>
      <w:r w:rsidRPr="00FD436C">
        <w:rPr>
          <w:noProof/>
        </w:rPr>
        <w:t xml:space="preserve">Jennings, J. L., &amp; DiPrete, T. A. (2010). Teacher effects on social and behavioral skills in early elementary school. </w:t>
      </w:r>
      <w:r w:rsidRPr="00FD436C">
        <w:rPr>
          <w:i/>
          <w:noProof/>
        </w:rPr>
        <w:t>Sociology of Education, 83</w:t>
      </w:r>
      <w:r w:rsidRPr="00764783">
        <w:rPr>
          <w:noProof/>
        </w:rPr>
        <w:t xml:space="preserve">(2), 135-159. </w:t>
      </w:r>
    </w:p>
    <w:p w14:paraId="05FBB14D" w14:textId="77777777" w:rsidR="00764783" w:rsidRPr="00887F7C" w:rsidRDefault="00764783" w:rsidP="00887F7C">
      <w:pPr>
        <w:widowControl w:val="0"/>
        <w:autoSpaceDE w:val="0"/>
        <w:autoSpaceDN w:val="0"/>
        <w:adjustRightInd w:val="0"/>
        <w:spacing w:line="480" w:lineRule="auto"/>
        <w:ind w:left="720" w:hanging="720"/>
        <w:rPr>
          <w:rFonts w:eastAsiaTheme="minorEastAsia"/>
          <w:lang w:val="en-US" w:eastAsia="en-US"/>
        </w:rPr>
      </w:pPr>
      <w:r w:rsidRPr="00887F7C">
        <w:rPr>
          <w:rFonts w:eastAsiaTheme="minorEastAsia"/>
          <w:lang w:val="en-US" w:eastAsia="en-US"/>
        </w:rPr>
        <w:t xml:space="preserve">Jiang, X. L., &amp; </w:t>
      </w:r>
      <w:proofErr w:type="spellStart"/>
      <w:r w:rsidRPr="00887F7C">
        <w:rPr>
          <w:rFonts w:eastAsiaTheme="minorEastAsia"/>
          <w:lang w:val="en-US" w:eastAsia="en-US"/>
        </w:rPr>
        <w:t>Cillessen</w:t>
      </w:r>
      <w:proofErr w:type="spellEnd"/>
      <w:r w:rsidRPr="00887F7C">
        <w:rPr>
          <w:rFonts w:eastAsiaTheme="minorEastAsia"/>
          <w:lang w:val="en-US" w:eastAsia="en-US"/>
        </w:rPr>
        <w:t xml:space="preserve">, A. H. N. (2005). Stability of continuous measures of sociometric status: a meta-analysis. </w:t>
      </w:r>
      <w:r w:rsidRPr="00887F7C">
        <w:rPr>
          <w:rFonts w:eastAsiaTheme="minorEastAsia"/>
          <w:i/>
          <w:iCs/>
          <w:lang w:val="en-US" w:eastAsia="en-US"/>
        </w:rPr>
        <w:t>Developmental Review, 25</w:t>
      </w:r>
      <w:r w:rsidRPr="00887F7C">
        <w:rPr>
          <w:rFonts w:eastAsiaTheme="minorEastAsia"/>
          <w:lang w:val="en-US" w:eastAsia="en-US"/>
        </w:rPr>
        <w:t xml:space="preserve">(1), 1-25. </w:t>
      </w:r>
      <w:hyperlink r:id="rId7" w:history="1">
        <w:proofErr w:type="spellStart"/>
        <w:proofErr w:type="gramStart"/>
        <w:r w:rsidRPr="00887F7C">
          <w:rPr>
            <w:rFonts w:eastAsiaTheme="minorEastAsia"/>
            <w:lang w:val="en-US" w:eastAsia="en-US"/>
          </w:rPr>
          <w:t>doi:http</w:t>
        </w:r>
        <w:proofErr w:type="spellEnd"/>
        <w:r w:rsidRPr="00887F7C">
          <w:rPr>
            <w:rFonts w:eastAsiaTheme="minorEastAsia"/>
            <w:lang w:val="en-US" w:eastAsia="en-US"/>
          </w:rPr>
          <w:t>://dx.doi.org/10.1016/j.dr.2004.08.008</w:t>
        </w:r>
        <w:proofErr w:type="gramEnd"/>
      </w:hyperlink>
    </w:p>
    <w:p w14:paraId="52778C27" w14:textId="77777777" w:rsidR="00027F7D" w:rsidRPr="00FD28D7" w:rsidRDefault="00027F7D" w:rsidP="00764783">
      <w:pPr>
        <w:pStyle w:val="EndNoteBibliography"/>
        <w:spacing w:line="480" w:lineRule="auto"/>
        <w:ind w:left="720" w:hanging="720"/>
        <w:rPr>
          <w:noProof/>
        </w:rPr>
      </w:pPr>
      <w:r w:rsidRPr="00764783">
        <w:rPr>
          <w:noProof/>
        </w:rPr>
        <w:t>Konold, T. R., &amp; Pianta, R. C. (2005). Empirically-derived, person-oriented patterns of school</w:t>
      </w:r>
      <w:r w:rsidRPr="00FD28D7">
        <w:rPr>
          <w:noProof/>
        </w:rPr>
        <w:t xml:space="preserve"> readiness in typically-developing children: Description and prediction to first-grade achievement. </w:t>
      </w:r>
      <w:r w:rsidRPr="00FD28D7">
        <w:rPr>
          <w:i/>
          <w:noProof/>
        </w:rPr>
        <w:t>Applied Developmental Science, 9</w:t>
      </w:r>
      <w:r w:rsidRPr="00FD28D7">
        <w:rPr>
          <w:noProof/>
        </w:rPr>
        <w:t xml:space="preserve">(4), 174-187. </w:t>
      </w:r>
    </w:p>
    <w:p w14:paraId="4F488E28" w14:textId="77777777" w:rsidR="00027F7D" w:rsidRPr="00FD28D7" w:rsidRDefault="00027F7D" w:rsidP="00C35B74">
      <w:pPr>
        <w:pStyle w:val="EndNoteBibliography"/>
        <w:spacing w:line="480" w:lineRule="auto"/>
        <w:ind w:left="720" w:hanging="720"/>
        <w:rPr>
          <w:noProof/>
        </w:rPr>
      </w:pPr>
      <w:r w:rsidRPr="00FD28D7">
        <w:rPr>
          <w:noProof/>
        </w:rPr>
        <w:t xml:space="preserve">Ladd, G. W. (1990). Having friends, keeping friends, making friends, and being liked by peers in the classroom: Predictors of children's early school adjustment? </w:t>
      </w:r>
      <w:r w:rsidRPr="00FD28D7">
        <w:rPr>
          <w:i/>
          <w:noProof/>
        </w:rPr>
        <w:t>Child Development, 61</w:t>
      </w:r>
      <w:r w:rsidRPr="00FD28D7">
        <w:rPr>
          <w:noProof/>
        </w:rPr>
        <w:t xml:space="preserve">(4), 1081-1100. </w:t>
      </w:r>
    </w:p>
    <w:p w14:paraId="2D827424" w14:textId="77777777" w:rsidR="00027F7D" w:rsidRPr="00FD28D7" w:rsidRDefault="00027F7D" w:rsidP="00C35B74">
      <w:pPr>
        <w:pStyle w:val="EndNoteBibliography"/>
        <w:spacing w:line="480" w:lineRule="auto"/>
        <w:ind w:left="720" w:hanging="720"/>
        <w:rPr>
          <w:noProof/>
        </w:rPr>
      </w:pPr>
      <w:r w:rsidRPr="00FD28D7">
        <w:rPr>
          <w:noProof/>
        </w:rPr>
        <w:t xml:space="preserve">Ladd, G. W. (2005). </w:t>
      </w:r>
      <w:r w:rsidRPr="00FD28D7">
        <w:rPr>
          <w:i/>
          <w:noProof/>
        </w:rPr>
        <w:t>Children's peer relations and social competence: A century of progress</w:t>
      </w:r>
      <w:r w:rsidRPr="00FD28D7">
        <w:rPr>
          <w:noProof/>
        </w:rPr>
        <w:t>. New Haven: Yale University Press.</w:t>
      </w:r>
    </w:p>
    <w:p w14:paraId="00AE5A3B" w14:textId="77777777" w:rsidR="00027F7D" w:rsidRPr="00FD28D7" w:rsidRDefault="00027F7D" w:rsidP="00C35B74">
      <w:pPr>
        <w:pStyle w:val="EndNoteBibliography"/>
        <w:spacing w:line="480" w:lineRule="auto"/>
        <w:ind w:left="720" w:hanging="720"/>
        <w:rPr>
          <w:noProof/>
        </w:rPr>
      </w:pPr>
      <w:r w:rsidRPr="00FD28D7">
        <w:rPr>
          <w:noProof/>
        </w:rPr>
        <w:t xml:space="preserve">Ladd, G. W., Birch, S. H., &amp; Buhs, E. S. (1999). Children's social and scholastic lives in kindergarten: Related spheres of influence? </w:t>
      </w:r>
      <w:r w:rsidRPr="00FD28D7">
        <w:rPr>
          <w:i/>
          <w:noProof/>
        </w:rPr>
        <w:t>Child Development, 70</w:t>
      </w:r>
      <w:r w:rsidRPr="00FD28D7">
        <w:rPr>
          <w:noProof/>
        </w:rPr>
        <w:t xml:space="preserve">(6), 1373-1400. </w:t>
      </w:r>
    </w:p>
    <w:p w14:paraId="3BC8320C" w14:textId="77777777" w:rsidR="00027F7D" w:rsidRPr="00FD28D7" w:rsidRDefault="00027F7D" w:rsidP="00C35B74">
      <w:pPr>
        <w:pStyle w:val="EndNoteBibliography"/>
        <w:spacing w:line="480" w:lineRule="auto"/>
        <w:ind w:left="720" w:hanging="720"/>
        <w:rPr>
          <w:noProof/>
        </w:rPr>
      </w:pPr>
      <w:r w:rsidRPr="00FD28D7">
        <w:rPr>
          <w:noProof/>
        </w:rPr>
        <w:t xml:space="preserve">Ladd, G. W., Kochenderfer, B. J., &amp; Coleman, C. C. (1996). Friendship Quality as a predictor of young children's early school adjustment. </w:t>
      </w:r>
      <w:r w:rsidRPr="00FD28D7">
        <w:rPr>
          <w:i/>
          <w:noProof/>
        </w:rPr>
        <w:t>Child Development, 67</w:t>
      </w:r>
      <w:r w:rsidRPr="00FD28D7">
        <w:rPr>
          <w:noProof/>
        </w:rPr>
        <w:t xml:space="preserve">(3), 1103-1118. </w:t>
      </w:r>
    </w:p>
    <w:p w14:paraId="0A34BB13" w14:textId="77777777" w:rsidR="00027F7D" w:rsidRPr="00FD28D7" w:rsidRDefault="00027F7D" w:rsidP="00C35B74">
      <w:pPr>
        <w:pStyle w:val="EndNoteBibliography"/>
        <w:spacing w:line="480" w:lineRule="auto"/>
        <w:ind w:left="720" w:hanging="720"/>
        <w:rPr>
          <w:noProof/>
        </w:rPr>
      </w:pPr>
      <w:r w:rsidRPr="00FD28D7">
        <w:rPr>
          <w:noProof/>
        </w:rPr>
        <w:t xml:space="preserve">Laursen, B., Bukowski, W. M., Aunola, K., &amp; Nurmi, J. E. (2007). Friendship moderates prospective associations between social isolation and adjustment problems in young children. </w:t>
      </w:r>
      <w:r w:rsidRPr="00FD28D7">
        <w:rPr>
          <w:i/>
          <w:noProof/>
        </w:rPr>
        <w:t>Child Development, 78</w:t>
      </w:r>
      <w:r w:rsidRPr="00FD28D7">
        <w:rPr>
          <w:noProof/>
        </w:rPr>
        <w:t xml:space="preserve">(4), 1395-1404. </w:t>
      </w:r>
    </w:p>
    <w:p w14:paraId="23F97623" w14:textId="77777777" w:rsidR="00027F7D" w:rsidRPr="00FD28D7" w:rsidRDefault="00027F7D" w:rsidP="00C35B74">
      <w:pPr>
        <w:pStyle w:val="EndNoteBibliography"/>
        <w:spacing w:line="480" w:lineRule="auto"/>
        <w:ind w:left="720" w:hanging="720"/>
        <w:rPr>
          <w:noProof/>
        </w:rPr>
      </w:pPr>
      <w:r w:rsidRPr="00FD28D7">
        <w:rPr>
          <w:noProof/>
        </w:rPr>
        <w:t xml:space="preserve">Linder, S. M., Ramey, M. D., &amp; Zambak, S. (2013). Predictors of School Readiness in Literacy and Mathematics: A Selective Review of the Literature. </w:t>
      </w:r>
      <w:r w:rsidRPr="00FD28D7">
        <w:rPr>
          <w:i/>
          <w:noProof/>
        </w:rPr>
        <w:t>Early Childhood Research &amp; Practice, 15</w:t>
      </w:r>
      <w:r w:rsidRPr="00FD28D7">
        <w:rPr>
          <w:noProof/>
        </w:rPr>
        <w:t xml:space="preserve">(1), n1. </w:t>
      </w:r>
    </w:p>
    <w:p w14:paraId="3435D2F7" w14:textId="77777777" w:rsidR="00027F7D" w:rsidRPr="00FD28D7" w:rsidRDefault="00027F7D" w:rsidP="00C35B74">
      <w:pPr>
        <w:pStyle w:val="EndNoteBibliography"/>
        <w:spacing w:line="480" w:lineRule="auto"/>
        <w:ind w:left="720" w:hanging="720"/>
        <w:rPr>
          <w:noProof/>
        </w:rPr>
      </w:pPr>
      <w:r w:rsidRPr="00FD28D7">
        <w:rPr>
          <w:noProof/>
        </w:rPr>
        <w:t xml:space="preserve">Maguire, L. K., Niens, U., McCann, M., &amp; Connolly, P. (2016). Emotional development among early school-age children: gender differences in the role of problem behaviours. </w:t>
      </w:r>
      <w:r w:rsidRPr="00FD28D7">
        <w:rPr>
          <w:i/>
          <w:noProof/>
        </w:rPr>
        <w:t>Educational psychology, 36</w:t>
      </w:r>
      <w:r w:rsidRPr="00FD28D7">
        <w:rPr>
          <w:noProof/>
        </w:rPr>
        <w:t xml:space="preserve">(8), 1408-1428. </w:t>
      </w:r>
    </w:p>
    <w:p w14:paraId="0FEB14B1" w14:textId="77777777" w:rsidR="00027F7D" w:rsidRPr="00FD28D7" w:rsidRDefault="00027F7D" w:rsidP="00C35B74">
      <w:pPr>
        <w:pStyle w:val="EndNoteBibliography"/>
        <w:spacing w:line="480" w:lineRule="auto"/>
        <w:ind w:left="720" w:hanging="720"/>
        <w:rPr>
          <w:noProof/>
        </w:rPr>
      </w:pPr>
      <w:r w:rsidRPr="00FD28D7">
        <w:rPr>
          <w:noProof/>
        </w:rPr>
        <w:t xml:space="preserve">Masters, J. C., &amp; Furman, W. (1981). Popularity, individual friendship selection, and specific peer interaction among children. </w:t>
      </w:r>
      <w:r w:rsidRPr="00FD28D7">
        <w:rPr>
          <w:i/>
          <w:noProof/>
        </w:rPr>
        <w:t>Developmental Psychology, 17</w:t>
      </w:r>
      <w:r w:rsidRPr="00FD28D7">
        <w:rPr>
          <w:noProof/>
        </w:rPr>
        <w:t xml:space="preserve">(3), 344. </w:t>
      </w:r>
    </w:p>
    <w:p w14:paraId="48857E4D" w14:textId="77777777" w:rsidR="00027F7D" w:rsidRPr="00FD28D7" w:rsidRDefault="00027F7D" w:rsidP="00C35B74">
      <w:pPr>
        <w:pStyle w:val="EndNoteBibliography"/>
        <w:spacing w:line="480" w:lineRule="auto"/>
        <w:ind w:left="720" w:hanging="720"/>
        <w:rPr>
          <w:noProof/>
        </w:rPr>
      </w:pPr>
      <w:r w:rsidRPr="00FD28D7">
        <w:rPr>
          <w:noProof/>
        </w:rPr>
        <w:t xml:space="preserve">McClelland, M. M., Acock, A. C., &amp; Morrison, F. J. (2006). The impact of kindergarten learning-related skills on academic trajectories at the end of elementary school. </w:t>
      </w:r>
      <w:r w:rsidRPr="00FD28D7">
        <w:rPr>
          <w:i/>
          <w:noProof/>
        </w:rPr>
        <w:t>Early Childhood Research Quarterly, 21</w:t>
      </w:r>
      <w:r w:rsidRPr="00FD28D7">
        <w:rPr>
          <w:noProof/>
        </w:rPr>
        <w:t xml:space="preserve">(4), 471-490. </w:t>
      </w:r>
    </w:p>
    <w:p w14:paraId="444B2C0F" w14:textId="77777777" w:rsidR="00027F7D" w:rsidRPr="00FD28D7" w:rsidRDefault="00027F7D" w:rsidP="00C35B74">
      <w:pPr>
        <w:pStyle w:val="EndNoteBibliography"/>
        <w:spacing w:line="480" w:lineRule="auto"/>
        <w:ind w:left="720" w:hanging="720"/>
        <w:rPr>
          <w:noProof/>
        </w:rPr>
      </w:pPr>
      <w:r w:rsidRPr="00FD28D7">
        <w:rPr>
          <w:noProof/>
        </w:rPr>
        <w:t xml:space="preserve">Mendez, J. L., Fantuzzo, J., &amp; Cicchetti, D. (2002). Profiles of social competence among low–income African American preschool children. </w:t>
      </w:r>
      <w:r w:rsidRPr="00FD28D7">
        <w:rPr>
          <w:i/>
          <w:noProof/>
        </w:rPr>
        <w:t>Child Development, 73</w:t>
      </w:r>
      <w:r w:rsidRPr="00FD28D7">
        <w:rPr>
          <w:noProof/>
        </w:rPr>
        <w:t xml:space="preserve">(4), 1085-1100. </w:t>
      </w:r>
    </w:p>
    <w:p w14:paraId="12E61E5C" w14:textId="77777777" w:rsidR="00027F7D" w:rsidRPr="00FD28D7" w:rsidRDefault="00027F7D" w:rsidP="00C35B74">
      <w:pPr>
        <w:pStyle w:val="EndNoteBibliography"/>
        <w:spacing w:line="480" w:lineRule="auto"/>
        <w:ind w:left="720" w:hanging="720"/>
        <w:rPr>
          <w:noProof/>
        </w:rPr>
      </w:pPr>
      <w:r w:rsidRPr="00FD28D7">
        <w:rPr>
          <w:noProof/>
        </w:rPr>
        <w:t xml:space="preserve">Moffitt, T. E. (2001). </w:t>
      </w:r>
      <w:r w:rsidRPr="00FD28D7">
        <w:rPr>
          <w:i/>
          <w:noProof/>
        </w:rPr>
        <w:t>Sex differences in antisocial behaviour: Conduct disorder, delinquency, and violence in the Dunedin Longitudinal Study</w:t>
      </w:r>
      <w:r w:rsidRPr="00FD28D7">
        <w:rPr>
          <w:noProof/>
        </w:rPr>
        <w:t>. Cambridge: Cambridge University Press.</w:t>
      </w:r>
    </w:p>
    <w:p w14:paraId="212759E9" w14:textId="77777777" w:rsidR="00027F7D" w:rsidRDefault="00027F7D" w:rsidP="00C35B74">
      <w:pPr>
        <w:pStyle w:val="EndNoteBibliography"/>
        <w:spacing w:line="480" w:lineRule="auto"/>
        <w:ind w:left="720" w:hanging="720"/>
        <w:rPr>
          <w:noProof/>
        </w:rPr>
      </w:pPr>
      <w:r w:rsidRPr="00FD28D7">
        <w:rPr>
          <w:noProof/>
        </w:rPr>
        <w:t xml:space="preserve">Noble, K. G., Tottenham, N., &amp; Casey, B. (2005). Neuroscience perspectives on disparities in school readiness and cognitive achievement. </w:t>
      </w:r>
      <w:r w:rsidRPr="00FD28D7">
        <w:rPr>
          <w:i/>
          <w:noProof/>
        </w:rPr>
        <w:t>The Future of Children</w:t>
      </w:r>
      <w:r w:rsidRPr="00FD28D7">
        <w:rPr>
          <w:noProof/>
        </w:rPr>
        <w:t xml:space="preserve">, 71-89. </w:t>
      </w:r>
    </w:p>
    <w:p w14:paraId="7DB0F2BE" w14:textId="77777777" w:rsidR="00ED6F4E" w:rsidRPr="00FD28D7" w:rsidRDefault="00ED6F4E" w:rsidP="00E660EA">
      <w:pPr>
        <w:pStyle w:val="EndNoteBibliography"/>
        <w:spacing w:line="480" w:lineRule="auto"/>
        <w:ind w:left="720" w:hanging="720"/>
        <w:rPr>
          <w:noProof/>
        </w:rPr>
      </w:pPr>
      <w:r>
        <w:rPr>
          <w:noProof/>
        </w:rPr>
        <w:t>Patrianakos-Hoobler, A. I., Msall, M. E., Marks, J. D., Huo, D., Schreiber, M. D.</w:t>
      </w:r>
      <w:r w:rsidR="00372C08">
        <w:rPr>
          <w:noProof/>
        </w:rPr>
        <w:t xml:space="preserve"> </w:t>
      </w:r>
      <w:r>
        <w:rPr>
          <w:noProof/>
        </w:rPr>
        <w:t xml:space="preserve">(2009). Risk factors affecting school readiness in premature infants with respiratory distress syndrome. </w:t>
      </w:r>
      <w:r w:rsidRPr="00887F7C">
        <w:rPr>
          <w:i/>
          <w:noProof/>
        </w:rPr>
        <w:t>Pediatrics</w:t>
      </w:r>
      <w:r w:rsidR="00E660EA" w:rsidRPr="00887F7C">
        <w:rPr>
          <w:i/>
          <w:noProof/>
        </w:rPr>
        <w:t>, 124</w:t>
      </w:r>
      <w:r>
        <w:rPr>
          <w:noProof/>
        </w:rPr>
        <w:t>(1), 258-267.</w:t>
      </w:r>
    </w:p>
    <w:p w14:paraId="085D5E95" w14:textId="77777777" w:rsidR="00027F7D" w:rsidRPr="00FD28D7" w:rsidRDefault="00027F7D" w:rsidP="00C35B74">
      <w:pPr>
        <w:pStyle w:val="EndNoteBibliography"/>
        <w:spacing w:line="480" w:lineRule="auto"/>
        <w:ind w:left="720" w:hanging="720"/>
        <w:rPr>
          <w:noProof/>
        </w:rPr>
      </w:pPr>
      <w:r w:rsidRPr="00FD28D7">
        <w:rPr>
          <w:noProof/>
        </w:rPr>
        <w:t xml:space="preserve">Pratt, M. E., McClelland, M. M., Swanson, J., &amp; Lipscomb, S. T. (2016). Family risk profiles and school readiness: A person-centered approach. </w:t>
      </w:r>
      <w:r w:rsidRPr="00FD28D7">
        <w:rPr>
          <w:i/>
          <w:noProof/>
        </w:rPr>
        <w:t>Early Childhood Research Quarterly, 36</w:t>
      </w:r>
      <w:r w:rsidRPr="00FD28D7">
        <w:rPr>
          <w:noProof/>
        </w:rPr>
        <w:t xml:space="preserve">, 462-474. </w:t>
      </w:r>
    </w:p>
    <w:p w14:paraId="010241D7" w14:textId="77777777" w:rsidR="00027F7D" w:rsidRPr="00FD28D7" w:rsidRDefault="00027F7D" w:rsidP="00C35B74">
      <w:pPr>
        <w:pStyle w:val="EndNoteBibliography"/>
        <w:spacing w:line="480" w:lineRule="auto"/>
        <w:ind w:left="720" w:hanging="720"/>
        <w:rPr>
          <w:noProof/>
        </w:rPr>
      </w:pPr>
      <w:r w:rsidRPr="00FD28D7">
        <w:rPr>
          <w:noProof/>
        </w:rPr>
        <w:t xml:space="preserve">Raver, C. C., &amp; Knitzer, J. (2002). </w:t>
      </w:r>
      <w:r w:rsidRPr="00FD28D7">
        <w:rPr>
          <w:i/>
          <w:noProof/>
        </w:rPr>
        <w:t>Ready to enter: What research tells policymakers about strategies to promote social and emotional school readiness among three-and four-year-olds</w:t>
      </w:r>
      <w:r w:rsidRPr="00FD28D7">
        <w:rPr>
          <w:noProof/>
        </w:rPr>
        <w:t xml:space="preserve">. Retrieved from </w:t>
      </w:r>
    </w:p>
    <w:p w14:paraId="4EA48210" w14:textId="77777777" w:rsidR="00027F7D" w:rsidRPr="00FD28D7" w:rsidRDefault="00027F7D" w:rsidP="00C35B74">
      <w:pPr>
        <w:pStyle w:val="EndNoteBibliography"/>
        <w:spacing w:line="480" w:lineRule="auto"/>
        <w:ind w:left="720" w:hanging="720"/>
        <w:rPr>
          <w:noProof/>
        </w:rPr>
      </w:pPr>
      <w:r w:rsidRPr="00FD28D7">
        <w:rPr>
          <w:noProof/>
        </w:rPr>
        <w:t xml:space="preserve">Ray, K., &amp; Smith, M. C. (2010). The kindergarten child: What teachers and administrators need to know to promote academic success in all children. </w:t>
      </w:r>
      <w:r w:rsidRPr="00FD28D7">
        <w:rPr>
          <w:i/>
          <w:noProof/>
        </w:rPr>
        <w:t>Early Childhood Education Journal, 38</w:t>
      </w:r>
      <w:r w:rsidRPr="00FD28D7">
        <w:rPr>
          <w:noProof/>
        </w:rPr>
        <w:t xml:space="preserve">(1), 5-18. </w:t>
      </w:r>
    </w:p>
    <w:p w14:paraId="181E790E" w14:textId="77777777" w:rsidR="00027F7D" w:rsidRPr="00FD28D7" w:rsidRDefault="00027F7D" w:rsidP="00C35B74">
      <w:pPr>
        <w:pStyle w:val="EndNoteBibliography"/>
        <w:spacing w:line="480" w:lineRule="auto"/>
        <w:ind w:left="720" w:hanging="720"/>
        <w:rPr>
          <w:noProof/>
        </w:rPr>
      </w:pPr>
      <w:r w:rsidRPr="00FD28D7">
        <w:rPr>
          <w:noProof/>
        </w:rPr>
        <w:t xml:space="preserve">Renk, K., &amp; Phares, V. (2004). Cross-informant ratings of social competence in children and adolescents. </w:t>
      </w:r>
      <w:r w:rsidRPr="00FD28D7">
        <w:rPr>
          <w:i/>
          <w:noProof/>
        </w:rPr>
        <w:t>Clinical Psychology Review, 24</w:t>
      </w:r>
      <w:r w:rsidRPr="00FD28D7">
        <w:rPr>
          <w:noProof/>
        </w:rPr>
        <w:t xml:space="preserve">(2), 239-254. </w:t>
      </w:r>
    </w:p>
    <w:p w14:paraId="6416D9D6" w14:textId="77777777" w:rsidR="00027F7D" w:rsidRPr="00FD28D7" w:rsidRDefault="00027F7D" w:rsidP="00C35B74">
      <w:pPr>
        <w:pStyle w:val="EndNoteBibliography"/>
        <w:spacing w:line="480" w:lineRule="auto"/>
        <w:ind w:left="720" w:hanging="720"/>
        <w:rPr>
          <w:noProof/>
        </w:rPr>
      </w:pPr>
      <w:r w:rsidRPr="00FD28D7">
        <w:rPr>
          <w:noProof/>
        </w:rPr>
        <w:t xml:space="preserve">Ryan, R. M., Fauth, R. C., &amp; Brooks-Gunn, J. (2006). Childhood poverty: Implications for school readiness and early childhood education. In B. Spodek &amp; O. N. Saracho (Eds.), </w:t>
      </w:r>
      <w:r w:rsidRPr="00FD28D7">
        <w:rPr>
          <w:i/>
          <w:noProof/>
        </w:rPr>
        <w:t>Handbook of research on the education of young children</w:t>
      </w:r>
      <w:r w:rsidRPr="00FD28D7">
        <w:rPr>
          <w:noProof/>
        </w:rPr>
        <w:t xml:space="preserve"> (pp. 323-346). Mahwah, NJ: Lawrence Erlbaum Associates.</w:t>
      </w:r>
    </w:p>
    <w:p w14:paraId="5BAFD915" w14:textId="77777777" w:rsidR="00027F7D" w:rsidRPr="00FD28D7" w:rsidRDefault="00027F7D" w:rsidP="00C35B74">
      <w:pPr>
        <w:pStyle w:val="EndNoteBibliography"/>
        <w:spacing w:line="480" w:lineRule="auto"/>
        <w:ind w:left="720" w:hanging="720"/>
        <w:rPr>
          <w:noProof/>
        </w:rPr>
      </w:pPr>
      <w:r w:rsidRPr="00FD28D7">
        <w:rPr>
          <w:noProof/>
        </w:rPr>
        <w:t xml:space="preserve">Shonkoff, J. P., Boyce, W. T., &amp; McEwen, B. S. (2009). Neuroscience, molecular biology, and the childhood roots of health disparities: building a new framework for health promotion and disease prevention. </w:t>
      </w:r>
      <w:r w:rsidRPr="00FD28D7">
        <w:rPr>
          <w:i/>
          <w:noProof/>
        </w:rPr>
        <w:t>Jama, 301</w:t>
      </w:r>
      <w:r w:rsidRPr="00FD28D7">
        <w:rPr>
          <w:noProof/>
        </w:rPr>
        <w:t xml:space="preserve">(21), 2252-2259. </w:t>
      </w:r>
    </w:p>
    <w:p w14:paraId="0427DB84" w14:textId="77777777" w:rsidR="00027F7D" w:rsidRDefault="00027F7D" w:rsidP="00C35B74">
      <w:pPr>
        <w:pStyle w:val="EndNoteBibliography"/>
        <w:spacing w:line="480" w:lineRule="auto"/>
        <w:ind w:left="720" w:hanging="720"/>
        <w:rPr>
          <w:noProof/>
        </w:rPr>
      </w:pPr>
      <w:r w:rsidRPr="00FD28D7">
        <w:rPr>
          <w:noProof/>
        </w:rPr>
        <w:t xml:space="preserve">Snow, K. L. (2006). Measuring school readiness: Conceptual and practical considerations. </w:t>
      </w:r>
      <w:r w:rsidRPr="00FD28D7">
        <w:rPr>
          <w:i/>
          <w:noProof/>
        </w:rPr>
        <w:t>Early Education and Development, 17</w:t>
      </w:r>
      <w:r w:rsidRPr="00FD28D7">
        <w:rPr>
          <w:noProof/>
        </w:rPr>
        <w:t xml:space="preserve">(1), 7-41. </w:t>
      </w:r>
    </w:p>
    <w:p w14:paraId="081D051D" w14:textId="77777777" w:rsidR="00372C08" w:rsidRPr="00FD28D7" w:rsidRDefault="00372C08" w:rsidP="00372C08">
      <w:pPr>
        <w:pStyle w:val="EndNoteBibliography"/>
        <w:spacing w:line="480" w:lineRule="auto"/>
        <w:ind w:left="720" w:hanging="720"/>
        <w:rPr>
          <w:noProof/>
        </w:rPr>
      </w:pPr>
      <w:r>
        <w:rPr>
          <w:noProof/>
        </w:rPr>
        <w:t xml:space="preserve">Stipek, D. J. &amp; Ryan, R. H. (1997). Economically disadvantaged preschoolers: Ready to learn butfurther to go. </w:t>
      </w:r>
      <w:r w:rsidRPr="00887F7C">
        <w:rPr>
          <w:i/>
          <w:noProof/>
        </w:rPr>
        <w:t>Developmental Psychology, 33</w:t>
      </w:r>
      <w:r>
        <w:rPr>
          <w:noProof/>
        </w:rPr>
        <w:t>, 711-723.</w:t>
      </w:r>
    </w:p>
    <w:p w14:paraId="5C59D8D0" w14:textId="77777777" w:rsidR="00027F7D" w:rsidRPr="00FD28D7" w:rsidRDefault="00027F7D" w:rsidP="00C35B74">
      <w:pPr>
        <w:pStyle w:val="EndNoteBibliography"/>
        <w:spacing w:line="480" w:lineRule="auto"/>
        <w:ind w:left="720" w:hanging="720"/>
        <w:rPr>
          <w:noProof/>
        </w:rPr>
      </w:pPr>
      <w:r w:rsidRPr="00FD28D7">
        <w:rPr>
          <w:noProof/>
        </w:rPr>
        <w:t xml:space="preserve">Stowe, R. M., Arnold, D. H., &amp; Ortiz, C. (1999). Gender differences in the relationship of language development to disruptive behavior and peer relationships in preschoolers. </w:t>
      </w:r>
      <w:r w:rsidRPr="00FD28D7">
        <w:rPr>
          <w:i/>
          <w:noProof/>
        </w:rPr>
        <w:t>Journal of Applied Developmental Psychology, 20</w:t>
      </w:r>
      <w:r w:rsidRPr="00FD28D7">
        <w:rPr>
          <w:noProof/>
        </w:rPr>
        <w:t xml:space="preserve">(4), 521-536. </w:t>
      </w:r>
    </w:p>
    <w:p w14:paraId="7DDF9500" w14:textId="77777777" w:rsidR="00027F7D" w:rsidRPr="00FD28D7" w:rsidRDefault="00027F7D" w:rsidP="00C35B74">
      <w:pPr>
        <w:pStyle w:val="EndNoteBibliography"/>
        <w:spacing w:line="480" w:lineRule="auto"/>
        <w:ind w:left="720" w:hanging="720"/>
        <w:rPr>
          <w:noProof/>
        </w:rPr>
      </w:pPr>
      <w:r w:rsidRPr="00FD28D7">
        <w:rPr>
          <w:noProof/>
        </w:rPr>
        <w:t xml:space="preserve">Terry, R., &amp; Coie, J. D. (1991). A comparison of methods for defining sociometric status among children. </w:t>
      </w:r>
      <w:r w:rsidRPr="00FD28D7">
        <w:rPr>
          <w:i/>
          <w:noProof/>
        </w:rPr>
        <w:t>Developmental Psychology, 27</w:t>
      </w:r>
      <w:r w:rsidRPr="00FD28D7">
        <w:rPr>
          <w:noProof/>
        </w:rPr>
        <w:t xml:space="preserve">(5), 867-880. </w:t>
      </w:r>
    </w:p>
    <w:p w14:paraId="0564215B" w14:textId="77777777" w:rsidR="00027F7D" w:rsidRPr="00FD28D7" w:rsidRDefault="00027F7D" w:rsidP="00C35B74">
      <w:pPr>
        <w:pStyle w:val="EndNoteBibliography"/>
        <w:spacing w:line="480" w:lineRule="auto"/>
        <w:ind w:left="720" w:hanging="720"/>
        <w:rPr>
          <w:noProof/>
        </w:rPr>
      </w:pPr>
      <w:r w:rsidRPr="00FD28D7">
        <w:rPr>
          <w:noProof/>
        </w:rPr>
        <w:t xml:space="preserve">Thomson, K. C., Guhn, M., Richardson, C. G., Ark, T. K., &amp; Shoveller, J. (2017). Profiles of children's social–emotional health at school entry and associated income, gender and language inequalities: a cross-sectional population-based study in British Columbia, Canada. </w:t>
      </w:r>
      <w:r w:rsidRPr="00FD28D7">
        <w:rPr>
          <w:i/>
          <w:noProof/>
        </w:rPr>
        <w:t>BMJ open, 7</w:t>
      </w:r>
      <w:r w:rsidRPr="00FD28D7">
        <w:rPr>
          <w:noProof/>
        </w:rPr>
        <w:t xml:space="preserve">(7), e015353. </w:t>
      </w:r>
    </w:p>
    <w:p w14:paraId="6D605960" w14:textId="77777777" w:rsidR="00027F7D" w:rsidRPr="00FD28D7" w:rsidRDefault="00027F7D" w:rsidP="00C35B74">
      <w:pPr>
        <w:pStyle w:val="EndNoteBibliography"/>
        <w:spacing w:line="480" w:lineRule="auto"/>
        <w:ind w:left="720" w:hanging="720"/>
        <w:rPr>
          <w:noProof/>
        </w:rPr>
      </w:pPr>
      <w:r w:rsidRPr="00FD28D7">
        <w:rPr>
          <w:noProof/>
        </w:rPr>
        <w:t xml:space="preserve">Tomblin, J. B., Records, N. L., Buckwalter, P., Zhang, X., Smith, E., &amp; O'Brien, M. (1997). Prevalence of specific language impairment in kindergarten children. </w:t>
      </w:r>
      <w:r w:rsidRPr="00FD28D7">
        <w:rPr>
          <w:i/>
          <w:noProof/>
        </w:rPr>
        <w:t>J Speech Lang Hear Res, 40</w:t>
      </w:r>
      <w:r w:rsidRPr="00FD28D7">
        <w:rPr>
          <w:noProof/>
        </w:rPr>
        <w:t xml:space="preserve">(6), 1245-1260. </w:t>
      </w:r>
    </w:p>
    <w:p w14:paraId="2451B65B" w14:textId="77777777" w:rsidR="00027F7D" w:rsidRPr="00FD28D7" w:rsidRDefault="00027F7D" w:rsidP="00C35B74">
      <w:pPr>
        <w:pStyle w:val="EndNoteBibliography"/>
        <w:spacing w:line="480" w:lineRule="auto"/>
        <w:ind w:left="720" w:hanging="720"/>
        <w:rPr>
          <w:noProof/>
        </w:rPr>
      </w:pPr>
      <w:r w:rsidRPr="00FD28D7">
        <w:rPr>
          <w:noProof/>
        </w:rPr>
        <w:t xml:space="preserve">Voyer, D., &amp; Voyer, S. D. (2014). Gender differences in scholastic achievement: A meta-analysis. </w:t>
      </w:r>
      <w:r w:rsidRPr="00FD28D7">
        <w:rPr>
          <w:i/>
          <w:noProof/>
        </w:rPr>
        <w:t>Psychological Bulletin, 140</w:t>
      </w:r>
      <w:r w:rsidRPr="00FD28D7">
        <w:rPr>
          <w:noProof/>
        </w:rPr>
        <w:t xml:space="preserve">(4), 1174. </w:t>
      </w:r>
    </w:p>
    <w:p w14:paraId="6DCD8BE9" w14:textId="77777777" w:rsidR="00027F7D" w:rsidRPr="00FD28D7" w:rsidRDefault="00027F7D" w:rsidP="00C35B74">
      <w:pPr>
        <w:pStyle w:val="EndNoteBibliography"/>
        <w:spacing w:line="480" w:lineRule="auto"/>
        <w:ind w:left="720" w:hanging="720"/>
        <w:rPr>
          <w:noProof/>
        </w:rPr>
      </w:pPr>
      <w:r w:rsidRPr="00FD28D7">
        <w:rPr>
          <w:noProof/>
        </w:rPr>
        <w:t xml:space="preserve">Wessells, M. G. (2015). Commentary: A social environment approach to promotive and protective practice in childhood resilience–reflections on Ungar (2014). </w:t>
      </w:r>
      <w:r w:rsidRPr="00FD28D7">
        <w:rPr>
          <w:i/>
          <w:noProof/>
        </w:rPr>
        <w:t>Journal of Child Psychology and Psychiatry, 56</w:t>
      </w:r>
      <w:r w:rsidRPr="00FD28D7">
        <w:rPr>
          <w:noProof/>
        </w:rPr>
        <w:t xml:space="preserve">(1), 18-20. </w:t>
      </w:r>
    </w:p>
    <w:p w14:paraId="017D5519" w14:textId="77777777" w:rsidR="00027F7D" w:rsidRPr="00FD28D7" w:rsidRDefault="00027F7D" w:rsidP="00C35B74">
      <w:pPr>
        <w:pStyle w:val="EndNoteBibliography"/>
        <w:spacing w:line="480" w:lineRule="auto"/>
        <w:ind w:left="720" w:hanging="720"/>
        <w:rPr>
          <w:noProof/>
        </w:rPr>
      </w:pPr>
      <w:r w:rsidRPr="00FD28D7">
        <w:rPr>
          <w:noProof/>
        </w:rPr>
        <w:t xml:space="preserve">Whalen, D. J., Luby, J. L., Tilman, R., Mike, A., Barch, D., &amp; Belden, A. C. (2016). Latent class profiles of depressive symptoms from early to middle childhood: predictors, outcomes, and gender effects. </w:t>
      </w:r>
      <w:r w:rsidRPr="00FD28D7">
        <w:rPr>
          <w:i/>
          <w:noProof/>
        </w:rPr>
        <w:t>Journal of Child Psychology and Psychiatry, 57</w:t>
      </w:r>
      <w:r w:rsidRPr="00FD28D7">
        <w:rPr>
          <w:noProof/>
        </w:rPr>
        <w:t xml:space="preserve">(7), 794-804. </w:t>
      </w:r>
    </w:p>
    <w:p w14:paraId="40363F7A" w14:textId="77777777" w:rsidR="00027F7D" w:rsidRPr="00FD28D7" w:rsidRDefault="00027F7D" w:rsidP="00C35B74">
      <w:pPr>
        <w:widowControl w:val="0"/>
        <w:autoSpaceDE w:val="0"/>
        <w:autoSpaceDN w:val="0"/>
        <w:adjustRightInd w:val="0"/>
        <w:spacing w:line="480" w:lineRule="auto"/>
        <w:ind w:left="720" w:hanging="720"/>
        <w:rPr>
          <w:lang w:val="en-US"/>
        </w:rPr>
      </w:pPr>
      <w:r w:rsidRPr="00FD28D7">
        <w:rPr>
          <w:lang w:val="en-US"/>
        </w:rPr>
        <w:t xml:space="preserve">Wiig, E. H., Secord, W., &amp; </w:t>
      </w:r>
      <w:proofErr w:type="spellStart"/>
      <w:r w:rsidRPr="00FD28D7">
        <w:rPr>
          <w:lang w:val="en-US"/>
        </w:rPr>
        <w:t>Semel</w:t>
      </w:r>
      <w:proofErr w:type="spellEnd"/>
      <w:r w:rsidRPr="00FD28D7">
        <w:rPr>
          <w:lang w:val="en-US"/>
        </w:rPr>
        <w:t xml:space="preserve">, E. M. (2004). </w:t>
      </w:r>
      <w:r w:rsidRPr="00FD28D7">
        <w:rPr>
          <w:i/>
          <w:iCs/>
          <w:lang w:val="en-US"/>
        </w:rPr>
        <w:t>CELF preschool 2: clinical evaluation of language fundamentals preschool</w:t>
      </w:r>
      <w:r w:rsidRPr="00FD28D7">
        <w:rPr>
          <w:lang w:val="en-US"/>
        </w:rPr>
        <w:t>: Pearson/</w:t>
      </w:r>
      <w:proofErr w:type="spellStart"/>
      <w:r w:rsidRPr="00FD28D7">
        <w:rPr>
          <w:lang w:val="en-US"/>
        </w:rPr>
        <w:t>PsychCorp</w:t>
      </w:r>
      <w:proofErr w:type="spellEnd"/>
      <w:r w:rsidRPr="00FD28D7">
        <w:rPr>
          <w:lang w:val="en-US"/>
        </w:rPr>
        <w:t>.</w:t>
      </w:r>
    </w:p>
    <w:p w14:paraId="7C2E0947" w14:textId="77777777" w:rsidR="00027F7D" w:rsidRPr="00FD28D7" w:rsidRDefault="00027F7D" w:rsidP="00BB78C4">
      <w:pPr>
        <w:pStyle w:val="EndNoteBibliography"/>
        <w:ind w:left="720" w:hanging="720"/>
        <w:rPr>
          <w:noProof/>
        </w:rPr>
      </w:pPr>
    </w:p>
    <w:p w14:paraId="0D26EBEC" w14:textId="69A26FF5" w:rsidR="00807A60" w:rsidRDefault="00807A60">
      <w:pPr>
        <w:rPr>
          <w:rFonts w:eastAsia="Times New Roman"/>
        </w:rPr>
      </w:pPr>
      <w:r>
        <w:rPr>
          <w:rFonts w:eastAsia="Times New Roman"/>
        </w:rPr>
        <w:br w:type="page"/>
      </w:r>
    </w:p>
    <w:p w14:paraId="17ADF30E" w14:textId="77777777" w:rsidR="00027F7D" w:rsidRDefault="00027F7D">
      <w:pPr>
        <w:spacing w:line="360" w:lineRule="auto"/>
        <w:rPr>
          <w:rFonts w:eastAsia="Times New Roman"/>
        </w:rPr>
      </w:pPr>
    </w:p>
    <w:p w14:paraId="07522CE4" w14:textId="77777777" w:rsidR="00807A60" w:rsidRDefault="00807A60" w:rsidP="00807A60">
      <w:pPr>
        <w:spacing w:line="360" w:lineRule="auto"/>
        <w:rPr>
          <w:rFonts w:eastAsia="Times New Roman"/>
        </w:rPr>
      </w:pPr>
      <w:r>
        <w:rPr>
          <w:rFonts w:eastAsia="Times New Roman"/>
        </w:rPr>
        <w:t>Table 1. Means (standard deviations in parentheses) for total sample, and boys and girls separately across all study variables</w:t>
      </w:r>
    </w:p>
    <w:tbl>
      <w:tblPr>
        <w:tblW w:w="779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35"/>
        <w:gridCol w:w="1134"/>
        <w:gridCol w:w="1134"/>
        <w:gridCol w:w="1134"/>
        <w:gridCol w:w="1560"/>
      </w:tblGrid>
      <w:tr w:rsidR="00807A60" w14:paraId="61F1FE42" w14:textId="77777777" w:rsidTr="00807A60">
        <w:trPr>
          <w:trHeight w:val="840"/>
        </w:trPr>
        <w:tc>
          <w:tcPr>
            <w:tcW w:w="2835" w:type="dxa"/>
            <w:tcBorders>
              <w:top w:val="single" w:sz="7" w:space="0" w:color="000000"/>
              <w:left w:val="nil"/>
              <w:bottom w:val="single" w:sz="7" w:space="0" w:color="000000"/>
              <w:right w:val="nil"/>
            </w:tcBorders>
            <w:tcMar>
              <w:top w:w="60" w:type="dxa"/>
              <w:left w:w="100" w:type="dxa"/>
              <w:bottom w:w="60" w:type="dxa"/>
              <w:right w:w="100" w:type="dxa"/>
            </w:tcMar>
            <w:vAlign w:val="center"/>
          </w:tcPr>
          <w:p w14:paraId="7690E145" w14:textId="77777777" w:rsidR="00807A60" w:rsidRDefault="00807A60" w:rsidP="00807A60">
            <w:pPr>
              <w:jc w:val="center"/>
              <w:rPr>
                <w:rFonts w:eastAsia="Times New Roman"/>
                <w:sz w:val="22"/>
                <w:szCs w:val="22"/>
              </w:rPr>
            </w:pPr>
            <w:r>
              <w:rPr>
                <w:rFonts w:eastAsia="Times New Roman"/>
                <w:sz w:val="22"/>
                <w:szCs w:val="22"/>
              </w:rPr>
              <w:t>Measure</w:t>
            </w:r>
          </w:p>
        </w:tc>
        <w:tc>
          <w:tcPr>
            <w:tcW w:w="1134" w:type="dxa"/>
            <w:tcBorders>
              <w:top w:val="single" w:sz="7" w:space="0" w:color="000000"/>
              <w:left w:val="nil"/>
              <w:bottom w:val="single" w:sz="7" w:space="0" w:color="000000"/>
              <w:right w:val="nil"/>
            </w:tcBorders>
            <w:tcMar>
              <w:top w:w="60" w:type="dxa"/>
              <w:left w:w="100" w:type="dxa"/>
              <w:bottom w:w="60" w:type="dxa"/>
              <w:right w:w="100" w:type="dxa"/>
            </w:tcMar>
            <w:vAlign w:val="center"/>
          </w:tcPr>
          <w:p w14:paraId="2F1F07FB" w14:textId="77777777" w:rsidR="00807A60" w:rsidRDefault="00807A60" w:rsidP="00807A60">
            <w:pPr>
              <w:jc w:val="center"/>
              <w:rPr>
                <w:rFonts w:eastAsia="Times New Roman"/>
                <w:sz w:val="22"/>
                <w:szCs w:val="22"/>
              </w:rPr>
            </w:pPr>
            <w:r>
              <w:rPr>
                <w:rFonts w:eastAsia="Times New Roman"/>
                <w:sz w:val="22"/>
                <w:szCs w:val="22"/>
              </w:rPr>
              <w:t>Total</w:t>
            </w:r>
          </w:p>
          <w:p w14:paraId="54820206" w14:textId="77777777" w:rsidR="00807A60" w:rsidRDefault="00807A60" w:rsidP="00807A60">
            <w:pPr>
              <w:jc w:val="center"/>
              <w:rPr>
                <w:rFonts w:eastAsia="Times New Roman"/>
                <w:sz w:val="22"/>
                <w:szCs w:val="22"/>
              </w:rPr>
            </w:pPr>
            <w:r>
              <w:rPr>
                <w:rFonts w:eastAsia="Times New Roman"/>
                <w:i/>
                <w:sz w:val="22"/>
                <w:szCs w:val="22"/>
              </w:rPr>
              <w:t>n</w:t>
            </w:r>
            <w:r>
              <w:rPr>
                <w:rFonts w:eastAsia="Times New Roman"/>
                <w:sz w:val="22"/>
                <w:szCs w:val="22"/>
              </w:rPr>
              <w:t xml:space="preserve"> = 242</w:t>
            </w:r>
          </w:p>
        </w:tc>
        <w:tc>
          <w:tcPr>
            <w:tcW w:w="1134" w:type="dxa"/>
            <w:tcBorders>
              <w:top w:val="single" w:sz="7" w:space="0" w:color="000000"/>
              <w:left w:val="nil"/>
              <w:bottom w:val="single" w:sz="7" w:space="0" w:color="000000"/>
              <w:right w:val="nil"/>
            </w:tcBorders>
            <w:tcMar>
              <w:top w:w="60" w:type="dxa"/>
              <w:left w:w="100" w:type="dxa"/>
              <w:bottom w:w="60" w:type="dxa"/>
              <w:right w:w="100" w:type="dxa"/>
            </w:tcMar>
            <w:vAlign w:val="center"/>
          </w:tcPr>
          <w:p w14:paraId="1A9471DB" w14:textId="77777777" w:rsidR="00807A60" w:rsidRDefault="00807A60" w:rsidP="00807A60">
            <w:pPr>
              <w:jc w:val="center"/>
              <w:rPr>
                <w:rFonts w:eastAsia="Times New Roman"/>
                <w:sz w:val="22"/>
                <w:szCs w:val="22"/>
              </w:rPr>
            </w:pPr>
            <w:r>
              <w:rPr>
                <w:rFonts w:eastAsia="Times New Roman"/>
                <w:sz w:val="22"/>
                <w:szCs w:val="22"/>
              </w:rPr>
              <w:t>Boys</w:t>
            </w:r>
          </w:p>
          <w:p w14:paraId="4BE09196" w14:textId="77777777" w:rsidR="00807A60" w:rsidRDefault="00807A60" w:rsidP="00807A60">
            <w:pPr>
              <w:jc w:val="center"/>
              <w:rPr>
                <w:rFonts w:eastAsia="Times New Roman"/>
                <w:sz w:val="22"/>
                <w:szCs w:val="22"/>
              </w:rPr>
            </w:pPr>
            <w:r>
              <w:rPr>
                <w:rFonts w:eastAsia="Times New Roman"/>
                <w:i/>
                <w:sz w:val="22"/>
                <w:szCs w:val="22"/>
              </w:rPr>
              <w:t>n</w:t>
            </w:r>
            <w:r>
              <w:rPr>
                <w:rFonts w:eastAsia="Times New Roman"/>
                <w:sz w:val="22"/>
                <w:szCs w:val="22"/>
              </w:rPr>
              <w:t xml:space="preserve"> = 128</w:t>
            </w:r>
          </w:p>
        </w:tc>
        <w:tc>
          <w:tcPr>
            <w:tcW w:w="1134" w:type="dxa"/>
            <w:tcBorders>
              <w:top w:val="single" w:sz="7" w:space="0" w:color="000000"/>
              <w:left w:val="nil"/>
              <w:bottom w:val="single" w:sz="7" w:space="0" w:color="000000"/>
              <w:right w:val="nil"/>
            </w:tcBorders>
            <w:tcMar>
              <w:top w:w="60" w:type="dxa"/>
              <w:left w:w="100" w:type="dxa"/>
              <w:bottom w:w="60" w:type="dxa"/>
              <w:right w:w="100" w:type="dxa"/>
            </w:tcMar>
            <w:vAlign w:val="center"/>
          </w:tcPr>
          <w:p w14:paraId="013DF5B9" w14:textId="77777777" w:rsidR="00807A60" w:rsidRDefault="00807A60" w:rsidP="00807A60">
            <w:pPr>
              <w:jc w:val="center"/>
              <w:rPr>
                <w:rFonts w:eastAsia="Times New Roman"/>
                <w:sz w:val="22"/>
                <w:szCs w:val="22"/>
              </w:rPr>
            </w:pPr>
            <w:r>
              <w:rPr>
                <w:rFonts w:eastAsia="Times New Roman"/>
                <w:sz w:val="22"/>
                <w:szCs w:val="22"/>
              </w:rPr>
              <w:t>Girls</w:t>
            </w:r>
          </w:p>
          <w:p w14:paraId="41085F99" w14:textId="77777777" w:rsidR="00807A60" w:rsidRDefault="00807A60" w:rsidP="00807A60">
            <w:pPr>
              <w:jc w:val="center"/>
              <w:rPr>
                <w:rFonts w:eastAsia="Times New Roman"/>
                <w:sz w:val="22"/>
                <w:szCs w:val="22"/>
              </w:rPr>
            </w:pPr>
            <w:r>
              <w:rPr>
                <w:rFonts w:eastAsia="Times New Roman"/>
                <w:i/>
                <w:sz w:val="22"/>
                <w:szCs w:val="22"/>
              </w:rPr>
              <w:t>n</w:t>
            </w:r>
            <w:r>
              <w:rPr>
                <w:rFonts w:eastAsia="Times New Roman"/>
                <w:sz w:val="22"/>
                <w:szCs w:val="22"/>
              </w:rPr>
              <w:t xml:space="preserve"> = 110</w:t>
            </w:r>
          </w:p>
        </w:tc>
        <w:tc>
          <w:tcPr>
            <w:tcW w:w="1560" w:type="dxa"/>
            <w:tcBorders>
              <w:top w:val="single" w:sz="7" w:space="0" w:color="000000"/>
              <w:left w:val="nil"/>
              <w:bottom w:val="single" w:sz="7" w:space="0" w:color="000000"/>
              <w:right w:val="nil"/>
            </w:tcBorders>
            <w:tcMar>
              <w:top w:w="60" w:type="dxa"/>
              <w:left w:w="100" w:type="dxa"/>
              <w:bottom w:w="60" w:type="dxa"/>
              <w:right w:w="100" w:type="dxa"/>
            </w:tcMar>
            <w:vAlign w:val="center"/>
          </w:tcPr>
          <w:p w14:paraId="79483C8F" w14:textId="77777777" w:rsidR="00807A60" w:rsidRDefault="00807A60" w:rsidP="00807A60">
            <w:pPr>
              <w:jc w:val="center"/>
              <w:rPr>
                <w:rFonts w:eastAsia="Times New Roman"/>
                <w:sz w:val="22"/>
                <w:szCs w:val="22"/>
              </w:rPr>
            </w:pPr>
            <w:r>
              <w:rPr>
                <w:rFonts w:eastAsia="Times New Roman"/>
                <w:i/>
                <w:sz w:val="22"/>
                <w:szCs w:val="22"/>
              </w:rPr>
              <w:t>t</w:t>
            </w:r>
            <w:r>
              <w:rPr>
                <w:rFonts w:eastAsia="Times New Roman"/>
                <w:sz w:val="22"/>
                <w:szCs w:val="22"/>
              </w:rPr>
              <w:t>-value</w:t>
            </w:r>
          </w:p>
          <w:p w14:paraId="6348264B" w14:textId="77777777" w:rsidR="00807A60" w:rsidRDefault="00807A60" w:rsidP="00807A60">
            <w:pPr>
              <w:jc w:val="center"/>
              <w:rPr>
                <w:rFonts w:eastAsia="Times New Roman"/>
                <w:sz w:val="22"/>
                <w:szCs w:val="22"/>
              </w:rPr>
            </w:pPr>
            <w:r>
              <w:rPr>
                <w:rFonts w:eastAsia="Times New Roman"/>
                <w:sz w:val="22"/>
                <w:szCs w:val="22"/>
              </w:rPr>
              <w:t>(sex comparison)</w:t>
            </w:r>
          </w:p>
        </w:tc>
      </w:tr>
      <w:tr w:rsidR="00807A60" w14:paraId="2E750A0C" w14:textId="77777777" w:rsidTr="0053733A">
        <w:trPr>
          <w:trHeight w:val="560"/>
        </w:trPr>
        <w:tc>
          <w:tcPr>
            <w:tcW w:w="2835" w:type="dxa"/>
            <w:tcBorders>
              <w:top w:val="nil"/>
              <w:left w:val="nil"/>
              <w:bottom w:val="nil"/>
              <w:right w:val="nil"/>
            </w:tcBorders>
            <w:tcMar>
              <w:top w:w="60" w:type="dxa"/>
              <w:left w:w="100" w:type="dxa"/>
              <w:bottom w:w="60" w:type="dxa"/>
              <w:right w:w="100" w:type="dxa"/>
            </w:tcMar>
            <w:vAlign w:val="center"/>
          </w:tcPr>
          <w:p w14:paraId="1BB42337" w14:textId="77777777" w:rsidR="00807A60" w:rsidRDefault="00807A60" w:rsidP="00807A60">
            <w:pPr>
              <w:rPr>
                <w:rFonts w:eastAsia="Times New Roman"/>
                <w:sz w:val="22"/>
                <w:szCs w:val="22"/>
              </w:rPr>
            </w:pPr>
            <w:r>
              <w:rPr>
                <w:rFonts w:eastAsia="Times New Roman"/>
                <w:sz w:val="22"/>
                <w:szCs w:val="22"/>
              </w:rPr>
              <w:t>Age (months)</w:t>
            </w:r>
          </w:p>
        </w:tc>
        <w:tc>
          <w:tcPr>
            <w:tcW w:w="1134" w:type="dxa"/>
            <w:tcBorders>
              <w:top w:val="nil"/>
              <w:left w:val="nil"/>
              <w:bottom w:val="nil"/>
              <w:right w:val="nil"/>
            </w:tcBorders>
            <w:tcMar>
              <w:top w:w="60" w:type="dxa"/>
              <w:left w:w="100" w:type="dxa"/>
              <w:bottom w:w="60" w:type="dxa"/>
              <w:right w:w="100" w:type="dxa"/>
            </w:tcMar>
            <w:vAlign w:val="center"/>
          </w:tcPr>
          <w:p w14:paraId="68B7A468" w14:textId="77777777" w:rsidR="00807A60" w:rsidRDefault="00807A60" w:rsidP="00807A60">
            <w:pPr>
              <w:jc w:val="center"/>
              <w:rPr>
                <w:rFonts w:eastAsia="Times New Roman"/>
                <w:sz w:val="22"/>
                <w:szCs w:val="22"/>
              </w:rPr>
            </w:pPr>
            <w:r>
              <w:rPr>
                <w:rFonts w:eastAsia="Times New Roman"/>
                <w:sz w:val="22"/>
                <w:szCs w:val="22"/>
              </w:rPr>
              <w:t>61.13</w:t>
            </w:r>
          </w:p>
          <w:p w14:paraId="682B2928" w14:textId="77777777" w:rsidR="00807A60" w:rsidRDefault="00807A60" w:rsidP="00807A60">
            <w:pPr>
              <w:jc w:val="center"/>
              <w:rPr>
                <w:rFonts w:eastAsia="Times New Roman"/>
                <w:sz w:val="22"/>
                <w:szCs w:val="22"/>
              </w:rPr>
            </w:pPr>
            <w:r>
              <w:rPr>
                <w:rFonts w:eastAsia="Times New Roman"/>
                <w:sz w:val="22"/>
                <w:szCs w:val="22"/>
              </w:rPr>
              <w:t>(4.78)</w:t>
            </w:r>
          </w:p>
        </w:tc>
        <w:tc>
          <w:tcPr>
            <w:tcW w:w="1134" w:type="dxa"/>
            <w:tcBorders>
              <w:top w:val="nil"/>
              <w:left w:val="nil"/>
              <w:bottom w:val="nil"/>
              <w:right w:val="nil"/>
            </w:tcBorders>
            <w:tcMar>
              <w:top w:w="60" w:type="dxa"/>
              <w:left w:w="100" w:type="dxa"/>
              <w:bottom w:w="60" w:type="dxa"/>
              <w:right w:w="100" w:type="dxa"/>
            </w:tcMar>
            <w:vAlign w:val="center"/>
          </w:tcPr>
          <w:p w14:paraId="5AD6DBA4" w14:textId="77777777" w:rsidR="00807A60" w:rsidRDefault="00807A60" w:rsidP="00807A60">
            <w:pPr>
              <w:jc w:val="center"/>
              <w:rPr>
                <w:rFonts w:eastAsia="Times New Roman"/>
                <w:sz w:val="22"/>
                <w:szCs w:val="22"/>
              </w:rPr>
            </w:pPr>
            <w:r>
              <w:rPr>
                <w:rFonts w:eastAsia="Times New Roman"/>
                <w:sz w:val="22"/>
                <w:szCs w:val="22"/>
              </w:rPr>
              <w:t>61.72</w:t>
            </w:r>
          </w:p>
          <w:p w14:paraId="7FB502EF" w14:textId="77777777" w:rsidR="00807A60" w:rsidRDefault="00807A60" w:rsidP="00807A60">
            <w:pPr>
              <w:jc w:val="center"/>
              <w:rPr>
                <w:rFonts w:eastAsia="Times New Roman"/>
                <w:sz w:val="22"/>
                <w:szCs w:val="22"/>
              </w:rPr>
            </w:pPr>
            <w:r>
              <w:rPr>
                <w:rFonts w:eastAsia="Times New Roman"/>
                <w:sz w:val="22"/>
                <w:szCs w:val="22"/>
              </w:rPr>
              <w:t>(4.81)</w:t>
            </w:r>
          </w:p>
        </w:tc>
        <w:tc>
          <w:tcPr>
            <w:tcW w:w="1134" w:type="dxa"/>
            <w:tcBorders>
              <w:top w:val="nil"/>
              <w:left w:val="nil"/>
              <w:bottom w:val="nil"/>
              <w:right w:val="nil"/>
            </w:tcBorders>
            <w:tcMar>
              <w:top w:w="60" w:type="dxa"/>
              <w:left w:w="100" w:type="dxa"/>
              <w:bottom w:w="60" w:type="dxa"/>
              <w:right w:w="100" w:type="dxa"/>
            </w:tcMar>
            <w:vAlign w:val="center"/>
          </w:tcPr>
          <w:p w14:paraId="5E3E7B4A" w14:textId="77777777" w:rsidR="00807A60" w:rsidRDefault="00807A60" w:rsidP="00807A60">
            <w:pPr>
              <w:jc w:val="center"/>
              <w:rPr>
                <w:rFonts w:eastAsia="Times New Roman"/>
                <w:sz w:val="22"/>
                <w:szCs w:val="22"/>
              </w:rPr>
            </w:pPr>
            <w:r>
              <w:rPr>
                <w:rFonts w:eastAsia="Times New Roman"/>
                <w:sz w:val="22"/>
                <w:szCs w:val="22"/>
              </w:rPr>
              <w:t>60.44</w:t>
            </w:r>
          </w:p>
          <w:p w14:paraId="1E0CB873" w14:textId="77777777" w:rsidR="00807A60" w:rsidRDefault="00807A60" w:rsidP="00807A60">
            <w:pPr>
              <w:jc w:val="center"/>
              <w:rPr>
                <w:rFonts w:eastAsia="Times New Roman"/>
                <w:sz w:val="22"/>
                <w:szCs w:val="22"/>
              </w:rPr>
            </w:pPr>
            <w:r>
              <w:rPr>
                <w:rFonts w:eastAsia="Times New Roman"/>
                <w:sz w:val="22"/>
                <w:szCs w:val="22"/>
              </w:rPr>
              <w:t>(4.66)</w:t>
            </w:r>
          </w:p>
        </w:tc>
        <w:tc>
          <w:tcPr>
            <w:tcW w:w="1560" w:type="dxa"/>
            <w:tcBorders>
              <w:top w:val="nil"/>
              <w:left w:val="nil"/>
              <w:bottom w:val="nil"/>
              <w:right w:val="nil"/>
            </w:tcBorders>
            <w:tcMar>
              <w:top w:w="60" w:type="dxa"/>
              <w:left w:w="100" w:type="dxa"/>
              <w:bottom w:w="60" w:type="dxa"/>
              <w:right w:w="100" w:type="dxa"/>
            </w:tcMar>
            <w:vAlign w:val="center"/>
          </w:tcPr>
          <w:p w14:paraId="690CE333" w14:textId="77777777" w:rsidR="00807A60" w:rsidRDefault="00807A60" w:rsidP="0053733A">
            <w:pPr>
              <w:jc w:val="center"/>
              <w:rPr>
                <w:rFonts w:eastAsia="Times New Roman"/>
                <w:sz w:val="22"/>
                <w:szCs w:val="22"/>
              </w:rPr>
            </w:pPr>
            <w:r>
              <w:rPr>
                <w:rFonts w:eastAsia="Times New Roman"/>
                <w:sz w:val="22"/>
                <w:szCs w:val="22"/>
              </w:rPr>
              <w:t>2.07*</w:t>
            </w:r>
          </w:p>
        </w:tc>
      </w:tr>
      <w:tr w:rsidR="00807A60" w14:paraId="6C4B713B" w14:textId="77777777" w:rsidTr="0053733A">
        <w:trPr>
          <w:trHeight w:val="560"/>
        </w:trPr>
        <w:tc>
          <w:tcPr>
            <w:tcW w:w="2835" w:type="dxa"/>
            <w:tcBorders>
              <w:top w:val="nil"/>
              <w:left w:val="nil"/>
              <w:bottom w:val="nil"/>
              <w:right w:val="nil"/>
            </w:tcBorders>
            <w:tcMar>
              <w:top w:w="60" w:type="dxa"/>
              <w:left w:w="100" w:type="dxa"/>
              <w:bottom w:w="60" w:type="dxa"/>
              <w:right w:w="100" w:type="dxa"/>
            </w:tcMar>
            <w:vAlign w:val="center"/>
          </w:tcPr>
          <w:p w14:paraId="5B0F4520" w14:textId="77777777" w:rsidR="00807A60" w:rsidRDefault="00807A60" w:rsidP="00807A60">
            <w:pPr>
              <w:rPr>
                <w:rFonts w:eastAsia="Times New Roman"/>
                <w:sz w:val="22"/>
                <w:szCs w:val="22"/>
              </w:rPr>
            </w:pPr>
            <w:r>
              <w:rPr>
                <w:rFonts w:eastAsia="Times New Roman"/>
                <w:sz w:val="22"/>
                <w:szCs w:val="22"/>
              </w:rPr>
              <w:t>Language ability</w:t>
            </w:r>
          </w:p>
        </w:tc>
        <w:tc>
          <w:tcPr>
            <w:tcW w:w="1134" w:type="dxa"/>
            <w:tcBorders>
              <w:top w:val="nil"/>
              <w:left w:val="nil"/>
              <w:bottom w:val="nil"/>
              <w:right w:val="nil"/>
            </w:tcBorders>
            <w:tcMar>
              <w:top w:w="60" w:type="dxa"/>
              <w:left w:w="100" w:type="dxa"/>
              <w:bottom w:w="60" w:type="dxa"/>
              <w:right w:w="100" w:type="dxa"/>
            </w:tcMar>
            <w:vAlign w:val="center"/>
          </w:tcPr>
          <w:p w14:paraId="73DBC380" w14:textId="77777777" w:rsidR="00807A60" w:rsidRDefault="00807A60" w:rsidP="00807A60">
            <w:pPr>
              <w:jc w:val="center"/>
              <w:rPr>
                <w:rFonts w:eastAsia="Times New Roman"/>
                <w:sz w:val="22"/>
                <w:szCs w:val="22"/>
              </w:rPr>
            </w:pPr>
            <w:r>
              <w:rPr>
                <w:rFonts w:eastAsia="Times New Roman"/>
                <w:sz w:val="22"/>
                <w:szCs w:val="22"/>
              </w:rPr>
              <w:t>37.34</w:t>
            </w:r>
          </w:p>
          <w:p w14:paraId="50E7EE66" w14:textId="77777777" w:rsidR="00807A60" w:rsidRDefault="00807A60" w:rsidP="00807A60">
            <w:pPr>
              <w:jc w:val="center"/>
              <w:rPr>
                <w:rFonts w:eastAsia="Times New Roman"/>
                <w:sz w:val="22"/>
                <w:szCs w:val="22"/>
              </w:rPr>
            </w:pPr>
            <w:r>
              <w:rPr>
                <w:rFonts w:eastAsia="Times New Roman"/>
                <w:sz w:val="22"/>
                <w:szCs w:val="22"/>
              </w:rPr>
              <w:t>(11.83)</w:t>
            </w:r>
          </w:p>
        </w:tc>
        <w:tc>
          <w:tcPr>
            <w:tcW w:w="1134" w:type="dxa"/>
            <w:tcBorders>
              <w:top w:val="nil"/>
              <w:left w:val="nil"/>
              <w:bottom w:val="nil"/>
              <w:right w:val="nil"/>
            </w:tcBorders>
            <w:tcMar>
              <w:top w:w="60" w:type="dxa"/>
              <w:left w:w="100" w:type="dxa"/>
              <w:bottom w:w="60" w:type="dxa"/>
              <w:right w:w="100" w:type="dxa"/>
            </w:tcMar>
            <w:vAlign w:val="center"/>
          </w:tcPr>
          <w:p w14:paraId="6CB1A448" w14:textId="77777777" w:rsidR="00807A60" w:rsidRDefault="00807A60" w:rsidP="00807A60">
            <w:pPr>
              <w:jc w:val="center"/>
              <w:rPr>
                <w:rFonts w:eastAsia="Times New Roman"/>
                <w:sz w:val="22"/>
                <w:szCs w:val="22"/>
              </w:rPr>
            </w:pPr>
            <w:r>
              <w:rPr>
                <w:rFonts w:eastAsia="Times New Roman"/>
                <w:sz w:val="22"/>
                <w:szCs w:val="22"/>
              </w:rPr>
              <w:t>35.22</w:t>
            </w:r>
          </w:p>
          <w:p w14:paraId="75F84734" w14:textId="77777777" w:rsidR="00807A60" w:rsidRDefault="00807A60" w:rsidP="00807A60">
            <w:pPr>
              <w:jc w:val="center"/>
              <w:rPr>
                <w:rFonts w:eastAsia="Times New Roman"/>
                <w:sz w:val="22"/>
                <w:szCs w:val="22"/>
              </w:rPr>
            </w:pPr>
            <w:r>
              <w:rPr>
                <w:rFonts w:eastAsia="Times New Roman"/>
                <w:sz w:val="22"/>
                <w:szCs w:val="22"/>
              </w:rPr>
              <w:t>(12.41)</w:t>
            </w:r>
          </w:p>
        </w:tc>
        <w:tc>
          <w:tcPr>
            <w:tcW w:w="1134" w:type="dxa"/>
            <w:tcBorders>
              <w:top w:val="nil"/>
              <w:left w:val="nil"/>
              <w:bottom w:val="nil"/>
              <w:right w:val="nil"/>
            </w:tcBorders>
            <w:tcMar>
              <w:top w:w="60" w:type="dxa"/>
              <w:left w:w="100" w:type="dxa"/>
              <w:bottom w:w="60" w:type="dxa"/>
              <w:right w:w="100" w:type="dxa"/>
            </w:tcMar>
            <w:vAlign w:val="center"/>
          </w:tcPr>
          <w:p w14:paraId="50D08934" w14:textId="77777777" w:rsidR="00807A60" w:rsidRDefault="00807A60" w:rsidP="00807A60">
            <w:pPr>
              <w:jc w:val="center"/>
              <w:rPr>
                <w:rFonts w:eastAsia="Times New Roman"/>
                <w:sz w:val="22"/>
                <w:szCs w:val="22"/>
              </w:rPr>
            </w:pPr>
            <w:r>
              <w:rPr>
                <w:rFonts w:eastAsia="Times New Roman"/>
                <w:sz w:val="22"/>
                <w:szCs w:val="22"/>
              </w:rPr>
              <w:t>39.80</w:t>
            </w:r>
          </w:p>
          <w:p w14:paraId="6B2C7EB5" w14:textId="77777777" w:rsidR="00807A60" w:rsidRDefault="00807A60" w:rsidP="00807A60">
            <w:pPr>
              <w:jc w:val="center"/>
              <w:rPr>
                <w:rFonts w:eastAsia="Times New Roman"/>
                <w:sz w:val="22"/>
                <w:szCs w:val="22"/>
              </w:rPr>
            </w:pPr>
            <w:r>
              <w:rPr>
                <w:rFonts w:eastAsia="Times New Roman"/>
                <w:sz w:val="22"/>
                <w:szCs w:val="22"/>
              </w:rPr>
              <w:t>(10.63)</w:t>
            </w:r>
          </w:p>
        </w:tc>
        <w:tc>
          <w:tcPr>
            <w:tcW w:w="1560" w:type="dxa"/>
            <w:tcBorders>
              <w:top w:val="nil"/>
              <w:left w:val="nil"/>
              <w:bottom w:val="nil"/>
              <w:right w:val="nil"/>
            </w:tcBorders>
            <w:tcMar>
              <w:top w:w="60" w:type="dxa"/>
              <w:left w:w="100" w:type="dxa"/>
              <w:bottom w:w="60" w:type="dxa"/>
              <w:right w:w="100" w:type="dxa"/>
            </w:tcMar>
            <w:vAlign w:val="center"/>
          </w:tcPr>
          <w:p w14:paraId="2505D865" w14:textId="77777777" w:rsidR="00807A60" w:rsidRDefault="00807A60" w:rsidP="0053733A">
            <w:pPr>
              <w:jc w:val="center"/>
              <w:rPr>
                <w:rFonts w:eastAsia="Times New Roman"/>
                <w:sz w:val="22"/>
                <w:szCs w:val="22"/>
              </w:rPr>
            </w:pPr>
            <w:r>
              <w:rPr>
                <w:rFonts w:eastAsia="Times New Roman"/>
                <w:sz w:val="22"/>
                <w:szCs w:val="22"/>
              </w:rPr>
              <w:t>-3.06**</w:t>
            </w:r>
          </w:p>
        </w:tc>
      </w:tr>
      <w:tr w:rsidR="00807A60" w14:paraId="5E389178" w14:textId="77777777" w:rsidTr="0053733A">
        <w:trPr>
          <w:trHeight w:val="420"/>
        </w:trPr>
        <w:tc>
          <w:tcPr>
            <w:tcW w:w="2835" w:type="dxa"/>
            <w:tcBorders>
              <w:top w:val="nil"/>
              <w:left w:val="nil"/>
              <w:bottom w:val="nil"/>
              <w:right w:val="nil"/>
            </w:tcBorders>
            <w:tcMar>
              <w:top w:w="60" w:type="dxa"/>
              <w:left w:w="100" w:type="dxa"/>
              <w:bottom w:w="60" w:type="dxa"/>
              <w:right w:w="100" w:type="dxa"/>
            </w:tcMar>
            <w:vAlign w:val="center"/>
          </w:tcPr>
          <w:p w14:paraId="2543DCC5" w14:textId="77777777" w:rsidR="00807A60" w:rsidRDefault="00807A60" w:rsidP="00807A60">
            <w:pPr>
              <w:rPr>
                <w:rFonts w:eastAsia="Times New Roman"/>
                <w:sz w:val="22"/>
                <w:szCs w:val="22"/>
              </w:rPr>
            </w:pPr>
            <w:r>
              <w:rPr>
                <w:rFonts w:eastAsia="Times New Roman"/>
                <w:sz w:val="22"/>
                <w:szCs w:val="22"/>
              </w:rPr>
              <w:t>School Readiness</w:t>
            </w:r>
          </w:p>
        </w:tc>
        <w:tc>
          <w:tcPr>
            <w:tcW w:w="1134" w:type="dxa"/>
            <w:tcBorders>
              <w:top w:val="nil"/>
              <w:left w:val="nil"/>
              <w:bottom w:val="nil"/>
              <w:right w:val="nil"/>
            </w:tcBorders>
            <w:tcMar>
              <w:top w:w="60" w:type="dxa"/>
              <w:left w:w="100" w:type="dxa"/>
              <w:bottom w:w="60" w:type="dxa"/>
              <w:right w:w="100" w:type="dxa"/>
            </w:tcMar>
            <w:vAlign w:val="center"/>
          </w:tcPr>
          <w:p w14:paraId="3779409E" w14:textId="77777777" w:rsidR="00807A60" w:rsidRDefault="00807A60" w:rsidP="00807A60">
            <w:pPr>
              <w:jc w:val="center"/>
              <w:rPr>
                <w:rFonts w:eastAsia="Times New Roman"/>
                <w:sz w:val="22"/>
                <w:szCs w:val="22"/>
              </w:rPr>
            </w:pPr>
          </w:p>
        </w:tc>
        <w:tc>
          <w:tcPr>
            <w:tcW w:w="1134" w:type="dxa"/>
            <w:tcBorders>
              <w:top w:val="nil"/>
              <w:left w:val="nil"/>
              <w:bottom w:val="nil"/>
              <w:right w:val="nil"/>
            </w:tcBorders>
            <w:tcMar>
              <w:top w:w="60" w:type="dxa"/>
              <w:left w:w="100" w:type="dxa"/>
              <w:bottom w:w="60" w:type="dxa"/>
              <w:right w:w="100" w:type="dxa"/>
            </w:tcMar>
            <w:vAlign w:val="center"/>
          </w:tcPr>
          <w:p w14:paraId="41B0B914" w14:textId="77777777" w:rsidR="00807A60" w:rsidRDefault="00807A60" w:rsidP="00807A60">
            <w:pPr>
              <w:jc w:val="center"/>
              <w:rPr>
                <w:rFonts w:eastAsia="Times New Roman"/>
                <w:sz w:val="22"/>
                <w:szCs w:val="22"/>
              </w:rPr>
            </w:pPr>
          </w:p>
        </w:tc>
        <w:tc>
          <w:tcPr>
            <w:tcW w:w="1134" w:type="dxa"/>
            <w:tcBorders>
              <w:top w:val="nil"/>
              <w:left w:val="nil"/>
              <w:bottom w:val="nil"/>
              <w:right w:val="nil"/>
            </w:tcBorders>
            <w:tcMar>
              <w:top w:w="60" w:type="dxa"/>
              <w:left w:w="100" w:type="dxa"/>
              <w:bottom w:w="60" w:type="dxa"/>
              <w:right w:w="100" w:type="dxa"/>
            </w:tcMar>
            <w:vAlign w:val="center"/>
          </w:tcPr>
          <w:p w14:paraId="33B8F947" w14:textId="77777777" w:rsidR="00807A60" w:rsidRDefault="00807A60" w:rsidP="00807A60">
            <w:pPr>
              <w:jc w:val="center"/>
              <w:rPr>
                <w:rFonts w:eastAsia="Times New Roman"/>
                <w:sz w:val="22"/>
                <w:szCs w:val="22"/>
              </w:rPr>
            </w:pPr>
          </w:p>
        </w:tc>
        <w:tc>
          <w:tcPr>
            <w:tcW w:w="1560" w:type="dxa"/>
            <w:tcBorders>
              <w:top w:val="nil"/>
              <w:left w:val="nil"/>
              <w:bottom w:val="nil"/>
              <w:right w:val="nil"/>
            </w:tcBorders>
            <w:tcMar>
              <w:top w:w="60" w:type="dxa"/>
              <w:left w:w="100" w:type="dxa"/>
              <w:bottom w:w="60" w:type="dxa"/>
              <w:right w:w="100" w:type="dxa"/>
            </w:tcMar>
            <w:vAlign w:val="center"/>
          </w:tcPr>
          <w:p w14:paraId="5A3FD76F" w14:textId="77777777" w:rsidR="00807A60" w:rsidRDefault="00807A60" w:rsidP="0053733A">
            <w:pPr>
              <w:jc w:val="center"/>
              <w:rPr>
                <w:rFonts w:eastAsia="Times New Roman"/>
                <w:sz w:val="22"/>
                <w:szCs w:val="22"/>
              </w:rPr>
            </w:pPr>
          </w:p>
        </w:tc>
      </w:tr>
      <w:tr w:rsidR="00807A60" w14:paraId="632F376B" w14:textId="77777777" w:rsidTr="0053733A">
        <w:trPr>
          <w:trHeight w:val="560"/>
        </w:trPr>
        <w:tc>
          <w:tcPr>
            <w:tcW w:w="2835" w:type="dxa"/>
            <w:tcBorders>
              <w:top w:val="nil"/>
              <w:left w:val="nil"/>
              <w:bottom w:val="nil"/>
              <w:right w:val="nil"/>
            </w:tcBorders>
            <w:tcMar>
              <w:top w:w="60" w:type="dxa"/>
              <w:left w:w="100" w:type="dxa"/>
              <w:bottom w:w="60" w:type="dxa"/>
              <w:right w:w="100" w:type="dxa"/>
            </w:tcMar>
            <w:vAlign w:val="center"/>
          </w:tcPr>
          <w:p w14:paraId="3B3181C2" w14:textId="77777777" w:rsidR="00807A60" w:rsidRDefault="00807A60" w:rsidP="00807A60">
            <w:pPr>
              <w:jc w:val="right"/>
              <w:rPr>
                <w:rFonts w:eastAsia="Times New Roman"/>
                <w:sz w:val="22"/>
                <w:szCs w:val="22"/>
              </w:rPr>
            </w:pPr>
            <w:r>
              <w:rPr>
                <w:rFonts w:eastAsia="Times New Roman"/>
                <w:sz w:val="22"/>
                <w:szCs w:val="22"/>
              </w:rPr>
              <w:t xml:space="preserve">Behavioural </w:t>
            </w:r>
            <w:proofErr w:type="spellStart"/>
            <w:r>
              <w:rPr>
                <w:rFonts w:eastAsia="Times New Roman"/>
                <w:sz w:val="22"/>
                <w:szCs w:val="22"/>
              </w:rPr>
              <w:t>adjustment</w:t>
            </w:r>
            <w:r>
              <w:rPr>
                <w:rFonts w:eastAsia="Times New Roman"/>
                <w:sz w:val="22"/>
                <w:szCs w:val="22"/>
                <w:vertAlign w:val="superscript"/>
              </w:rPr>
              <w:t>a</w:t>
            </w:r>
            <w:proofErr w:type="spellEnd"/>
          </w:p>
        </w:tc>
        <w:tc>
          <w:tcPr>
            <w:tcW w:w="1134" w:type="dxa"/>
            <w:tcBorders>
              <w:top w:val="nil"/>
              <w:left w:val="nil"/>
              <w:bottom w:val="nil"/>
              <w:right w:val="nil"/>
            </w:tcBorders>
            <w:tcMar>
              <w:top w:w="60" w:type="dxa"/>
              <w:left w:w="100" w:type="dxa"/>
              <w:bottom w:w="60" w:type="dxa"/>
              <w:right w:w="100" w:type="dxa"/>
            </w:tcMar>
            <w:vAlign w:val="center"/>
          </w:tcPr>
          <w:p w14:paraId="754BCF28" w14:textId="77777777" w:rsidR="00807A60" w:rsidRDefault="00807A60" w:rsidP="00807A60">
            <w:pPr>
              <w:jc w:val="center"/>
              <w:rPr>
                <w:rFonts w:eastAsia="Times New Roman"/>
                <w:sz w:val="22"/>
                <w:szCs w:val="22"/>
              </w:rPr>
            </w:pPr>
            <w:r>
              <w:rPr>
                <w:rFonts w:eastAsia="Times New Roman"/>
                <w:sz w:val="22"/>
                <w:szCs w:val="22"/>
              </w:rPr>
              <w:t>2.45</w:t>
            </w:r>
          </w:p>
          <w:p w14:paraId="78573002" w14:textId="77777777" w:rsidR="00807A60" w:rsidRDefault="00807A60" w:rsidP="00807A60">
            <w:pPr>
              <w:jc w:val="center"/>
              <w:rPr>
                <w:rFonts w:eastAsia="Times New Roman"/>
                <w:sz w:val="22"/>
                <w:szCs w:val="22"/>
              </w:rPr>
            </w:pPr>
            <w:r>
              <w:rPr>
                <w:rFonts w:eastAsia="Times New Roman"/>
                <w:sz w:val="22"/>
                <w:szCs w:val="22"/>
              </w:rPr>
              <w:t>(3.11)</w:t>
            </w:r>
          </w:p>
        </w:tc>
        <w:tc>
          <w:tcPr>
            <w:tcW w:w="1134" w:type="dxa"/>
            <w:tcBorders>
              <w:top w:val="nil"/>
              <w:left w:val="nil"/>
              <w:bottom w:val="nil"/>
              <w:right w:val="nil"/>
            </w:tcBorders>
            <w:tcMar>
              <w:top w:w="60" w:type="dxa"/>
              <w:left w:w="100" w:type="dxa"/>
              <w:bottom w:w="60" w:type="dxa"/>
              <w:right w:w="100" w:type="dxa"/>
            </w:tcMar>
            <w:vAlign w:val="center"/>
          </w:tcPr>
          <w:p w14:paraId="43D9ADF1" w14:textId="77777777" w:rsidR="00807A60" w:rsidRDefault="00807A60" w:rsidP="00807A60">
            <w:pPr>
              <w:jc w:val="center"/>
              <w:rPr>
                <w:rFonts w:eastAsia="Times New Roman"/>
                <w:sz w:val="22"/>
                <w:szCs w:val="22"/>
              </w:rPr>
            </w:pPr>
            <w:r>
              <w:rPr>
                <w:rFonts w:eastAsia="Times New Roman"/>
                <w:sz w:val="22"/>
                <w:szCs w:val="22"/>
              </w:rPr>
              <w:t>2.98</w:t>
            </w:r>
          </w:p>
          <w:p w14:paraId="10F2E213" w14:textId="77777777" w:rsidR="00807A60" w:rsidRDefault="00807A60" w:rsidP="00807A60">
            <w:pPr>
              <w:jc w:val="center"/>
              <w:rPr>
                <w:rFonts w:eastAsia="Times New Roman"/>
                <w:sz w:val="22"/>
                <w:szCs w:val="22"/>
              </w:rPr>
            </w:pPr>
            <w:r>
              <w:rPr>
                <w:rFonts w:eastAsia="Times New Roman"/>
                <w:sz w:val="22"/>
                <w:szCs w:val="22"/>
              </w:rPr>
              <w:t>(3.33)</w:t>
            </w:r>
          </w:p>
        </w:tc>
        <w:tc>
          <w:tcPr>
            <w:tcW w:w="1134" w:type="dxa"/>
            <w:tcBorders>
              <w:top w:val="nil"/>
              <w:left w:val="nil"/>
              <w:bottom w:val="nil"/>
              <w:right w:val="nil"/>
            </w:tcBorders>
            <w:tcMar>
              <w:top w:w="60" w:type="dxa"/>
              <w:left w:w="100" w:type="dxa"/>
              <w:bottom w:w="60" w:type="dxa"/>
              <w:right w:w="100" w:type="dxa"/>
            </w:tcMar>
            <w:vAlign w:val="center"/>
          </w:tcPr>
          <w:p w14:paraId="50D7BF7A" w14:textId="77777777" w:rsidR="00807A60" w:rsidRDefault="00807A60" w:rsidP="00807A60">
            <w:pPr>
              <w:jc w:val="center"/>
              <w:rPr>
                <w:rFonts w:eastAsia="Times New Roman"/>
                <w:sz w:val="22"/>
                <w:szCs w:val="22"/>
              </w:rPr>
            </w:pPr>
            <w:r>
              <w:rPr>
                <w:rFonts w:eastAsia="Times New Roman"/>
                <w:sz w:val="22"/>
                <w:szCs w:val="22"/>
              </w:rPr>
              <w:t>1.84</w:t>
            </w:r>
          </w:p>
          <w:p w14:paraId="7FD99D95" w14:textId="77777777" w:rsidR="00807A60" w:rsidRDefault="00807A60" w:rsidP="00807A60">
            <w:pPr>
              <w:jc w:val="center"/>
              <w:rPr>
                <w:rFonts w:eastAsia="Times New Roman"/>
                <w:sz w:val="22"/>
                <w:szCs w:val="22"/>
              </w:rPr>
            </w:pPr>
            <w:r>
              <w:rPr>
                <w:rFonts w:eastAsia="Times New Roman"/>
                <w:sz w:val="22"/>
                <w:szCs w:val="22"/>
              </w:rPr>
              <w:t>(2.73)</w:t>
            </w:r>
          </w:p>
        </w:tc>
        <w:tc>
          <w:tcPr>
            <w:tcW w:w="1560" w:type="dxa"/>
            <w:tcBorders>
              <w:top w:val="nil"/>
              <w:left w:val="nil"/>
              <w:bottom w:val="nil"/>
              <w:right w:val="nil"/>
            </w:tcBorders>
            <w:tcMar>
              <w:top w:w="60" w:type="dxa"/>
              <w:left w:w="100" w:type="dxa"/>
              <w:bottom w:w="60" w:type="dxa"/>
              <w:right w:w="100" w:type="dxa"/>
            </w:tcMar>
            <w:vAlign w:val="center"/>
          </w:tcPr>
          <w:p w14:paraId="5A7F5D68" w14:textId="77777777" w:rsidR="00807A60" w:rsidRDefault="00807A60" w:rsidP="0053733A">
            <w:pPr>
              <w:jc w:val="center"/>
              <w:rPr>
                <w:rFonts w:eastAsia="Times New Roman"/>
                <w:sz w:val="22"/>
                <w:szCs w:val="22"/>
              </w:rPr>
            </w:pPr>
            <w:r>
              <w:rPr>
                <w:rFonts w:eastAsia="Times New Roman"/>
                <w:sz w:val="22"/>
                <w:szCs w:val="22"/>
              </w:rPr>
              <w:t>2.93**</w:t>
            </w:r>
          </w:p>
        </w:tc>
      </w:tr>
      <w:tr w:rsidR="00807A60" w14:paraId="3BBC3B1D" w14:textId="77777777" w:rsidTr="0053733A">
        <w:trPr>
          <w:trHeight w:val="560"/>
        </w:trPr>
        <w:tc>
          <w:tcPr>
            <w:tcW w:w="2835" w:type="dxa"/>
            <w:tcBorders>
              <w:top w:val="nil"/>
              <w:left w:val="nil"/>
              <w:bottom w:val="nil"/>
              <w:right w:val="nil"/>
            </w:tcBorders>
            <w:tcMar>
              <w:top w:w="60" w:type="dxa"/>
              <w:left w:w="100" w:type="dxa"/>
              <w:bottom w:w="60" w:type="dxa"/>
              <w:right w:w="100" w:type="dxa"/>
            </w:tcMar>
            <w:vAlign w:val="center"/>
          </w:tcPr>
          <w:p w14:paraId="256DFF81" w14:textId="77777777" w:rsidR="00807A60" w:rsidRDefault="00807A60" w:rsidP="00807A60">
            <w:pPr>
              <w:jc w:val="right"/>
              <w:rPr>
                <w:rFonts w:eastAsia="Times New Roman"/>
                <w:sz w:val="22"/>
                <w:szCs w:val="22"/>
              </w:rPr>
            </w:pPr>
            <w:r>
              <w:rPr>
                <w:rFonts w:eastAsia="Times New Roman"/>
                <w:sz w:val="22"/>
                <w:szCs w:val="22"/>
              </w:rPr>
              <w:t xml:space="preserve">Language &amp; </w:t>
            </w:r>
            <w:proofErr w:type="spellStart"/>
            <w:r>
              <w:rPr>
                <w:rFonts w:eastAsia="Times New Roman"/>
                <w:sz w:val="22"/>
                <w:szCs w:val="22"/>
              </w:rPr>
              <w:t>cognition</w:t>
            </w:r>
            <w:r>
              <w:rPr>
                <w:rFonts w:eastAsia="Times New Roman"/>
                <w:sz w:val="22"/>
                <w:szCs w:val="22"/>
                <w:vertAlign w:val="superscript"/>
              </w:rPr>
              <w:t>a</w:t>
            </w:r>
            <w:proofErr w:type="spellEnd"/>
          </w:p>
        </w:tc>
        <w:tc>
          <w:tcPr>
            <w:tcW w:w="1134" w:type="dxa"/>
            <w:tcBorders>
              <w:top w:val="nil"/>
              <w:left w:val="nil"/>
              <w:bottom w:val="nil"/>
              <w:right w:val="nil"/>
            </w:tcBorders>
            <w:tcMar>
              <w:top w:w="60" w:type="dxa"/>
              <w:left w:w="100" w:type="dxa"/>
              <w:bottom w:w="60" w:type="dxa"/>
              <w:right w:w="100" w:type="dxa"/>
            </w:tcMar>
            <w:vAlign w:val="center"/>
          </w:tcPr>
          <w:p w14:paraId="07EFC678" w14:textId="77777777" w:rsidR="00807A60" w:rsidRDefault="00807A60" w:rsidP="00807A60">
            <w:pPr>
              <w:jc w:val="center"/>
              <w:rPr>
                <w:rFonts w:eastAsia="Times New Roman"/>
                <w:sz w:val="22"/>
                <w:szCs w:val="22"/>
              </w:rPr>
            </w:pPr>
            <w:r>
              <w:rPr>
                <w:rFonts w:eastAsia="Times New Roman"/>
                <w:sz w:val="22"/>
                <w:szCs w:val="22"/>
              </w:rPr>
              <w:t>.48</w:t>
            </w:r>
          </w:p>
          <w:p w14:paraId="149D8B77" w14:textId="77777777" w:rsidR="00807A60" w:rsidRDefault="00807A60" w:rsidP="00807A60">
            <w:pPr>
              <w:jc w:val="center"/>
              <w:rPr>
                <w:rFonts w:eastAsia="Times New Roman"/>
                <w:sz w:val="22"/>
                <w:szCs w:val="22"/>
              </w:rPr>
            </w:pPr>
            <w:r>
              <w:rPr>
                <w:rFonts w:eastAsia="Times New Roman"/>
                <w:sz w:val="22"/>
                <w:szCs w:val="22"/>
              </w:rPr>
              <w:t>(.83)</w:t>
            </w:r>
          </w:p>
        </w:tc>
        <w:tc>
          <w:tcPr>
            <w:tcW w:w="1134" w:type="dxa"/>
            <w:tcBorders>
              <w:top w:val="nil"/>
              <w:left w:val="nil"/>
              <w:bottom w:val="nil"/>
              <w:right w:val="nil"/>
            </w:tcBorders>
            <w:tcMar>
              <w:top w:w="60" w:type="dxa"/>
              <w:left w:w="100" w:type="dxa"/>
              <w:bottom w:w="60" w:type="dxa"/>
              <w:right w:w="100" w:type="dxa"/>
            </w:tcMar>
            <w:vAlign w:val="center"/>
          </w:tcPr>
          <w:p w14:paraId="7AFC0B99" w14:textId="77777777" w:rsidR="00807A60" w:rsidRDefault="00807A60" w:rsidP="00807A60">
            <w:pPr>
              <w:jc w:val="center"/>
              <w:rPr>
                <w:rFonts w:eastAsia="Times New Roman"/>
                <w:sz w:val="22"/>
                <w:szCs w:val="22"/>
              </w:rPr>
            </w:pPr>
            <w:r>
              <w:rPr>
                <w:rFonts w:eastAsia="Times New Roman"/>
                <w:sz w:val="22"/>
                <w:szCs w:val="22"/>
              </w:rPr>
              <w:t>.58</w:t>
            </w:r>
          </w:p>
          <w:p w14:paraId="3255F5B4" w14:textId="77777777" w:rsidR="00807A60" w:rsidRDefault="00807A60" w:rsidP="00807A60">
            <w:pPr>
              <w:jc w:val="center"/>
              <w:rPr>
                <w:rFonts w:eastAsia="Times New Roman"/>
                <w:sz w:val="22"/>
                <w:szCs w:val="22"/>
              </w:rPr>
            </w:pPr>
            <w:r>
              <w:rPr>
                <w:rFonts w:eastAsia="Times New Roman"/>
                <w:sz w:val="22"/>
                <w:szCs w:val="22"/>
              </w:rPr>
              <w:t>(.92)</w:t>
            </w:r>
          </w:p>
        </w:tc>
        <w:tc>
          <w:tcPr>
            <w:tcW w:w="1134" w:type="dxa"/>
            <w:tcBorders>
              <w:top w:val="nil"/>
              <w:left w:val="nil"/>
              <w:bottom w:val="nil"/>
              <w:right w:val="nil"/>
            </w:tcBorders>
            <w:tcMar>
              <w:top w:w="60" w:type="dxa"/>
              <w:left w:w="100" w:type="dxa"/>
              <w:bottom w:w="60" w:type="dxa"/>
              <w:right w:w="100" w:type="dxa"/>
            </w:tcMar>
            <w:vAlign w:val="center"/>
          </w:tcPr>
          <w:p w14:paraId="26BFBD74" w14:textId="77777777" w:rsidR="00807A60" w:rsidRDefault="00807A60" w:rsidP="00807A60">
            <w:pPr>
              <w:jc w:val="center"/>
              <w:rPr>
                <w:rFonts w:eastAsia="Times New Roman"/>
                <w:sz w:val="22"/>
                <w:szCs w:val="22"/>
              </w:rPr>
            </w:pPr>
            <w:r>
              <w:rPr>
                <w:rFonts w:eastAsia="Times New Roman"/>
                <w:sz w:val="22"/>
                <w:szCs w:val="22"/>
              </w:rPr>
              <w:t>.35</w:t>
            </w:r>
          </w:p>
          <w:p w14:paraId="24D3D46C" w14:textId="77777777" w:rsidR="00807A60" w:rsidRDefault="00807A60" w:rsidP="00807A60">
            <w:pPr>
              <w:jc w:val="center"/>
              <w:rPr>
                <w:rFonts w:eastAsia="Times New Roman"/>
                <w:sz w:val="22"/>
                <w:szCs w:val="22"/>
              </w:rPr>
            </w:pPr>
            <w:r>
              <w:rPr>
                <w:rFonts w:eastAsia="Times New Roman"/>
                <w:sz w:val="22"/>
                <w:szCs w:val="22"/>
              </w:rPr>
              <w:t>(.70)</w:t>
            </w:r>
          </w:p>
        </w:tc>
        <w:tc>
          <w:tcPr>
            <w:tcW w:w="1560" w:type="dxa"/>
            <w:tcBorders>
              <w:top w:val="nil"/>
              <w:left w:val="nil"/>
              <w:bottom w:val="nil"/>
              <w:right w:val="nil"/>
            </w:tcBorders>
            <w:tcMar>
              <w:top w:w="60" w:type="dxa"/>
              <w:left w:w="100" w:type="dxa"/>
              <w:bottom w:w="60" w:type="dxa"/>
              <w:right w:w="100" w:type="dxa"/>
            </w:tcMar>
            <w:vAlign w:val="center"/>
          </w:tcPr>
          <w:p w14:paraId="6D88FF6F" w14:textId="77777777" w:rsidR="00807A60" w:rsidRDefault="00807A60" w:rsidP="0053733A">
            <w:pPr>
              <w:jc w:val="center"/>
              <w:rPr>
                <w:rFonts w:eastAsia="Times New Roman"/>
                <w:sz w:val="22"/>
                <w:szCs w:val="22"/>
              </w:rPr>
            </w:pPr>
            <w:r>
              <w:rPr>
                <w:rFonts w:eastAsia="Times New Roman"/>
                <w:sz w:val="22"/>
                <w:szCs w:val="22"/>
              </w:rPr>
              <w:t>2.19*</w:t>
            </w:r>
          </w:p>
        </w:tc>
      </w:tr>
      <w:tr w:rsidR="00807A60" w14:paraId="5B096983" w14:textId="77777777" w:rsidTr="0053733A">
        <w:trPr>
          <w:trHeight w:val="560"/>
        </w:trPr>
        <w:tc>
          <w:tcPr>
            <w:tcW w:w="2835" w:type="dxa"/>
            <w:tcBorders>
              <w:top w:val="nil"/>
              <w:left w:val="nil"/>
              <w:bottom w:val="nil"/>
              <w:right w:val="nil"/>
            </w:tcBorders>
            <w:tcMar>
              <w:top w:w="60" w:type="dxa"/>
              <w:left w:w="100" w:type="dxa"/>
              <w:bottom w:w="60" w:type="dxa"/>
              <w:right w:w="100" w:type="dxa"/>
            </w:tcMar>
            <w:vAlign w:val="center"/>
          </w:tcPr>
          <w:p w14:paraId="3F348FB1" w14:textId="77777777" w:rsidR="00807A60" w:rsidRDefault="00807A60" w:rsidP="00807A60">
            <w:pPr>
              <w:jc w:val="right"/>
              <w:rPr>
                <w:rFonts w:eastAsia="Times New Roman"/>
                <w:sz w:val="22"/>
                <w:szCs w:val="22"/>
              </w:rPr>
            </w:pPr>
            <w:r>
              <w:rPr>
                <w:rFonts w:eastAsia="Times New Roman"/>
                <w:sz w:val="22"/>
                <w:szCs w:val="22"/>
              </w:rPr>
              <w:t xml:space="preserve">Daily living </w:t>
            </w:r>
            <w:proofErr w:type="spellStart"/>
            <w:r>
              <w:rPr>
                <w:rFonts w:eastAsia="Times New Roman"/>
                <w:sz w:val="22"/>
                <w:szCs w:val="22"/>
              </w:rPr>
              <w:t>skills</w:t>
            </w:r>
            <w:r>
              <w:rPr>
                <w:rFonts w:eastAsia="Times New Roman"/>
                <w:sz w:val="22"/>
                <w:szCs w:val="22"/>
                <w:vertAlign w:val="superscript"/>
              </w:rPr>
              <w:t>a</w:t>
            </w:r>
            <w:proofErr w:type="spellEnd"/>
          </w:p>
        </w:tc>
        <w:tc>
          <w:tcPr>
            <w:tcW w:w="1134" w:type="dxa"/>
            <w:tcBorders>
              <w:top w:val="nil"/>
              <w:left w:val="nil"/>
              <w:bottom w:val="nil"/>
              <w:right w:val="nil"/>
            </w:tcBorders>
            <w:tcMar>
              <w:top w:w="60" w:type="dxa"/>
              <w:left w:w="100" w:type="dxa"/>
              <w:bottom w:w="60" w:type="dxa"/>
              <w:right w:w="100" w:type="dxa"/>
            </w:tcMar>
            <w:vAlign w:val="center"/>
          </w:tcPr>
          <w:p w14:paraId="5E795011" w14:textId="77777777" w:rsidR="00807A60" w:rsidRDefault="00807A60" w:rsidP="00807A60">
            <w:pPr>
              <w:jc w:val="center"/>
              <w:rPr>
                <w:rFonts w:eastAsia="Times New Roman"/>
                <w:sz w:val="22"/>
                <w:szCs w:val="22"/>
              </w:rPr>
            </w:pPr>
            <w:r>
              <w:rPr>
                <w:rFonts w:eastAsia="Times New Roman"/>
                <w:sz w:val="22"/>
                <w:szCs w:val="22"/>
              </w:rPr>
              <w:t>.91</w:t>
            </w:r>
          </w:p>
          <w:p w14:paraId="6F01830D" w14:textId="77777777" w:rsidR="00807A60" w:rsidRDefault="00807A60" w:rsidP="00807A60">
            <w:pPr>
              <w:jc w:val="center"/>
              <w:rPr>
                <w:rFonts w:eastAsia="Times New Roman"/>
                <w:sz w:val="22"/>
                <w:szCs w:val="22"/>
              </w:rPr>
            </w:pPr>
            <w:r>
              <w:rPr>
                <w:rFonts w:eastAsia="Times New Roman"/>
                <w:sz w:val="22"/>
                <w:szCs w:val="22"/>
              </w:rPr>
              <w:t>(1.19)</w:t>
            </w:r>
          </w:p>
        </w:tc>
        <w:tc>
          <w:tcPr>
            <w:tcW w:w="1134" w:type="dxa"/>
            <w:tcBorders>
              <w:top w:val="nil"/>
              <w:left w:val="nil"/>
              <w:bottom w:val="nil"/>
              <w:right w:val="nil"/>
            </w:tcBorders>
            <w:tcMar>
              <w:top w:w="60" w:type="dxa"/>
              <w:left w:w="100" w:type="dxa"/>
              <w:bottom w:w="60" w:type="dxa"/>
              <w:right w:w="100" w:type="dxa"/>
            </w:tcMar>
            <w:vAlign w:val="center"/>
          </w:tcPr>
          <w:p w14:paraId="280D72A0" w14:textId="77777777" w:rsidR="00807A60" w:rsidRDefault="00807A60" w:rsidP="00807A60">
            <w:pPr>
              <w:jc w:val="center"/>
              <w:rPr>
                <w:rFonts w:eastAsia="Times New Roman"/>
                <w:sz w:val="22"/>
                <w:szCs w:val="22"/>
              </w:rPr>
            </w:pPr>
            <w:r>
              <w:rPr>
                <w:rFonts w:eastAsia="Times New Roman"/>
                <w:sz w:val="22"/>
                <w:szCs w:val="22"/>
              </w:rPr>
              <w:t>1.22</w:t>
            </w:r>
          </w:p>
          <w:p w14:paraId="26F322FE" w14:textId="77777777" w:rsidR="00807A60" w:rsidRDefault="00807A60" w:rsidP="00807A60">
            <w:pPr>
              <w:jc w:val="center"/>
              <w:rPr>
                <w:rFonts w:eastAsia="Times New Roman"/>
                <w:sz w:val="22"/>
                <w:szCs w:val="22"/>
              </w:rPr>
            </w:pPr>
            <w:r>
              <w:rPr>
                <w:rFonts w:eastAsia="Times New Roman"/>
                <w:sz w:val="22"/>
                <w:szCs w:val="22"/>
              </w:rPr>
              <w:t>(1.38)</w:t>
            </w:r>
          </w:p>
        </w:tc>
        <w:tc>
          <w:tcPr>
            <w:tcW w:w="1134" w:type="dxa"/>
            <w:tcBorders>
              <w:top w:val="nil"/>
              <w:left w:val="nil"/>
              <w:bottom w:val="nil"/>
              <w:right w:val="nil"/>
            </w:tcBorders>
            <w:tcMar>
              <w:top w:w="60" w:type="dxa"/>
              <w:left w:w="100" w:type="dxa"/>
              <w:bottom w:w="60" w:type="dxa"/>
              <w:right w:w="100" w:type="dxa"/>
            </w:tcMar>
            <w:vAlign w:val="center"/>
          </w:tcPr>
          <w:p w14:paraId="58922CF5" w14:textId="77777777" w:rsidR="00807A60" w:rsidRDefault="00807A60" w:rsidP="00807A60">
            <w:pPr>
              <w:jc w:val="center"/>
              <w:rPr>
                <w:rFonts w:eastAsia="Times New Roman"/>
                <w:sz w:val="22"/>
                <w:szCs w:val="22"/>
              </w:rPr>
            </w:pPr>
            <w:r>
              <w:rPr>
                <w:rFonts w:eastAsia="Times New Roman"/>
                <w:sz w:val="22"/>
                <w:szCs w:val="22"/>
              </w:rPr>
              <w:t>.54</w:t>
            </w:r>
          </w:p>
          <w:p w14:paraId="7AD3A62A" w14:textId="77777777" w:rsidR="00807A60" w:rsidRDefault="00807A60" w:rsidP="00807A60">
            <w:pPr>
              <w:jc w:val="center"/>
              <w:rPr>
                <w:rFonts w:eastAsia="Times New Roman"/>
                <w:sz w:val="22"/>
                <w:szCs w:val="22"/>
              </w:rPr>
            </w:pPr>
            <w:r>
              <w:rPr>
                <w:rFonts w:eastAsia="Times New Roman"/>
                <w:sz w:val="22"/>
                <w:szCs w:val="22"/>
              </w:rPr>
              <w:t>(.78)</w:t>
            </w:r>
          </w:p>
        </w:tc>
        <w:tc>
          <w:tcPr>
            <w:tcW w:w="1560" w:type="dxa"/>
            <w:tcBorders>
              <w:top w:val="nil"/>
              <w:left w:val="nil"/>
              <w:bottom w:val="nil"/>
              <w:right w:val="nil"/>
            </w:tcBorders>
            <w:tcMar>
              <w:top w:w="60" w:type="dxa"/>
              <w:left w:w="100" w:type="dxa"/>
              <w:bottom w:w="60" w:type="dxa"/>
              <w:right w:w="100" w:type="dxa"/>
            </w:tcMar>
            <w:vAlign w:val="center"/>
          </w:tcPr>
          <w:p w14:paraId="249AA06E" w14:textId="77777777" w:rsidR="00807A60" w:rsidRDefault="00807A60" w:rsidP="0053733A">
            <w:pPr>
              <w:jc w:val="center"/>
              <w:rPr>
                <w:rFonts w:eastAsia="Times New Roman"/>
                <w:sz w:val="22"/>
                <w:szCs w:val="22"/>
              </w:rPr>
            </w:pPr>
            <w:r>
              <w:rPr>
                <w:rFonts w:eastAsia="Times New Roman"/>
                <w:sz w:val="22"/>
                <w:szCs w:val="22"/>
              </w:rPr>
              <w:t>4.73**</w:t>
            </w:r>
          </w:p>
        </w:tc>
      </w:tr>
      <w:tr w:rsidR="00807A60" w14:paraId="556E93CE" w14:textId="77777777" w:rsidTr="0053733A">
        <w:trPr>
          <w:trHeight w:val="560"/>
        </w:trPr>
        <w:tc>
          <w:tcPr>
            <w:tcW w:w="2835" w:type="dxa"/>
            <w:tcBorders>
              <w:top w:val="nil"/>
              <w:left w:val="nil"/>
              <w:bottom w:val="nil"/>
              <w:right w:val="nil"/>
            </w:tcBorders>
            <w:tcMar>
              <w:top w:w="60" w:type="dxa"/>
              <w:left w:w="100" w:type="dxa"/>
              <w:bottom w:w="60" w:type="dxa"/>
              <w:right w:w="100" w:type="dxa"/>
            </w:tcMar>
            <w:vAlign w:val="center"/>
          </w:tcPr>
          <w:p w14:paraId="1321A05B" w14:textId="77777777" w:rsidR="00807A60" w:rsidRDefault="00807A60" w:rsidP="00807A60">
            <w:pPr>
              <w:jc w:val="right"/>
              <w:rPr>
                <w:rFonts w:eastAsia="Times New Roman"/>
                <w:sz w:val="22"/>
                <w:szCs w:val="22"/>
              </w:rPr>
            </w:pPr>
            <w:r>
              <w:rPr>
                <w:rFonts w:eastAsia="Times New Roman"/>
                <w:sz w:val="22"/>
                <w:szCs w:val="22"/>
              </w:rPr>
              <w:t xml:space="preserve">Family </w:t>
            </w:r>
            <w:proofErr w:type="spellStart"/>
            <w:r>
              <w:rPr>
                <w:rFonts w:eastAsia="Times New Roman"/>
                <w:sz w:val="22"/>
                <w:szCs w:val="22"/>
              </w:rPr>
              <w:t>support</w:t>
            </w:r>
            <w:r>
              <w:rPr>
                <w:rFonts w:eastAsia="Times New Roman"/>
                <w:sz w:val="22"/>
                <w:szCs w:val="22"/>
                <w:vertAlign w:val="superscript"/>
              </w:rPr>
              <w:t>a</w:t>
            </w:r>
            <w:proofErr w:type="spellEnd"/>
            <w:r>
              <w:rPr>
                <w:rFonts w:eastAsia="Times New Roman"/>
                <w:sz w:val="22"/>
                <w:szCs w:val="22"/>
                <w:vertAlign w:val="superscript"/>
              </w:rPr>
              <w:t xml:space="preserve"> </w:t>
            </w:r>
          </w:p>
        </w:tc>
        <w:tc>
          <w:tcPr>
            <w:tcW w:w="1134" w:type="dxa"/>
            <w:tcBorders>
              <w:top w:val="nil"/>
              <w:left w:val="nil"/>
              <w:bottom w:val="nil"/>
              <w:right w:val="nil"/>
            </w:tcBorders>
            <w:tcMar>
              <w:top w:w="60" w:type="dxa"/>
              <w:left w:w="100" w:type="dxa"/>
              <w:bottom w:w="60" w:type="dxa"/>
              <w:right w:w="100" w:type="dxa"/>
            </w:tcMar>
            <w:vAlign w:val="center"/>
          </w:tcPr>
          <w:p w14:paraId="0C118DC4" w14:textId="77777777" w:rsidR="00807A60" w:rsidRPr="00A10728" w:rsidRDefault="00807A60" w:rsidP="00807A60">
            <w:pPr>
              <w:jc w:val="center"/>
              <w:rPr>
                <w:rFonts w:eastAsia="Times New Roman"/>
                <w:sz w:val="22"/>
                <w:szCs w:val="22"/>
              </w:rPr>
            </w:pPr>
            <w:r w:rsidRPr="00A10728">
              <w:rPr>
                <w:rFonts w:eastAsia="Times New Roman"/>
                <w:sz w:val="22"/>
                <w:szCs w:val="22"/>
              </w:rPr>
              <w:t>.86</w:t>
            </w:r>
          </w:p>
          <w:p w14:paraId="18784F5A" w14:textId="77777777" w:rsidR="00807A60" w:rsidRPr="00A10728" w:rsidRDefault="00807A60" w:rsidP="00807A60">
            <w:pPr>
              <w:jc w:val="center"/>
              <w:rPr>
                <w:rFonts w:eastAsia="Times New Roman"/>
                <w:sz w:val="22"/>
                <w:szCs w:val="22"/>
              </w:rPr>
            </w:pPr>
            <w:r w:rsidRPr="00A10728">
              <w:rPr>
                <w:rFonts w:eastAsia="Times New Roman"/>
                <w:sz w:val="22"/>
                <w:szCs w:val="22"/>
              </w:rPr>
              <w:t>(1.29)</w:t>
            </w:r>
          </w:p>
        </w:tc>
        <w:tc>
          <w:tcPr>
            <w:tcW w:w="1134" w:type="dxa"/>
            <w:tcBorders>
              <w:top w:val="nil"/>
              <w:left w:val="nil"/>
              <w:bottom w:val="nil"/>
              <w:right w:val="nil"/>
            </w:tcBorders>
            <w:tcMar>
              <w:top w:w="60" w:type="dxa"/>
              <w:left w:w="100" w:type="dxa"/>
              <w:bottom w:w="60" w:type="dxa"/>
              <w:right w:w="100" w:type="dxa"/>
            </w:tcMar>
            <w:vAlign w:val="center"/>
          </w:tcPr>
          <w:p w14:paraId="5A88FD8B" w14:textId="77777777" w:rsidR="00807A60" w:rsidRPr="00A10728" w:rsidRDefault="00807A60" w:rsidP="00807A60">
            <w:pPr>
              <w:jc w:val="center"/>
              <w:rPr>
                <w:rFonts w:eastAsia="Times New Roman"/>
                <w:sz w:val="22"/>
                <w:szCs w:val="22"/>
              </w:rPr>
            </w:pPr>
            <w:r w:rsidRPr="00A10728">
              <w:rPr>
                <w:rFonts w:eastAsia="Times New Roman"/>
                <w:sz w:val="22"/>
                <w:szCs w:val="22"/>
              </w:rPr>
              <w:t>1.05</w:t>
            </w:r>
          </w:p>
          <w:p w14:paraId="5473B322" w14:textId="77777777" w:rsidR="00807A60" w:rsidRPr="00A10728" w:rsidRDefault="00807A60" w:rsidP="00807A60">
            <w:pPr>
              <w:jc w:val="center"/>
              <w:rPr>
                <w:rFonts w:eastAsia="Times New Roman"/>
                <w:sz w:val="22"/>
                <w:szCs w:val="22"/>
              </w:rPr>
            </w:pPr>
            <w:r w:rsidRPr="00A10728">
              <w:rPr>
                <w:rFonts w:eastAsia="Times New Roman"/>
                <w:sz w:val="22"/>
                <w:szCs w:val="22"/>
              </w:rPr>
              <w:t>(1.45)</w:t>
            </w:r>
          </w:p>
        </w:tc>
        <w:tc>
          <w:tcPr>
            <w:tcW w:w="1134" w:type="dxa"/>
            <w:tcBorders>
              <w:top w:val="nil"/>
              <w:left w:val="nil"/>
              <w:bottom w:val="nil"/>
              <w:right w:val="nil"/>
            </w:tcBorders>
            <w:tcMar>
              <w:top w:w="60" w:type="dxa"/>
              <w:left w:w="100" w:type="dxa"/>
              <w:bottom w:w="60" w:type="dxa"/>
              <w:right w:w="100" w:type="dxa"/>
            </w:tcMar>
            <w:vAlign w:val="center"/>
          </w:tcPr>
          <w:p w14:paraId="75ABFFEE" w14:textId="77777777" w:rsidR="00807A60" w:rsidRPr="00A10728" w:rsidRDefault="00807A60" w:rsidP="00807A60">
            <w:pPr>
              <w:jc w:val="center"/>
              <w:rPr>
                <w:rFonts w:eastAsia="Times New Roman"/>
                <w:sz w:val="22"/>
                <w:szCs w:val="22"/>
              </w:rPr>
            </w:pPr>
            <w:r w:rsidRPr="00A10728">
              <w:rPr>
                <w:rFonts w:eastAsia="Times New Roman"/>
                <w:sz w:val="22"/>
                <w:szCs w:val="22"/>
              </w:rPr>
              <w:t>.63</w:t>
            </w:r>
          </w:p>
          <w:p w14:paraId="628652D5" w14:textId="77777777" w:rsidR="00807A60" w:rsidRPr="00A10728" w:rsidRDefault="00807A60" w:rsidP="00807A60">
            <w:pPr>
              <w:jc w:val="center"/>
              <w:rPr>
                <w:rFonts w:eastAsia="Times New Roman"/>
                <w:sz w:val="22"/>
                <w:szCs w:val="22"/>
              </w:rPr>
            </w:pPr>
            <w:r w:rsidRPr="00A10728">
              <w:rPr>
                <w:rFonts w:eastAsia="Times New Roman"/>
                <w:sz w:val="22"/>
                <w:szCs w:val="22"/>
              </w:rPr>
              <w:t>(1.05)</w:t>
            </w:r>
          </w:p>
        </w:tc>
        <w:tc>
          <w:tcPr>
            <w:tcW w:w="1560" w:type="dxa"/>
            <w:tcBorders>
              <w:top w:val="nil"/>
              <w:left w:val="nil"/>
              <w:bottom w:val="nil"/>
              <w:right w:val="nil"/>
            </w:tcBorders>
            <w:tcMar>
              <w:top w:w="60" w:type="dxa"/>
              <w:left w:w="100" w:type="dxa"/>
              <w:bottom w:w="60" w:type="dxa"/>
              <w:right w:w="100" w:type="dxa"/>
            </w:tcMar>
            <w:vAlign w:val="center"/>
          </w:tcPr>
          <w:p w14:paraId="56249B81" w14:textId="77777777" w:rsidR="00807A60" w:rsidRPr="00A10728" w:rsidRDefault="00807A60" w:rsidP="0053733A">
            <w:pPr>
              <w:jc w:val="center"/>
              <w:rPr>
                <w:rFonts w:eastAsia="Times New Roman"/>
                <w:sz w:val="22"/>
                <w:szCs w:val="22"/>
              </w:rPr>
            </w:pPr>
            <w:r w:rsidRPr="00A10728">
              <w:rPr>
                <w:rFonts w:eastAsia="Times New Roman"/>
                <w:sz w:val="22"/>
                <w:szCs w:val="22"/>
              </w:rPr>
              <w:t>2.66**</w:t>
            </w:r>
          </w:p>
        </w:tc>
      </w:tr>
      <w:tr w:rsidR="00807A60" w14:paraId="13B935D1" w14:textId="77777777" w:rsidTr="0053733A">
        <w:trPr>
          <w:trHeight w:val="560"/>
        </w:trPr>
        <w:tc>
          <w:tcPr>
            <w:tcW w:w="2835" w:type="dxa"/>
            <w:tcBorders>
              <w:top w:val="nil"/>
              <w:left w:val="nil"/>
              <w:bottom w:val="single" w:sz="7" w:space="0" w:color="000000"/>
              <w:right w:val="nil"/>
            </w:tcBorders>
            <w:tcMar>
              <w:top w:w="60" w:type="dxa"/>
              <w:left w:w="100" w:type="dxa"/>
              <w:bottom w:w="60" w:type="dxa"/>
              <w:right w:w="100" w:type="dxa"/>
            </w:tcMar>
            <w:vAlign w:val="center"/>
          </w:tcPr>
          <w:p w14:paraId="0E292DEA" w14:textId="12473426" w:rsidR="00807A60" w:rsidRDefault="007C7FCC" w:rsidP="00A10728">
            <w:pPr>
              <w:rPr>
                <w:rFonts w:eastAsia="Times New Roman"/>
                <w:sz w:val="22"/>
                <w:szCs w:val="22"/>
              </w:rPr>
            </w:pPr>
            <w:r>
              <w:rPr>
                <w:rFonts w:eastAsia="Times New Roman"/>
                <w:sz w:val="22"/>
                <w:szCs w:val="22"/>
              </w:rPr>
              <w:t>Social preference</w:t>
            </w:r>
          </w:p>
        </w:tc>
        <w:tc>
          <w:tcPr>
            <w:tcW w:w="1134" w:type="dxa"/>
            <w:tcBorders>
              <w:top w:val="nil"/>
              <w:left w:val="nil"/>
              <w:bottom w:val="single" w:sz="7" w:space="0" w:color="000000"/>
              <w:right w:val="nil"/>
            </w:tcBorders>
            <w:tcMar>
              <w:top w:w="60" w:type="dxa"/>
              <w:left w:w="100" w:type="dxa"/>
              <w:bottom w:w="60" w:type="dxa"/>
              <w:right w:w="100" w:type="dxa"/>
            </w:tcMar>
          </w:tcPr>
          <w:p w14:paraId="3C5C9E84" w14:textId="6C1FE9A9" w:rsidR="00A10728" w:rsidRDefault="00A10728" w:rsidP="00A10728">
            <w:pPr>
              <w:ind w:left="184"/>
              <w:rPr>
                <w:rFonts w:eastAsia="Times New Roman"/>
                <w:sz w:val="22"/>
                <w:szCs w:val="22"/>
              </w:rPr>
            </w:pPr>
            <w:r>
              <w:rPr>
                <w:rFonts w:eastAsia="Times New Roman"/>
                <w:sz w:val="22"/>
                <w:szCs w:val="22"/>
              </w:rPr>
              <w:t xml:space="preserve">  0.00</w:t>
            </w:r>
          </w:p>
          <w:p w14:paraId="2BD6BBEF" w14:textId="6A1F1AD1" w:rsidR="00807A60" w:rsidRPr="00A10728" w:rsidRDefault="00A10728" w:rsidP="00A10728">
            <w:pPr>
              <w:ind w:left="184"/>
              <w:rPr>
                <w:rFonts w:eastAsia="Times New Roman"/>
                <w:sz w:val="22"/>
                <w:szCs w:val="22"/>
              </w:rPr>
            </w:pPr>
            <w:r>
              <w:rPr>
                <w:rFonts w:eastAsia="Times New Roman"/>
                <w:sz w:val="22"/>
                <w:szCs w:val="22"/>
              </w:rPr>
              <w:t>(</w:t>
            </w:r>
            <w:r w:rsidR="00807A60" w:rsidRPr="00A10728">
              <w:rPr>
                <w:rFonts w:eastAsia="Times New Roman"/>
                <w:sz w:val="22"/>
                <w:szCs w:val="22"/>
              </w:rPr>
              <w:t>1.35)</w:t>
            </w:r>
          </w:p>
        </w:tc>
        <w:tc>
          <w:tcPr>
            <w:tcW w:w="1134" w:type="dxa"/>
            <w:tcBorders>
              <w:top w:val="nil"/>
              <w:left w:val="nil"/>
              <w:bottom w:val="single" w:sz="7" w:space="0" w:color="000000"/>
              <w:right w:val="nil"/>
            </w:tcBorders>
            <w:tcMar>
              <w:top w:w="60" w:type="dxa"/>
              <w:left w:w="100" w:type="dxa"/>
              <w:bottom w:w="60" w:type="dxa"/>
              <w:right w:w="100" w:type="dxa"/>
            </w:tcMar>
          </w:tcPr>
          <w:p w14:paraId="67F48881" w14:textId="4966FBFB" w:rsidR="00807A60" w:rsidRPr="00A10728" w:rsidRDefault="00276465" w:rsidP="00A10728">
            <w:pPr>
              <w:ind w:left="184"/>
              <w:rPr>
                <w:rFonts w:eastAsia="Times New Roman"/>
                <w:sz w:val="22"/>
                <w:szCs w:val="22"/>
              </w:rPr>
            </w:pPr>
            <w:r>
              <w:rPr>
                <w:rFonts w:eastAsia="Times New Roman"/>
                <w:sz w:val="22"/>
                <w:szCs w:val="22"/>
              </w:rPr>
              <w:t xml:space="preserve"> </w:t>
            </w:r>
            <w:r w:rsidR="00A10728">
              <w:rPr>
                <w:rFonts w:eastAsia="Times New Roman"/>
                <w:sz w:val="22"/>
                <w:szCs w:val="22"/>
              </w:rPr>
              <w:t xml:space="preserve"> </w:t>
            </w:r>
            <w:r w:rsidR="00807A60" w:rsidRPr="00A10728">
              <w:rPr>
                <w:rFonts w:eastAsia="Times New Roman"/>
                <w:sz w:val="22"/>
                <w:szCs w:val="22"/>
              </w:rPr>
              <w:t>-.23</w:t>
            </w:r>
          </w:p>
          <w:p w14:paraId="2B259E0C" w14:textId="77777777" w:rsidR="00807A60" w:rsidRPr="0053733A" w:rsidRDefault="00807A60" w:rsidP="00A10728">
            <w:pPr>
              <w:ind w:left="184"/>
              <w:rPr>
                <w:rFonts w:eastAsia="Times New Roman"/>
                <w:sz w:val="22"/>
                <w:szCs w:val="22"/>
              </w:rPr>
            </w:pPr>
            <w:r w:rsidRPr="0053733A">
              <w:rPr>
                <w:rFonts w:eastAsia="Times New Roman"/>
                <w:sz w:val="22"/>
                <w:szCs w:val="22"/>
              </w:rPr>
              <w:t>(1.51)</w:t>
            </w:r>
          </w:p>
        </w:tc>
        <w:tc>
          <w:tcPr>
            <w:tcW w:w="1134" w:type="dxa"/>
            <w:tcBorders>
              <w:top w:val="nil"/>
              <w:left w:val="nil"/>
              <w:bottom w:val="single" w:sz="7" w:space="0" w:color="000000"/>
              <w:right w:val="nil"/>
            </w:tcBorders>
            <w:tcMar>
              <w:top w:w="60" w:type="dxa"/>
              <w:left w:w="100" w:type="dxa"/>
              <w:bottom w:w="60" w:type="dxa"/>
              <w:right w:w="100" w:type="dxa"/>
            </w:tcMar>
          </w:tcPr>
          <w:p w14:paraId="5D2CFC63" w14:textId="0EDDAECB" w:rsidR="00807A60" w:rsidRPr="00A10728" w:rsidRDefault="00A10728" w:rsidP="00A10728">
            <w:pPr>
              <w:ind w:left="184"/>
              <w:rPr>
                <w:rFonts w:eastAsia="Times New Roman"/>
                <w:sz w:val="22"/>
                <w:szCs w:val="22"/>
              </w:rPr>
            </w:pPr>
            <w:r>
              <w:rPr>
                <w:rFonts w:eastAsia="Times New Roman"/>
                <w:sz w:val="22"/>
                <w:szCs w:val="22"/>
              </w:rPr>
              <w:t xml:space="preserve"> </w:t>
            </w:r>
            <w:r w:rsidR="00276465">
              <w:rPr>
                <w:rFonts w:eastAsia="Times New Roman"/>
                <w:sz w:val="22"/>
                <w:szCs w:val="22"/>
              </w:rPr>
              <w:t xml:space="preserve"> </w:t>
            </w:r>
            <w:r>
              <w:rPr>
                <w:rFonts w:eastAsia="Times New Roman"/>
                <w:sz w:val="22"/>
                <w:szCs w:val="22"/>
              </w:rPr>
              <w:t xml:space="preserve"> </w:t>
            </w:r>
            <w:r w:rsidR="00807A60" w:rsidRPr="00A10728">
              <w:rPr>
                <w:rFonts w:eastAsia="Times New Roman"/>
                <w:sz w:val="22"/>
                <w:szCs w:val="22"/>
              </w:rPr>
              <w:t>.27</w:t>
            </w:r>
          </w:p>
          <w:p w14:paraId="21DB4D7D" w14:textId="77777777" w:rsidR="00807A60" w:rsidRPr="0053733A" w:rsidRDefault="00807A60" w:rsidP="00A10728">
            <w:pPr>
              <w:ind w:left="184"/>
              <w:rPr>
                <w:rFonts w:eastAsia="Times New Roman"/>
                <w:sz w:val="22"/>
                <w:szCs w:val="22"/>
              </w:rPr>
            </w:pPr>
            <w:r w:rsidRPr="0053733A">
              <w:rPr>
                <w:rFonts w:eastAsia="Times New Roman"/>
                <w:sz w:val="22"/>
                <w:szCs w:val="22"/>
              </w:rPr>
              <w:t>(1.09)</w:t>
            </w:r>
          </w:p>
        </w:tc>
        <w:tc>
          <w:tcPr>
            <w:tcW w:w="1560" w:type="dxa"/>
            <w:tcBorders>
              <w:top w:val="nil"/>
              <w:left w:val="nil"/>
              <w:bottom w:val="single" w:sz="7" w:space="0" w:color="000000"/>
              <w:right w:val="nil"/>
            </w:tcBorders>
            <w:tcMar>
              <w:top w:w="60" w:type="dxa"/>
              <w:left w:w="100" w:type="dxa"/>
              <w:bottom w:w="60" w:type="dxa"/>
              <w:right w:w="100" w:type="dxa"/>
            </w:tcMar>
            <w:vAlign w:val="center"/>
          </w:tcPr>
          <w:p w14:paraId="753880FC" w14:textId="77777777" w:rsidR="00807A60" w:rsidRPr="0053733A" w:rsidRDefault="00807A60" w:rsidP="0053733A">
            <w:pPr>
              <w:ind w:left="184"/>
              <w:jc w:val="center"/>
              <w:rPr>
                <w:rFonts w:eastAsia="Times New Roman"/>
                <w:sz w:val="22"/>
                <w:szCs w:val="22"/>
              </w:rPr>
            </w:pPr>
            <w:r w:rsidRPr="0053733A">
              <w:rPr>
                <w:rFonts w:eastAsia="Times New Roman"/>
                <w:sz w:val="22"/>
                <w:szCs w:val="22"/>
              </w:rPr>
              <w:t>-2.98**</w:t>
            </w:r>
          </w:p>
        </w:tc>
      </w:tr>
    </w:tbl>
    <w:p w14:paraId="4352468D" w14:textId="4839FB94" w:rsidR="00807A60" w:rsidRPr="00887F7C" w:rsidRDefault="00807A60" w:rsidP="00807A60">
      <w:pPr>
        <w:rPr>
          <w:rFonts w:eastAsia="Times New Roman"/>
          <w:sz w:val="22"/>
          <w:szCs w:val="22"/>
        </w:rPr>
      </w:pPr>
      <w:r w:rsidRPr="00887F7C">
        <w:rPr>
          <w:rFonts w:eastAsia="Times New Roman"/>
          <w:sz w:val="22"/>
          <w:szCs w:val="22"/>
          <w:vertAlign w:val="superscript"/>
        </w:rPr>
        <w:t>a</w:t>
      </w:r>
      <w:r w:rsidRPr="00887F7C">
        <w:rPr>
          <w:rFonts w:eastAsia="Times New Roman"/>
          <w:sz w:val="22"/>
          <w:szCs w:val="22"/>
        </w:rPr>
        <w:t xml:space="preserve"> t-value adjusted to take into account unequal variances for boys and girls.</w:t>
      </w:r>
    </w:p>
    <w:p w14:paraId="46696ED5" w14:textId="77777777" w:rsidR="00807A60" w:rsidRDefault="00807A60" w:rsidP="00807A60">
      <w:pPr>
        <w:widowControl w:val="0"/>
        <w:spacing w:line="276" w:lineRule="auto"/>
        <w:rPr>
          <w:rFonts w:eastAsia="Times New Roman"/>
        </w:rPr>
        <w:sectPr w:rsidR="00807A60" w:rsidSect="0053733A">
          <w:headerReference w:type="even" r:id="rId8"/>
          <w:headerReference w:type="default" r:id="rId9"/>
          <w:pgSz w:w="11900" w:h="16840"/>
          <w:pgMar w:top="1440" w:right="1800" w:bottom="1440" w:left="1800" w:header="360" w:footer="720" w:gutter="0"/>
          <w:cols w:space="720"/>
          <w:docGrid w:linePitch="326"/>
        </w:sectPr>
      </w:pPr>
      <w:r>
        <w:br w:type="page"/>
      </w:r>
    </w:p>
    <w:p w14:paraId="55CDB286" w14:textId="77777777" w:rsidR="00807A60" w:rsidRDefault="00807A60" w:rsidP="00807A60">
      <w:pPr>
        <w:spacing w:line="360" w:lineRule="auto"/>
        <w:rPr>
          <w:rFonts w:eastAsia="Times New Roman"/>
        </w:rPr>
      </w:pPr>
      <w:r>
        <w:rPr>
          <w:rFonts w:eastAsia="Times New Roman"/>
        </w:rPr>
        <w:t xml:space="preserve">Table 2. Bivariate correlations between key study variables for total sample (top) and separately for boys (above the diagonal) and girls (bottom). </w:t>
      </w:r>
    </w:p>
    <w:tbl>
      <w:tblPr>
        <w:tblW w:w="10372" w:type="dxa"/>
        <w:tblBorders>
          <w:top w:val="single" w:sz="8" w:space="0" w:color="000000"/>
          <w:bottom w:val="single" w:sz="8" w:space="0" w:color="000000"/>
        </w:tblBorders>
        <w:tblLayout w:type="fixed"/>
        <w:tblLook w:val="0000" w:firstRow="0" w:lastRow="0" w:firstColumn="0" w:lastColumn="0" w:noHBand="0" w:noVBand="0"/>
      </w:tblPr>
      <w:tblGrid>
        <w:gridCol w:w="2603"/>
        <w:gridCol w:w="1109"/>
        <w:gridCol w:w="1110"/>
        <w:gridCol w:w="1110"/>
        <w:gridCol w:w="1110"/>
        <w:gridCol w:w="1110"/>
        <w:gridCol w:w="1110"/>
        <w:gridCol w:w="1110"/>
      </w:tblGrid>
      <w:tr w:rsidR="00807A60" w:rsidRPr="007E5598" w14:paraId="688B57F2" w14:textId="77777777" w:rsidTr="00807A60">
        <w:trPr>
          <w:trHeight w:hRule="exact" w:val="397"/>
        </w:trPr>
        <w:tc>
          <w:tcPr>
            <w:tcW w:w="2603" w:type="dxa"/>
            <w:tcBorders>
              <w:top w:val="single" w:sz="8" w:space="0" w:color="000000"/>
              <w:bottom w:val="nil"/>
            </w:tcBorders>
            <w:shd w:val="clear" w:color="auto" w:fill="auto"/>
            <w:vAlign w:val="center"/>
          </w:tcPr>
          <w:p w14:paraId="4F46B404" w14:textId="77777777" w:rsidR="00807A60" w:rsidRPr="004E265F" w:rsidRDefault="00807A60" w:rsidP="00807A60">
            <w:pPr>
              <w:ind w:firstLine="142"/>
              <w:jc w:val="center"/>
              <w:rPr>
                <w:sz w:val="20"/>
                <w:szCs w:val="20"/>
              </w:rPr>
            </w:pPr>
            <w:r w:rsidRPr="004E265F">
              <w:rPr>
                <w:sz w:val="20"/>
                <w:szCs w:val="20"/>
              </w:rPr>
              <w:t>Total sample</w:t>
            </w:r>
          </w:p>
        </w:tc>
        <w:tc>
          <w:tcPr>
            <w:tcW w:w="1109" w:type="dxa"/>
            <w:tcBorders>
              <w:top w:val="single" w:sz="8" w:space="0" w:color="000000"/>
              <w:bottom w:val="nil"/>
            </w:tcBorders>
            <w:shd w:val="clear" w:color="auto" w:fill="auto"/>
            <w:vAlign w:val="center"/>
          </w:tcPr>
          <w:p w14:paraId="6674E886" w14:textId="77777777" w:rsidR="00807A60" w:rsidRPr="007E5598" w:rsidRDefault="00807A60" w:rsidP="00807A60">
            <w:pPr>
              <w:ind w:firstLine="142"/>
              <w:jc w:val="center"/>
              <w:rPr>
                <w:sz w:val="20"/>
                <w:szCs w:val="20"/>
              </w:rPr>
            </w:pPr>
            <w:r w:rsidRPr="007E5598">
              <w:rPr>
                <w:sz w:val="20"/>
                <w:szCs w:val="20"/>
              </w:rPr>
              <w:t>1</w:t>
            </w:r>
          </w:p>
        </w:tc>
        <w:tc>
          <w:tcPr>
            <w:tcW w:w="1110" w:type="dxa"/>
            <w:tcBorders>
              <w:top w:val="single" w:sz="8" w:space="0" w:color="000000"/>
              <w:bottom w:val="nil"/>
            </w:tcBorders>
            <w:vAlign w:val="center"/>
          </w:tcPr>
          <w:p w14:paraId="2E094C2D" w14:textId="77777777" w:rsidR="00807A60" w:rsidRPr="007E5598" w:rsidRDefault="00807A60" w:rsidP="00807A60">
            <w:pPr>
              <w:ind w:firstLine="142"/>
              <w:jc w:val="center"/>
              <w:rPr>
                <w:sz w:val="20"/>
                <w:szCs w:val="20"/>
              </w:rPr>
            </w:pPr>
            <w:r w:rsidRPr="007E5598">
              <w:rPr>
                <w:sz w:val="20"/>
                <w:szCs w:val="20"/>
              </w:rPr>
              <w:t>2</w:t>
            </w:r>
          </w:p>
        </w:tc>
        <w:tc>
          <w:tcPr>
            <w:tcW w:w="1110" w:type="dxa"/>
            <w:tcBorders>
              <w:top w:val="single" w:sz="8" w:space="0" w:color="000000"/>
              <w:bottom w:val="nil"/>
            </w:tcBorders>
            <w:shd w:val="clear" w:color="auto" w:fill="auto"/>
            <w:vAlign w:val="center"/>
          </w:tcPr>
          <w:p w14:paraId="35BC189D" w14:textId="77777777" w:rsidR="00807A60" w:rsidRPr="007E5598" w:rsidRDefault="00807A60" w:rsidP="00807A60">
            <w:pPr>
              <w:ind w:firstLine="142"/>
              <w:jc w:val="center"/>
              <w:rPr>
                <w:rFonts w:eastAsiaTheme="majorEastAsia"/>
                <w:iCs/>
                <w:sz w:val="20"/>
                <w:szCs w:val="20"/>
              </w:rPr>
            </w:pPr>
            <w:r>
              <w:rPr>
                <w:rFonts w:eastAsiaTheme="majorEastAsia"/>
                <w:iCs/>
                <w:sz w:val="20"/>
                <w:szCs w:val="20"/>
              </w:rPr>
              <w:t>3</w:t>
            </w:r>
          </w:p>
        </w:tc>
        <w:tc>
          <w:tcPr>
            <w:tcW w:w="1110" w:type="dxa"/>
            <w:tcBorders>
              <w:top w:val="single" w:sz="8" w:space="0" w:color="000000"/>
              <w:bottom w:val="nil"/>
            </w:tcBorders>
            <w:vAlign w:val="center"/>
          </w:tcPr>
          <w:p w14:paraId="0C0916B4" w14:textId="77777777" w:rsidR="00807A60" w:rsidRPr="007E5598" w:rsidRDefault="00807A60" w:rsidP="00807A60">
            <w:pPr>
              <w:ind w:firstLine="142"/>
              <w:jc w:val="center"/>
              <w:rPr>
                <w:rFonts w:eastAsiaTheme="majorEastAsia"/>
                <w:iCs/>
                <w:sz w:val="20"/>
                <w:szCs w:val="20"/>
              </w:rPr>
            </w:pPr>
            <w:r w:rsidRPr="007E5598">
              <w:rPr>
                <w:sz w:val="20"/>
                <w:szCs w:val="20"/>
              </w:rPr>
              <w:t>4</w:t>
            </w:r>
          </w:p>
        </w:tc>
        <w:tc>
          <w:tcPr>
            <w:tcW w:w="1110" w:type="dxa"/>
            <w:tcBorders>
              <w:top w:val="single" w:sz="8" w:space="0" w:color="000000"/>
              <w:bottom w:val="nil"/>
            </w:tcBorders>
            <w:vAlign w:val="center"/>
          </w:tcPr>
          <w:p w14:paraId="53B8BECC" w14:textId="77777777" w:rsidR="00807A60" w:rsidRPr="007E5598" w:rsidRDefault="00807A60" w:rsidP="00807A60">
            <w:pPr>
              <w:ind w:firstLine="142"/>
              <w:jc w:val="center"/>
              <w:rPr>
                <w:rFonts w:eastAsiaTheme="majorEastAsia"/>
                <w:iCs/>
                <w:sz w:val="20"/>
                <w:szCs w:val="20"/>
              </w:rPr>
            </w:pPr>
            <w:r w:rsidRPr="007E5598">
              <w:rPr>
                <w:sz w:val="20"/>
                <w:szCs w:val="20"/>
              </w:rPr>
              <w:t>5</w:t>
            </w:r>
          </w:p>
        </w:tc>
        <w:tc>
          <w:tcPr>
            <w:tcW w:w="1110" w:type="dxa"/>
            <w:tcBorders>
              <w:top w:val="single" w:sz="8" w:space="0" w:color="000000"/>
              <w:bottom w:val="nil"/>
            </w:tcBorders>
            <w:vAlign w:val="center"/>
          </w:tcPr>
          <w:p w14:paraId="717C75EB" w14:textId="77777777" w:rsidR="00807A60" w:rsidRPr="007E5598" w:rsidRDefault="00807A60" w:rsidP="00807A60">
            <w:pPr>
              <w:ind w:firstLine="142"/>
              <w:jc w:val="center"/>
              <w:rPr>
                <w:rFonts w:eastAsiaTheme="majorEastAsia"/>
                <w:iCs/>
                <w:sz w:val="20"/>
                <w:szCs w:val="20"/>
              </w:rPr>
            </w:pPr>
            <w:r w:rsidRPr="007E5598">
              <w:rPr>
                <w:sz w:val="20"/>
                <w:szCs w:val="20"/>
              </w:rPr>
              <w:t>6</w:t>
            </w:r>
          </w:p>
        </w:tc>
        <w:tc>
          <w:tcPr>
            <w:tcW w:w="1110" w:type="dxa"/>
            <w:tcBorders>
              <w:top w:val="single" w:sz="8" w:space="0" w:color="000000"/>
              <w:bottom w:val="nil"/>
            </w:tcBorders>
            <w:vAlign w:val="center"/>
          </w:tcPr>
          <w:p w14:paraId="4EC4A218" w14:textId="77777777" w:rsidR="00807A60" w:rsidRPr="007E5598" w:rsidRDefault="00807A60" w:rsidP="00807A60">
            <w:pPr>
              <w:ind w:firstLine="142"/>
              <w:jc w:val="center"/>
              <w:rPr>
                <w:sz w:val="20"/>
                <w:szCs w:val="20"/>
              </w:rPr>
            </w:pPr>
            <w:r w:rsidRPr="007E5598">
              <w:rPr>
                <w:sz w:val="20"/>
                <w:szCs w:val="20"/>
              </w:rPr>
              <w:t>7</w:t>
            </w:r>
          </w:p>
        </w:tc>
      </w:tr>
      <w:tr w:rsidR="00807A60" w:rsidRPr="007E5598" w14:paraId="4D1EDE22" w14:textId="77777777" w:rsidTr="00807A60">
        <w:trPr>
          <w:trHeight w:hRule="exact" w:val="397"/>
        </w:trPr>
        <w:tc>
          <w:tcPr>
            <w:tcW w:w="2603" w:type="dxa"/>
            <w:tcBorders>
              <w:top w:val="nil"/>
              <w:bottom w:val="nil"/>
            </w:tcBorders>
            <w:shd w:val="clear" w:color="auto" w:fill="auto"/>
            <w:vAlign w:val="center"/>
          </w:tcPr>
          <w:p w14:paraId="44B9C7F7" w14:textId="77777777" w:rsidR="00807A60" w:rsidRPr="004E265F" w:rsidRDefault="00807A60" w:rsidP="00807A60">
            <w:pPr>
              <w:rPr>
                <w:sz w:val="20"/>
                <w:szCs w:val="20"/>
              </w:rPr>
            </w:pPr>
            <w:r w:rsidRPr="004E265F">
              <w:rPr>
                <w:sz w:val="20"/>
                <w:szCs w:val="20"/>
              </w:rPr>
              <w:t>1. Age</w:t>
            </w:r>
          </w:p>
        </w:tc>
        <w:tc>
          <w:tcPr>
            <w:tcW w:w="1109" w:type="dxa"/>
            <w:tcBorders>
              <w:top w:val="nil"/>
              <w:bottom w:val="nil"/>
            </w:tcBorders>
            <w:shd w:val="clear" w:color="auto" w:fill="auto"/>
            <w:noWrap/>
            <w:vAlign w:val="center"/>
          </w:tcPr>
          <w:p w14:paraId="26391B89" w14:textId="77777777" w:rsidR="00807A60" w:rsidRPr="007E5598" w:rsidRDefault="00807A60" w:rsidP="00807A60">
            <w:pPr>
              <w:ind w:firstLine="142"/>
              <w:jc w:val="center"/>
              <w:rPr>
                <w:sz w:val="20"/>
                <w:szCs w:val="20"/>
              </w:rPr>
            </w:pPr>
            <w:r w:rsidRPr="007E5598">
              <w:rPr>
                <w:sz w:val="20"/>
                <w:szCs w:val="20"/>
              </w:rPr>
              <w:sym w:font="Symbol" w:char="F02D"/>
            </w:r>
          </w:p>
        </w:tc>
        <w:tc>
          <w:tcPr>
            <w:tcW w:w="1110" w:type="dxa"/>
            <w:tcBorders>
              <w:top w:val="nil"/>
              <w:bottom w:val="nil"/>
            </w:tcBorders>
            <w:vAlign w:val="center"/>
          </w:tcPr>
          <w:p w14:paraId="77E21136" w14:textId="77777777" w:rsidR="00807A60" w:rsidRPr="007E5598" w:rsidRDefault="00807A60" w:rsidP="00807A60">
            <w:pPr>
              <w:ind w:firstLine="142"/>
              <w:jc w:val="center"/>
              <w:rPr>
                <w:sz w:val="20"/>
                <w:szCs w:val="20"/>
              </w:rPr>
            </w:pPr>
            <w:r w:rsidRPr="007E5598">
              <w:rPr>
                <w:sz w:val="20"/>
                <w:szCs w:val="20"/>
              </w:rPr>
              <w:t>.40**</w:t>
            </w:r>
          </w:p>
        </w:tc>
        <w:tc>
          <w:tcPr>
            <w:tcW w:w="1110" w:type="dxa"/>
            <w:tcBorders>
              <w:top w:val="nil"/>
              <w:bottom w:val="nil"/>
            </w:tcBorders>
            <w:shd w:val="clear" w:color="auto" w:fill="auto"/>
            <w:noWrap/>
            <w:vAlign w:val="center"/>
          </w:tcPr>
          <w:p w14:paraId="36BB3888" w14:textId="77777777" w:rsidR="00807A60" w:rsidRPr="007E5598" w:rsidRDefault="00807A60" w:rsidP="00807A60">
            <w:pPr>
              <w:ind w:firstLine="142"/>
              <w:jc w:val="center"/>
              <w:rPr>
                <w:rFonts w:eastAsiaTheme="majorEastAsia"/>
                <w:iCs/>
                <w:sz w:val="20"/>
                <w:szCs w:val="20"/>
              </w:rPr>
            </w:pPr>
            <w:r w:rsidRPr="007E5598">
              <w:rPr>
                <w:sz w:val="20"/>
                <w:szCs w:val="20"/>
              </w:rPr>
              <w:t>-.05</w:t>
            </w:r>
          </w:p>
        </w:tc>
        <w:tc>
          <w:tcPr>
            <w:tcW w:w="1110" w:type="dxa"/>
            <w:tcBorders>
              <w:top w:val="nil"/>
              <w:bottom w:val="nil"/>
            </w:tcBorders>
            <w:vAlign w:val="center"/>
          </w:tcPr>
          <w:p w14:paraId="4774933F" w14:textId="77777777" w:rsidR="00807A60" w:rsidRPr="007E5598" w:rsidRDefault="00807A60" w:rsidP="00807A60">
            <w:pPr>
              <w:ind w:firstLine="142"/>
              <w:jc w:val="center"/>
              <w:rPr>
                <w:rFonts w:eastAsiaTheme="majorEastAsia"/>
                <w:iCs/>
                <w:sz w:val="20"/>
                <w:szCs w:val="20"/>
              </w:rPr>
            </w:pPr>
            <w:r w:rsidRPr="007E5598">
              <w:rPr>
                <w:sz w:val="20"/>
                <w:szCs w:val="20"/>
              </w:rPr>
              <w:t>-.06</w:t>
            </w:r>
          </w:p>
        </w:tc>
        <w:tc>
          <w:tcPr>
            <w:tcW w:w="1110" w:type="dxa"/>
            <w:tcBorders>
              <w:top w:val="nil"/>
              <w:bottom w:val="nil"/>
            </w:tcBorders>
            <w:vAlign w:val="center"/>
          </w:tcPr>
          <w:p w14:paraId="5E41A98F" w14:textId="77777777" w:rsidR="00807A60" w:rsidRPr="007E5598" w:rsidRDefault="00807A60" w:rsidP="00807A60">
            <w:pPr>
              <w:ind w:firstLine="142"/>
              <w:jc w:val="center"/>
              <w:rPr>
                <w:rFonts w:eastAsiaTheme="majorEastAsia"/>
                <w:iCs/>
                <w:sz w:val="20"/>
                <w:szCs w:val="20"/>
              </w:rPr>
            </w:pPr>
            <w:r w:rsidRPr="007E5598">
              <w:rPr>
                <w:sz w:val="20"/>
                <w:szCs w:val="20"/>
              </w:rPr>
              <w:t>-.14*</w:t>
            </w:r>
          </w:p>
        </w:tc>
        <w:tc>
          <w:tcPr>
            <w:tcW w:w="1110" w:type="dxa"/>
            <w:tcBorders>
              <w:top w:val="nil"/>
              <w:bottom w:val="nil"/>
            </w:tcBorders>
            <w:vAlign w:val="center"/>
          </w:tcPr>
          <w:p w14:paraId="1812AC57" w14:textId="77777777" w:rsidR="00807A60" w:rsidRPr="007E5598" w:rsidRDefault="00807A60" w:rsidP="00807A60">
            <w:pPr>
              <w:ind w:firstLine="142"/>
              <w:jc w:val="center"/>
              <w:rPr>
                <w:rFonts w:eastAsiaTheme="majorEastAsia"/>
                <w:iCs/>
                <w:sz w:val="20"/>
                <w:szCs w:val="20"/>
              </w:rPr>
            </w:pPr>
            <w:r w:rsidRPr="007E5598">
              <w:rPr>
                <w:sz w:val="20"/>
                <w:szCs w:val="20"/>
              </w:rPr>
              <w:t>-.00</w:t>
            </w:r>
          </w:p>
        </w:tc>
        <w:tc>
          <w:tcPr>
            <w:tcW w:w="1110" w:type="dxa"/>
            <w:tcBorders>
              <w:top w:val="nil"/>
              <w:bottom w:val="nil"/>
            </w:tcBorders>
            <w:vAlign w:val="center"/>
          </w:tcPr>
          <w:p w14:paraId="1F6A53D5" w14:textId="77777777" w:rsidR="00807A60" w:rsidRPr="007E5598" w:rsidRDefault="00807A60" w:rsidP="00807A60">
            <w:pPr>
              <w:ind w:firstLine="142"/>
              <w:jc w:val="center"/>
              <w:rPr>
                <w:sz w:val="20"/>
                <w:szCs w:val="20"/>
              </w:rPr>
            </w:pPr>
            <w:r w:rsidRPr="007E5598">
              <w:rPr>
                <w:sz w:val="20"/>
                <w:szCs w:val="20"/>
              </w:rPr>
              <w:t>-.02</w:t>
            </w:r>
          </w:p>
        </w:tc>
      </w:tr>
      <w:tr w:rsidR="00807A60" w:rsidRPr="007E5598" w14:paraId="2576C2A5" w14:textId="77777777" w:rsidTr="00807A60">
        <w:trPr>
          <w:trHeight w:hRule="exact" w:val="397"/>
        </w:trPr>
        <w:tc>
          <w:tcPr>
            <w:tcW w:w="2603" w:type="dxa"/>
            <w:tcBorders>
              <w:top w:val="nil"/>
              <w:bottom w:val="nil"/>
            </w:tcBorders>
            <w:shd w:val="clear" w:color="auto" w:fill="auto"/>
            <w:vAlign w:val="center"/>
          </w:tcPr>
          <w:p w14:paraId="343C8A54" w14:textId="77777777" w:rsidR="00807A60" w:rsidRPr="004E265F" w:rsidRDefault="00807A60" w:rsidP="00807A60">
            <w:pPr>
              <w:rPr>
                <w:sz w:val="20"/>
                <w:szCs w:val="20"/>
              </w:rPr>
            </w:pPr>
            <w:r w:rsidRPr="004E265F">
              <w:rPr>
                <w:sz w:val="20"/>
                <w:szCs w:val="20"/>
              </w:rPr>
              <w:t xml:space="preserve">2. </w:t>
            </w:r>
            <w:r>
              <w:rPr>
                <w:sz w:val="20"/>
                <w:szCs w:val="20"/>
              </w:rPr>
              <w:t>Language</w:t>
            </w:r>
            <w:r w:rsidRPr="004E265F">
              <w:rPr>
                <w:sz w:val="20"/>
                <w:szCs w:val="20"/>
              </w:rPr>
              <w:t xml:space="preserve"> ability </w:t>
            </w:r>
          </w:p>
        </w:tc>
        <w:tc>
          <w:tcPr>
            <w:tcW w:w="1109" w:type="dxa"/>
            <w:tcBorders>
              <w:top w:val="nil"/>
              <w:bottom w:val="nil"/>
            </w:tcBorders>
            <w:shd w:val="clear" w:color="auto" w:fill="auto"/>
            <w:noWrap/>
            <w:vAlign w:val="center"/>
          </w:tcPr>
          <w:p w14:paraId="11939967" w14:textId="77777777" w:rsidR="00807A60" w:rsidRPr="007E5598" w:rsidRDefault="00807A60" w:rsidP="00807A60">
            <w:pPr>
              <w:ind w:firstLine="142"/>
              <w:jc w:val="center"/>
              <w:rPr>
                <w:sz w:val="20"/>
                <w:szCs w:val="20"/>
              </w:rPr>
            </w:pPr>
          </w:p>
        </w:tc>
        <w:tc>
          <w:tcPr>
            <w:tcW w:w="1110" w:type="dxa"/>
            <w:tcBorders>
              <w:top w:val="nil"/>
              <w:bottom w:val="nil"/>
            </w:tcBorders>
            <w:vAlign w:val="center"/>
          </w:tcPr>
          <w:p w14:paraId="6670B292" w14:textId="77777777" w:rsidR="00807A60" w:rsidRPr="007E5598" w:rsidRDefault="00807A60" w:rsidP="00807A60">
            <w:pPr>
              <w:ind w:firstLine="142"/>
              <w:jc w:val="center"/>
              <w:rPr>
                <w:sz w:val="20"/>
                <w:szCs w:val="20"/>
              </w:rPr>
            </w:pPr>
            <w:r w:rsidRPr="007E5598">
              <w:rPr>
                <w:sz w:val="20"/>
                <w:szCs w:val="20"/>
              </w:rPr>
              <w:sym w:font="Symbol" w:char="F02D"/>
            </w:r>
          </w:p>
        </w:tc>
        <w:tc>
          <w:tcPr>
            <w:tcW w:w="1110" w:type="dxa"/>
            <w:tcBorders>
              <w:top w:val="nil"/>
              <w:bottom w:val="nil"/>
            </w:tcBorders>
            <w:shd w:val="clear" w:color="auto" w:fill="auto"/>
            <w:noWrap/>
            <w:vAlign w:val="center"/>
          </w:tcPr>
          <w:p w14:paraId="0C7F870D" w14:textId="77777777" w:rsidR="00807A60" w:rsidRPr="007E5598" w:rsidRDefault="00807A60" w:rsidP="00807A60">
            <w:pPr>
              <w:ind w:firstLine="142"/>
              <w:jc w:val="center"/>
              <w:rPr>
                <w:rFonts w:eastAsiaTheme="majorEastAsia"/>
                <w:iCs/>
                <w:sz w:val="20"/>
                <w:szCs w:val="20"/>
              </w:rPr>
            </w:pPr>
            <w:r w:rsidRPr="007E5598">
              <w:rPr>
                <w:sz w:val="20"/>
                <w:szCs w:val="20"/>
              </w:rPr>
              <w:t>-.19**</w:t>
            </w:r>
          </w:p>
        </w:tc>
        <w:tc>
          <w:tcPr>
            <w:tcW w:w="1110" w:type="dxa"/>
            <w:tcBorders>
              <w:top w:val="nil"/>
              <w:bottom w:val="nil"/>
            </w:tcBorders>
            <w:vAlign w:val="center"/>
          </w:tcPr>
          <w:p w14:paraId="136CA271" w14:textId="77777777" w:rsidR="00807A60" w:rsidRPr="007E5598" w:rsidRDefault="00807A60" w:rsidP="00807A60">
            <w:pPr>
              <w:ind w:firstLine="142"/>
              <w:jc w:val="center"/>
              <w:rPr>
                <w:rFonts w:eastAsiaTheme="majorEastAsia"/>
                <w:iCs/>
                <w:sz w:val="20"/>
                <w:szCs w:val="20"/>
              </w:rPr>
            </w:pPr>
            <w:r w:rsidRPr="007E5598">
              <w:rPr>
                <w:sz w:val="20"/>
                <w:szCs w:val="20"/>
              </w:rPr>
              <w:t>-.28**</w:t>
            </w:r>
          </w:p>
        </w:tc>
        <w:tc>
          <w:tcPr>
            <w:tcW w:w="1110" w:type="dxa"/>
            <w:tcBorders>
              <w:top w:val="nil"/>
              <w:bottom w:val="nil"/>
            </w:tcBorders>
            <w:vAlign w:val="center"/>
          </w:tcPr>
          <w:p w14:paraId="49A07CAD" w14:textId="77777777" w:rsidR="00807A60" w:rsidRPr="007E5598" w:rsidRDefault="00807A60" w:rsidP="00807A60">
            <w:pPr>
              <w:ind w:firstLine="142"/>
              <w:jc w:val="center"/>
              <w:rPr>
                <w:rFonts w:eastAsiaTheme="majorEastAsia"/>
                <w:iCs/>
                <w:sz w:val="20"/>
                <w:szCs w:val="20"/>
              </w:rPr>
            </w:pPr>
            <w:r w:rsidRPr="007E5598">
              <w:rPr>
                <w:sz w:val="20"/>
                <w:szCs w:val="20"/>
              </w:rPr>
              <w:t>-.30**</w:t>
            </w:r>
          </w:p>
        </w:tc>
        <w:tc>
          <w:tcPr>
            <w:tcW w:w="1110" w:type="dxa"/>
            <w:tcBorders>
              <w:top w:val="nil"/>
              <w:bottom w:val="nil"/>
            </w:tcBorders>
            <w:vAlign w:val="center"/>
          </w:tcPr>
          <w:p w14:paraId="2CDBD875" w14:textId="77777777" w:rsidR="00807A60" w:rsidRPr="007E5598" w:rsidRDefault="00807A60" w:rsidP="00807A60">
            <w:pPr>
              <w:ind w:firstLine="142"/>
              <w:jc w:val="center"/>
              <w:rPr>
                <w:rFonts w:eastAsiaTheme="majorEastAsia"/>
                <w:iCs/>
                <w:sz w:val="20"/>
                <w:szCs w:val="20"/>
              </w:rPr>
            </w:pPr>
            <w:r w:rsidRPr="007E5598">
              <w:rPr>
                <w:sz w:val="20"/>
                <w:szCs w:val="20"/>
              </w:rPr>
              <w:t>-.23**</w:t>
            </w:r>
          </w:p>
        </w:tc>
        <w:tc>
          <w:tcPr>
            <w:tcW w:w="1110" w:type="dxa"/>
            <w:tcBorders>
              <w:top w:val="nil"/>
              <w:bottom w:val="nil"/>
            </w:tcBorders>
            <w:vAlign w:val="center"/>
          </w:tcPr>
          <w:p w14:paraId="090BD1A8" w14:textId="77777777" w:rsidR="00807A60" w:rsidRPr="007E5598" w:rsidRDefault="00807A60" w:rsidP="00807A60">
            <w:pPr>
              <w:ind w:firstLine="142"/>
              <w:jc w:val="center"/>
              <w:rPr>
                <w:sz w:val="20"/>
                <w:szCs w:val="20"/>
              </w:rPr>
            </w:pPr>
            <w:r w:rsidRPr="007E5598">
              <w:rPr>
                <w:sz w:val="20"/>
                <w:szCs w:val="20"/>
              </w:rPr>
              <w:t>.10</w:t>
            </w:r>
          </w:p>
        </w:tc>
      </w:tr>
      <w:tr w:rsidR="00807A60" w:rsidRPr="007E5598" w14:paraId="058B9A3D" w14:textId="77777777" w:rsidTr="00807A60">
        <w:trPr>
          <w:trHeight w:hRule="exact" w:val="397"/>
        </w:trPr>
        <w:tc>
          <w:tcPr>
            <w:tcW w:w="2603" w:type="dxa"/>
            <w:tcBorders>
              <w:top w:val="nil"/>
              <w:bottom w:val="nil"/>
            </w:tcBorders>
            <w:shd w:val="clear" w:color="auto" w:fill="auto"/>
            <w:vAlign w:val="center"/>
          </w:tcPr>
          <w:p w14:paraId="5815F8A6" w14:textId="77777777" w:rsidR="00807A60" w:rsidRPr="004E265F" w:rsidRDefault="00807A60" w:rsidP="00807A60">
            <w:pPr>
              <w:rPr>
                <w:sz w:val="20"/>
                <w:szCs w:val="20"/>
              </w:rPr>
            </w:pPr>
            <w:r w:rsidRPr="004E265F">
              <w:rPr>
                <w:sz w:val="20"/>
                <w:szCs w:val="20"/>
              </w:rPr>
              <w:t xml:space="preserve">3. Behavioural </w:t>
            </w:r>
            <w:r>
              <w:rPr>
                <w:sz w:val="20"/>
                <w:szCs w:val="20"/>
              </w:rPr>
              <w:t>a</w:t>
            </w:r>
            <w:r w:rsidRPr="004E265F">
              <w:rPr>
                <w:sz w:val="20"/>
                <w:szCs w:val="20"/>
              </w:rPr>
              <w:t>djustment</w:t>
            </w:r>
          </w:p>
        </w:tc>
        <w:tc>
          <w:tcPr>
            <w:tcW w:w="1109" w:type="dxa"/>
            <w:tcBorders>
              <w:top w:val="nil"/>
              <w:bottom w:val="nil"/>
            </w:tcBorders>
            <w:shd w:val="clear" w:color="auto" w:fill="auto"/>
            <w:noWrap/>
            <w:vAlign w:val="center"/>
          </w:tcPr>
          <w:p w14:paraId="5DF0E7CC" w14:textId="77777777" w:rsidR="00807A60" w:rsidRPr="007E5598" w:rsidRDefault="00807A60" w:rsidP="00807A60">
            <w:pPr>
              <w:ind w:firstLine="142"/>
              <w:jc w:val="center"/>
              <w:rPr>
                <w:sz w:val="20"/>
                <w:szCs w:val="20"/>
              </w:rPr>
            </w:pPr>
          </w:p>
        </w:tc>
        <w:tc>
          <w:tcPr>
            <w:tcW w:w="1110" w:type="dxa"/>
            <w:tcBorders>
              <w:top w:val="nil"/>
              <w:bottom w:val="nil"/>
            </w:tcBorders>
            <w:vAlign w:val="center"/>
          </w:tcPr>
          <w:p w14:paraId="7DF961BC" w14:textId="77777777" w:rsidR="00807A60" w:rsidRPr="007E5598" w:rsidRDefault="00807A60" w:rsidP="00807A60">
            <w:pPr>
              <w:ind w:firstLine="142"/>
              <w:jc w:val="center"/>
              <w:rPr>
                <w:sz w:val="20"/>
                <w:szCs w:val="20"/>
              </w:rPr>
            </w:pPr>
          </w:p>
        </w:tc>
        <w:tc>
          <w:tcPr>
            <w:tcW w:w="1110" w:type="dxa"/>
            <w:tcBorders>
              <w:top w:val="nil"/>
              <w:bottom w:val="nil"/>
            </w:tcBorders>
            <w:shd w:val="clear" w:color="auto" w:fill="auto"/>
            <w:noWrap/>
            <w:vAlign w:val="center"/>
          </w:tcPr>
          <w:p w14:paraId="63276753" w14:textId="77777777" w:rsidR="00807A60" w:rsidRPr="007E5598" w:rsidRDefault="00807A60" w:rsidP="00807A60">
            <w:pPr>
              <w:ind w:firstLine="142"/>
              <w:jc w:val="center"/>
              <w:rPr>
                <w:rFonts w:eastAsiaTheme="majorEastAsia"/>
                <w:iCs/>
                <w:sz w:val="20"/>
                <w:szCs w:val="20"/>
              </w:rPr>
            </w:pPr>
            <w:r w:rsidRPr="007E5598">
              <w:rPr>
                <w:sz w:val="20"/>
                <w:szCs w:val="20"/>
              </w:rPr>
              <w:sym w:font="Symbol" w:char="F02D"/>
            </w:r>
          </w:p>
        </w:tc>
        <w:tc>
          <w:tcPr>
            <w:tcW w:w="1110" w:type="dxa"/>
            <w:tcBorders>
              <w:top w:val="nil"/>
              <w:bottom w:val="nil"/>
            </w:tcBorders>
            <w:vAlign w:val="center"/>
          </w:tcPr>
          <w:p w14:paraId="79B3C912" w14:textId="77777777" w:rsidR="00807A60" w:rsidRPr="007E5598" w:rsidRDefault="00807A60" w:rsidP="00807A60">
            <w:pPr>
              <w:ind w:firstLine="142"/>
              <w:jc w:val="center"/>
              <w:rPr>
                <w:rFonts w:eastAsiaTheme="majorEastAsia"/>
                <w:iCs/>
                <w:sz w:val="20"/>
                <w:szCs w:val="20"/>
              </w:rPr>
            </w:pPr>
            <w:r w:rsidRPr="007E5598">
              <w:rPr>
                <w:rFonts w:eastAsiaTheme="majorEastAsia"/>
                <w:iCs/>
                <w:sz w:val="20"/>
                <w:szCs w:val="20"/>
              </w:rPr>
              <w:t>.36**</w:t>
            </w:r>
          </w:p>
        </w:tc>
        <w:tc>
          <w:tcPr>
            <w:tcW w:w="1110" w:type="dxa"/>
            <w:tcBorders>
              <w:top w:val="nil"/>
              <w:bottom w:val="nil"/>
            </w:tcBorders>
            <w:vAlign w:val="center"/>
          </w:tcPr>
          <w:p w14:paraId="0135A34A" w14:textId="77777777" w:rsidR="00807A60" w:rsidRPr="007E5598" w:rsidRDefault="00807A60" w:rsidP="00807A60">
            <w:pPr>
              <w:ind w:firstLine="142"/>
              <w:jc w:val="center"/>
              <w:rPr>
                <w:rFonts w:eastAsiaTheme="majorEastAsia"/>
                <w:iCs/>
                <w:sz w:val="20"/>
                <w:szCs w:val="20"/>
              </w:rPr>
            </w:pPr>
            <w:r w:rsidRPr="007E5598">
              <w:rPr>
                <w:rFonts w:eastAsiaTheme="majorEastAsia"/>
                <w:iCs/>
                <w:sz w:val="20"/>
                <w:szCs w:val="20"/>
              </w:rPr>
              <w:t>.59**</w:t>
            </w:r>
          </w:p>
        </w:tc>
        <w:tc>
          <w:tcPr>
            <w:tcW w:w="1110" w:type="dxa"/>
            <w:tcBorders>
              <w:top w:val="nil"/>
              <w:bottom w:val="nil"/>
            </w:tcBorders>
            <w:vAlign w:val="center"/>
          </w:tcPr>
          <w:p w14:paraId="01C60928" w14:textId="77777777" w:rsidR="00807A60" w:rsidRPr="007E5598" w:rsidRDefault="00807A60" w:rsidP="00807A60">
            <w:pPr>
              <w:ind w:firstLine="142"/>
              <w:jc w:val="center"/>
              <w:rPr>
                <w:rFonts w:eastAsiaTheme="majorEastAsia"/>
                <w:iCs/>
                <w:sz w:val="20"/>
                <w:szCs w:val="20"/>
              </w:rPr>
            </w:pPr>
            <w:r w:rsidRPr="007E5598">
              <w:rPr>
                <w:rFonts w:eastAsiaTheme="majorEastAsia"/>
                <w:iCs/>
                <w:sz w:val="20"/>
                <w:szCs w:val="20"/>
              </w:rPr>
              <w:t>.42**</w:t>
            </w:r>
          </w:p>
        </w:tc>
        <w:tc>
          <w:tcPr>
            <w:tcW w:w="1110" w:type="dxa"/>
            <w:tcBorders>
              <w:top w:val="nil"/>
              <w:bottom w:val="nil"/>
            </w:tcBorders>
            <w:vAlign w:val="center"/>
          </w:tcPr>
          <w:p w14:paraId="2559EAA6" w14:textId="77777777" w:rsidR="00807A60" w:rsidRPr="007E5598" w:rsidRDefault="00807A60" w:rsidP="00807A60">
            <w:pPr>
              <w:ind w:firstLine="142"/>
              <w:jc w:val="center"/>
              <w:rPr>
                <w:sz w:val="20"/>
                <w:szCs w:val="20"/>
              </w:rPr>
            </w:pPr>
            <w:r w:rsidRPr="007E5598">
              <w:rPr>
                <w:sz w:val="20"/>
                <w:szCs w:val="20"/>
              </w:rPr>
              <w:t>-.28**</w:t>
            </w:r>
          </w:p>
        </w:tc>
      </w:tr>
      <w:tr w:rsidR="00807A60" w:rsidRPr="007E5598" w14:paraId="3271499C" w14:textId="77777777" w:rsidTr="00807A60">
        <w:trPr>
          <w:trHeight w:hRule="exact" w:val="397"/>
        </w:trPr>
        <w:tc>
          <w:tcPr>
            <w:tcW w:w="2603" w:type="dxa"/>
            <w:tcBorders>
              <w:top w:val="nil"/>
            </w:tcBorders>
            <w:shd w:val="clear" w:color="auto" w:fill="auto"/>
            <w:vAlign w:val="center"/>
          </w:tcPr>
          <w:p w14:paraId="57A8DCA1" w14:textId="77777777" w:rsidR="00807A60" w:rsidRPr="004E265F" w:rsidRDefault="00807A60" w:rsidP="00807A60">
            <w:pPr>
              <w:rPr>
                <w:sz w:val="20"/>
                <w:szCs w:val="20"/>
              </w:rPr>
            </w:pPr>
            <w:r w:rsidRPr="004E265F">
              <w:rPr>
                <w:sz w:val="20"/>
                <w:szCs w:val="20"/>
              </w:rPr>
              <w:t xml:space="preserve">4. Language and </w:t>
            </w:r>
            <w:r>
              <w:rPr>
                <w:sz w:val="20"/>
                <w:szCs w:val="20"/>
              </w:rPr>
              <w:t>c</w:t>
            </w:r>
            <w:r w:rsidRPr="004E265F">
              <w:rPr>
                <w:sz w:val="20"/>
                <w:szCs w:val="20"/>
              </w:rPr>
              <w:t>ognition</w:t>
            </w:r>
          </w:p>
        </w:tc>
        <w:tc>
          <w:tcPr>
            <w:tcW w:w="1109" w:type="dxa"/>
            <w:tcBorders>
              <w:top w:val="nil"/>
            </w:tcBorders>
            <w:shd w:val="clear" w:color="auto" w:fill="auto"/>
            <w:noWrap/>
            <w:vAlign w:val="center"/>
          </w:tcPr>
          <w:p w14:paraId="0424F31B" w14:textId="77777777" w:rsidR="00807A60" w:rsidRPr="007E5598" w:rsidRDefault="00807A60" w:rsidP="00807A60">
            <w:pPr>
              <w:ind w:firstLine="142"/>
              <w:jc w:val="center"/>
              <w:rPr>
                <w:sz w:val="20"/>
                <w:szCs w:val="20"/>
              </w:rPr>
            </w:pPr>
          </w:p>
        </w:tc>
        <w:tc>
          <w:tcPr>
            <w:tcW w:w="1110" w:type="dxa"/>
            <w:tcBorders>
              <w:top w:val="nil"/>
            </w:tcBorders>
            <w:vAlign w:val="center"/>
          </w:tcPr>
          <w:p w14:paraId="188F101A" w14:textId="77777777" w:rsidR="00807A60" w:rsidRPr="007E5598" w:rsidRDefault="00807A60" w:rsidP="00807A60">
            <w:pPr>
              <w:ind w:firstLine="142"/>
              <w:jc w:val="center"/>
              <w:rPr>
                <w:sz w:val="20"/>
                <w:szCs w:val="20"/>
              </w:rPr>
            </w:pPr>
          </w:p>
        </w:tc>
        <w:tc>
          <w:tcPr>
            <w:tcW w:w="1110" w:type="dxa"/>
            <w:tcBorders>
              <w:top w:val="nil"/>
            </w:tcBorders>
            <w:shd w:val="clear" w:color="auto" w:fill="auto"/>
            <w:noWrap/>
            <w:vAlign w:val="center"/>
          </w:tcPr>
          <w:p w14:paraId="43697F40" w14:textId="77777777" w:rsidR="00807A60" w:rsidRPr="007E5598" w:rsidRDefault="00807A60" w:rsidP="00807A60">
            <w:pPr>
              <w:ind w:firstLine="142"/>
              <w:jc w:val="center"/>
              <w:rPr>
                <w:rFonts w:eastAsiaTheme="majorEastAsia"/>
                <w:iCs/>
                <w:sz w:val="20"/>
                <w:szCs w:val="20"/>
              </w:rPr>
            </w:pPr>
          </w:p>
        </w:tc>
        <w:tc>
          <w:tcPr>
            <w:tcW w:w="1110" w:type="dxa"/>
            <w:tcBorders>
              <w:top w:val="nil"/>
            </w:tcBorders>
            <w:vAlign w:val="center"/>
          </w:tcPr>
          <w:p w14:paraId="414390DE" w14:textId="77777777" w:rsidR="00807A60" w:rsidRPr="007E5598" w:rsidRDefault="00807A60" w:rsidP="00807A60">
            <w:pPr>
              <w:ind w:firstLine="142"/>
              <w:jc w:val="center"/>
              <w:rPr>
                <w:rFonts w:eastAsiaTheme="majorEastAsia"/>
                <w:iCs/>
                <w:sz w:val="20"/>
                <w:szCs w:val="20"/>
              </w:rPr>
            </w:pPr>
            <w:r w:rsidRPr="007E5598">
              <w:rPr>
                <w:sz w:val="20"/>
                <w:szCs w:val="20"/>
              </w:rPr>
              <w:sym w:font="Symbol" w:char="F02D"/>
            </w:r>
          </w:p>
        </w:tc>
        <w:tc>
          <w:tcPr>
            <w:tcW w:w="1110" w:type="dxa"/>
            <w:tcBorders>
              <w:top w:val="nil"/>
            </w:tcBorders>
            <w:vAlign w:val="center"/>
          </w:tcPr>
          <w:p w14:paraId="58196D96" w14:textId="77777777" w:rsidR="00807A60" w:rsidRPr="007E5598" w:rsidRDefault="00807A60" w:rsidP="00807A60">
            <w:pPr>
              <w:ind w:firstLine="142"/>
              <w:jc w:val="center"/>
              <w:rPr>
                <w:rFonts w:eastAsiaTheme="majorEastAsia"/>
                <w:iCs/>
                <w:sz w:val="20"/>
                <w:szCs w:val="20"/>
              </w:rPr>
            </w:pPr>
            <w:r w:rsidRPr="007E5598">
              <w:rPr>
                <w:rFonts w:eastAsiaTheme="majorEastAsia"/>
                <w:iCs/>
                <w:sz w:val="20"/>
                <w:szCs w:val="20"/>
              </w:rPr>
              <w:t>.50**</w:t>
            </w:r>
          </w:p>
        </w:tc>
        <w:tc>
          <w:tcPr>
            <w:tcW w:w="1110" w:type="dxa"/>
            <w:tcBorders>
              <w:top w:val="nil"/>
            </w:tcBorders>
            <w:vAlign w:val="center"/>
          </w:tcPr>
          <w:p w14:paraId="628E04A2" w14:textId="77777777" w:rsidR="00807A60" w:rsidRPr="007E5598" w:rsidRDefault="00807A60" w:rsidP="00807A60">
            <w:pPr>
              <w:ind w:firstLine="142"/>
              <w:jc w:val="center"/>
              <w:rPr>
                <w:rFonts w:eastAsiaTheme="majorEastAsia"/>
                <w:iCs/>
                <w:sz w:val="20"/>
                <w:szCs w:val="20"/>
              </w:rPr>
            </w:pPr>
            <w:r w:rsidRPr="007E5598">
              <w:rPr>
                <w:rFonts w:eastAsiaTheme="majorEastAsia"/>
                <w:iCs/>
                <w:sz w:val="20"/>
                <w:szCs w:val="20"/>
              </w:rPr>
              <w:t>.41**</w:t>
            </w:r>
          </w:p>
        </w:tc>
        <w:tc>
          <w:tcPr>
            <w:tcW w:w="1110" w:type="dxa"/>
            <w:tcBorders>
              <w:top w:val="nil"/>
            </w:tcBorders>
            <w:vAlign w:val="center"/>
          </w:tcPr>
          <w:p w14:paraId="7D549F54" w14:textId="77777777" w:rsidR="00807A60" w:rsidRPr="007E5598" w:rsidRDefault="00807A60" w:rsidP="00807A60">
            <w:pPr>
              <w:ind w:firstLine="142"/>
              <w:jc w:val="center"/>
              <w:rPr>
                <w:sz w:val="20"/>
                <w:szCs w:val="20"/>
              </w:rPr>
            </w:pPr>
            <w:r w:rsidRPr="007E5598">
              <w:rPr>
                <w:sz w:val="20"/>
                <w:szCs w:val="20"/>
              </w:rPr>
              <w:t>-.25**</w:t>
            </w:r>
          </w:p>
        </w:tc>
      </w:tr>
      <w:tr w:rsidR="00807A60" w:rsidRPr="007E5598" w14:paraId="1C0BA94F" w14:textId="77777777" w:rsidTr="00807A60">
        <w:trPr>
          <w:trHeight w:hRule="exact" w:val="397"/>
        </w:trPr>
        <w:tc>
          <w:tcPr>
            <w:tcW w:w="2603" w:type="dxa"/>
            <w:shd w:val="clear" w:color="auto" w:fill="auto"/>
            <w:vAlign w:val="center"/>
          </w:tcPr>
          <w:p w14:paraId="3F21B552" w14:textId="77777777" w:rsidR="00807A60" w:rsidRPr="004E265F" w:rsidRDefault="00807A60" w:rsidP="00807A60">
            <w:pPr>
              <w:rPr>
                <w:sz w:val="20"/>
                <w:szCs w:val="20"/>
              </w:rPr>
            </w:pPr>
            <w:r w:rsidRPr="004E265F">
              <w:rPr>
                <w:sz w:val="20"/>
                <w:szCs w:val="20"/>
              </w:rPr>
              <w:t>5. Daily living skills</w:t>
            </w:r>
          </w:p>
        </w:tc>
        <w:tc>
          <w:tcPr>
            <w:tcW w:w="1109" w:type="dxa"/>
            <w:shd w:val="clear" w:color="auto" w:fill="auto"/>
            <w:noWrap/>
            <w:vAlign w:val="center"/>
          </w:tcPr>
          <w:p w14:paraId="0B35E7DB" w14:textId="77777777" w:rsidR="00807A60" w:rsidRPr="007E5598" w:rsidRDefault="00807A60" w:rsidP="00807A60">
            <w:pPr>
              <w:ind w:firstLine="142"/>
              <w:jc w:val="center"/>
              <w:rPr>
                <w:sz w:val="20"/>
                <w:szCs w:val="20"/>
              </w:rPr>
            </w:pPr>
          </w:p>
        </w:tc>
        <w:tc>
          <w:tcPr>
            <w:tcW w:w="1110" w:type="dxa"/>
            <w:vAlign w:val="center"/>
          </w:tcPr>
          <w:p w14:paraId="2E0C609A" w14:textId="77777777" w:rsidR="00807A60" w:rsidRPr="007E5598" w:rsidRDefault="00807A60" w:rsidP="00807A60">
            <w:pPr>
              <w:ind w:firstLine="142"/>
              <w:jc w:val="center"/>
              <w:rPr>
                <w:sz w:val="20"/>
                <w:szCs w:val="20"/>
              </w:rPr>
            </w:pPr>
          </w:p>
        </w:tc>
        <w:tc>
          <w:tcPr>
            <w:tcW w:w="1110" w:type="dxa"/>
            <w:shd w:val="clear" w:color="auto" w:fill="auto"/>
            <w:noWrap/>
            <w:vAlign w:val="center"/>
          </w:tcPr>
          <w:p w14:paraId="2BE2B596" w14:textId="77777777" w:rsidR="00807A60" w:rsidRPr="007E5598" w:rsidRDefault="00807A60" w:rsidP="00807A60">
            <w:pPr>
              <w:ind w:firstLine="142"/>
              <w:jc w:val="center"/>
              <w:rPr>
                <w:rFonts w:eastAsiaTheme="majorEastAsia"/>
                <w:iCs/>
                <w:sz w:val="20"/>
                <w:szCs w:val="20"/>
              </w:rPr>
            </w:pPr>
          </w:p>
        </w:tc>
        <w:tc>
          <w:tcPr>
            <w:tcW w:w="1110" w:type="dxa"/>
            <w:vAlign w:val="center"/>
          </w:tcPr>
          <w:p w14:paraId="335CF377" w14:textId="77777777" w:rsidR="00807A60" w:rsidRPr="007E5598" w:rsidRDefault="00807A60" w:rsidP="00807A60">
            <w:pPr>
              <w:ind w:firstLine="142"/>
              <w:jc w:val="center"/>
              <w:rPr>
                <w:rFonts w:eastAsiaTheme="majorEastAsia"/>
                <w:iCs/>
                <w:sz w:val="20"/>
                <w:szCs w:val="20"/>
              </w:rPr>
            </w:pPr>
          </w:p>
        </w:tc>
        <w:tc>
          <w:tcPr>
            <w:tcW w:w="1110" w:type="dxa"/>
            <w:vAlign w:val="center"/>
          </w:tcPr>
          <w:p w14:paraId="0FF4EA02" w14:textId="77777777" w:rsidR="00807A60" w:rsidRPr="007E5598" w:rsidRDefault="00807A60" w:rsidP="00807A60">
            <w:pPr>
              <w:ind w:firstLine="142"/>
              <w:jc w:val="center"/>
              <w:rPr>
                <w:rFonts w:eastAsiaTheme="majorEastAsia"/>
                <w:iCs/>
                <w:sz w:val="20"/>
                <w:szCs w:val="20"/>
              </w:rPr>
            </w:pPr>
            <w:r w:rsidRPr="007E5598">
              <w:rPr>
                <w:sz w:val="20"/>
                <w:szCs w:val="20"/>
              </w:rPr>
              <w:sym w:font="Symbol" w:char="F02D"/>
            </w:r>
          </w:p>
        </w:tc>
        <w:tc>
          <w:tcPr>
            <w:tcW w:w="1110" w:type="dxa"/>
            <w:vAlign w:val="center"/>
          </w:tcPr>
          <w:p w14:paraId="41C21708" w14:textId="77777777" w:rsidR="00807A60" w:rsidRPr="007E5598" w:rsidRDefault="00807A60" w:rsidP="00807A60">
            <w:pPr>
              <w:ind w:firstLine="142"/>
              <w:jc w:val="center"/>
              <w:rPr>
                <w:rFonts w:eastAsiaTheme="majorEastAsia"/>
                <w:iCs/>
                <w:sz w:val="20"/>
                <w:szCs w:val="20"/>
              </w:rPr>
            </w:pPr>
            <w:r w:rsidRPr="007E5598">
              <w:rPr>
                <w:rFonts w:eastAsiaTheme="majorEastAsia"/>
                <w:iCs/>
                <w:sz w:val="20"/>
                <w:szCs w:val="20"/>
              </w:rPr>
              <w:t>.48**</w:t>
            </w:r>
          </w:p>
        </w:tc>
        <w:tc>
          <w:tcPr>
            <w:tcW w:w="1110" w:type="dxa"/>
            <w:vAlign w:val="center"/>
          </w:tcPr>
          <w:p w14:paraId="4DFA729C" w14:textId="77777777" w:rsidR="00807A60" w:rsidRPr="007E5598" w:rsidRDefault="00807A60" w:rsidP="00807A60">
            <w:pPr>
              <w:ind w:firstLine="142"/>
              <w:jc w:val="center"/>
              <w:rPr>
                <w:sz w:val="20"/>
                <w:szCs w:val="20"/>
              </w:rPr>
            </w:pPr>
            <w:r w:rsidRPr="007E5598">
              <w:rPr>
                <w:sz w:val="20"/>
                <w:szCs w:val="20"/>
              </w:rPr>
              <w:t>-.25**</w:t>
            </w:r>
          </w:p>
        </w:tc>
      </w:tr>
      <w:tr w:rsidR="00807A60" w:rsidRPr="007E5598" w14:paraId="65EDEF36" w14:textId="77777777" w:rsidTr="00807A60">
        <w:trPr>
          <w:trHeight w:hRule="exact" w:val="397"/>
        </w:trPr>
        <w:tc>
          <w:tcPr>
            <w:tcW w:w="2603" w:type="dxa"/>
            <w:shd w:val="clear" w:color="auto" w:fill="auto"/>
            <w:vAlign w:val="center"/>
          </w:tcPr>
          <w:p w14:paraId="066AFEFD" w14:textId="77777777" w:rsidR="00807A60" w:rsidRPr="004E265F" w:rsidRDefault="00807A60" w:rsidP="00807A60">
            <w:pPr>
              <w:rPr>
                <w:sz w:val="20"/>
                <w:szCs w:val="20"/>
              </w:rPr>
            </w:pPr>
            <w:r w:rsidRPr="004E265F">
              <w:rPr>
                <w:sz w:val="20"/>
                <w:szCs w:val="20"/>
              </w:rPr>
              <w:t>6. Family support</w:t>
            </w:r>
          </w:p>
        </w:tc>
        <w:tc>
          <w:tcPr>
            <w:tcW w:w="1109" w:type="dxa"/>
            <w:shd w:val="clear" w:color="auto" w:fill="auto"/>
            <w:noWrap/>
            <w:vAlign w:val="center"/>
          </w:tcPr>
          <w:p w14:paraId="51C4E7BB" w14:textId="77777777" w:rsidR="00807A60" w:rsidRPr="007E5598" w:rsidRDefault="00807A60" w:rsidP="00807A60">
            <w:pPr>
              <w:ind w:firstLine="142"/>
              <w:jc w:val="center"/>
              <w:rPr>
                <w:sz w:val="20"/>
                <w:szCs w:val="20"/>
              </w:rPr>
            </w:pPr>
          </w:p>
        </w:tc>
        <w:tc>
          <w:tcPr>
            <w:tcW w:w="1110" w:type="dxa"/>
            <w:vAlign w:val="center"/>
          </w:tcPr>
          <w:p w14:paraId="09FAD724" w14:textId="77777777" w:rsidR="00807A60" w:rsidRPr="007E5598" w:rsidRDefault="00807A60" w:rsidP="00807A60">
            <w:pPr>
              <w:ind w:firstLine="142"/>
              <w:jc w:val="center"/>
              <w:rPr>
                <w:sz w:val="20"/>
                <w:szCs w:val="20"/>
              </w:rPr>
            </w:pPr>
          </w:p>
        </w:tc>
        <w:tc>
          <w:tcPr>
            <w:tcW w:w="1110" w:type="dxa"/>
            <w:shd w:val="clear" w:color="auto" w:fill="auto"/>
            <w:noWrap/>
            <w:vAlign w:val="center"/>
          </w:tcPr>
          <w:p w14:paraId="771C2A42" w14:textId="77777777" w:rsidR="00807A60" w:rsidRPr="007E5598" w:rsidRDefault="00807A60" w:rsidP="00807A60">
            <w:pPr>
              <w:ind w:firstLine="142"/>
              <w:jc w:val="center"/>
              <w:rPr>
                <w:rFonts w:eastAsiaTheme="majorEastAsia"/>
                <w:iCs/>
                <w:sz w:val="20"/>
                <w:szCs w:val="20"/>
              </w:rPr>
            </w:pPr>
          </w:p>
        </w:tc>
        <w:tc>
          <w:tcPr>
            <w:tcW w:w="1110" w:type="dxa"/>
            <w:vAlign w:val="center"/>
          </w:tcPr>
          <w:p w14:paraId="0E8E304C" w14:textId="77777777" w:rsidR="00807A60" w:rsidRPr="007E5598" w:rsidRDefault="00807A60" w:rsidP="00807A60">
            <w:pPr>
              <w:ind w:firstLine="142"/>
              <w:jc w:val="center"/>
              <w:rPr>
                <w:rFonts w:eastAsiaTheme="majorEastAsia"/>
                <w:iCs/>
                <w:sz w:val="20"/>
                <w:szCs w:val="20"/>
              </w:rPr>
            </w:pPr>
          </w:p>
        </w:tc>
        <w:tc>
          <w:tcPr>
            <w:tcW w:w="1110" w:type="dxa"/>
            <w:vAlign w:val="center"/>
          </w:tcPr>
          <w:p w14:paraId="7FDF9312" w14:textId="77777777" w:rsidR="00807A60" w:rsidRPr="007E5598" w:rsidRDefault="00807A60" w:rsidP="00807A60">
            <w:pPr>
              <w:ind w:firstLine="142"/>
              <w:jc w:val="center"/>
              <w:rPr>
                <w:rFonts w:eastAsiaTheme="majorEastAsia"/>
                <w:iCs/>
                <w:sz w:val="20"/>
                <w:szCs w:val="20"/>
              </w:rPr>
            </w:pPr>
          </w:p>
        </w:tc>
        <w:tc>
          <w:tcPr>
            <w:tcW w:w="1110" w:type="dxa"/>
            <w:vAlign w:val="center"/>
          </w:tcPr>
          <w:p w14:paraId="3F1A13F9" w14:textId="77777777" w:rsidR="00807A60" w:rsidRPr="007E5598" w:rsidRDefault="00807A60" w:rsidP="00807A60">
            <w:pPr>
              <w:ind w:firstLine="142"/>
              <w:jc w:val="center"/>
              <w:rPr>
                <w:rFonts w:eastAsiaTheme="majorEastAsia"/>
                <w:iCs/>
                <w:sz w:val="20"/>
                <w:szCs w:val="20"/>
              </w:rPr>
            </w:pPr>
            <w:r w:rsidRPr="007E5598">
              <w:rPr>
                <w:sz w:val="20"/>
                <w:szCs w:val="20"/>
              </w:rPr>
              <w:sym w:font="Symbol" w:char="F02D"/>
            </w:r>
          </w:p>
        </w:tc>
        <w:tc>
          <w:tcPr>
            <w:tcW w:w="1110" w:type="dxa"/>
            <w:vAlign w:val="center"/>
          </w:tcPr>
          <w:p w14:paraId="667D09CD" w14:textId="77777777" w:rsidR="00807A60" w:rsidRPr="007E5598" w:rsidRDefault="00807A60" w:rsidP="00807A60">
            <w:pPr>
              <w:ind w:firstLine="142"/>
              <w:jc w:val="center"/>
              <w:rPr>
                <w:sz w:val="20"/>
                <w:szCs w:val="20"/>
              </w:rPr>
            </w:pPr>
            <w:r w:rsidRPr="007E5598">
              <w:rPr>
                <w:sz w:val="20"/>
                <w:szCs w:val="20"/>
              </w:rPr>
              <w:t>-.24**</w:t>
            </w:r>
          </w:p>
        </w:tc>
      </w:tr>
      <w:tr w:rsidR="00807A60" w:rsidRPr="007E5598" w14:paraId="73AD7121" w14:textId="77777777" w:rsidTr="00807A60">
        <w:trPr>
          <w:trHeight w:hRule="exact" w:val="397"/>
        </w:trPr>
        <w:tc>
          <w:tcPr>
            <w:tcW w:w="2603" w:type="dxa"/>
            <w:tcBorders>
              <w:bottom w:val="single" w:sz="4" w:space="0" w:color="auto"/>
            </w:tcBorders>
            <w:shd w:val="clear" w:color="auto" w:fill="auto"/>
            <w:vAlign w:val="center"/>
          </w:tcPr>
          <w:p w14:paraId="73FEE07A" w14:textId="60F0A271" w:rsidR="00807A60" w:rsidRPr="004E265F" w:rsidRDefault="00807A60" w:rsidP="00807A60">
            <w:pPr>
              <w:rPr>
                <w:sz w:val="20"/>
                <w:szCs w:val="20"/>
              </w:rPr>
            </w:pPr>
            <w:r w:rsidRPr="004E265F">
              <w:rPr>
                <w:sz w:val="20"/>
                <w:szCs w:val="20"/>
              </w:rPr>
              <w:t xml:space="preserve">7. </w:t>
            </w:r>
            <w:r w:rsidR="007C7FCC">
              <w:rPr>
                <w:sz w:val="20"/>
                <w:szCs w:val="20"/>
              </w:rPr>
              <w:t>Social preference</w:t>
            </w:r>
          </w:p>
        </w:tc>
        <w:tc>
          <w:tcPr>
            <w:tcW w:w="1109" w:type="dxa"/>
            <w:tcBorders>
              <w:bottom w:val="single" w:sz="4" w:space="0" w:color="auto"/>
            </w:tcBorders>
            <w:shd w:val="clear" w:color="auto" w:fill="auto"/>
            <w:noWrap/>
            <w:vAlign w:val="center"/>
          </w:tcPr>
          <w:p w14:paraId="13F69DD0" w14:textId="77777777" w:rsidR="00807A60" w:rsidRPr="007E5598" w:rsidRDefault="00807A60" w:rsidP="00807A60">
            <w:pPr>
              <w:ind w:firstLine="142"/>
              <w:jc w:val="center"/>
              <w:rPr>
                <w:sz w:val="20"/>
                <w:szCs w:val="20"/>
              </w:rPr>
            </w:pPr>
          </w:p>
        </w:tc>
        <w:tc>
          <w:tcPr>
            <w:tcW w:w="1110" w:type="dxa"/>
            <w:tcBorders>
              <w:bottom w:val="single" w:sz="4" w:space="0" w:color="auto"/>
            </w:tcBorders>
            <w:vAlign w:val="center"/>
          </w:tcPr>
          <w:p w14:paraId="7710E0D8" w14:textId="77777777" w:rsidR="00807A60" w:rsidRPr="007E5598" w:rsidRDefault="00807A60" w:rsidP="00807A60">
            <w:pPr>
              <w:ind w:firstLine="142"/>
              <w:jc w:val="center"/>
              <w:rPr>
                <w:sz w:val="20"/>
                <w:szCs w:val="20"/>
              </w:rPr>
            </w:pPr>
          </w:p>
        </w:tc>
        <w:tc>
          <w:tcPr>
            <w:tcW w:w="1110" w:type="dxa"/>
            <w:tcBorders>
              <w:bottom w:val="single" w:sz="4" w:space="0" w:color="auto"/>
            </w:tcBorders>
            <w:shd w:val="clear" w:color="auto" w:fill="auto"/>
            <w:noWrap/>
            <w:vAlign w:val="center"/>
          </w:tcPr>
          <w:p w14:paraId="5D8EA5B8" w14:textId="77777777" w:rsidR="00807A60" w:rsidRPr="007E5598" w:rsidRDefault="00807A60" w:rsidP="00807A60">
            <w:pPr>
              <w:ind w:firstLine="142"/>
              <w:jc w:val="center"/>
              <w:rPr>
                <w:sz w:val="20"/>
                <w:szCs w:val="20"/>
              </w:rPr>
            </w:pPr>
          </w:p>
        </w:tc>
        <w:tc>
          <w:tcPr>
            <w:tcW w:w="1110" w:type="dxa"/>
            <w:tcBorders>
              <w:bottom w:val="single" w:sz="4" w:space="0" w:color="auto"/>
            </w:tcBorders>
            <w:vAlign w:val="center"/>
          </w:tcPr>
          <w:p w14:paraId="4478695F" w14:textId="77777777" w:rsidR="00807A60" w:rsidRPr="007E5598" w:rsidRDefault="00807A60" w:rsidP="00807A60">
            <w:pPr>
              <w:ind w:firstLine="142"/>
              <w:jc w:val="center"/>
              <w:rPr>
                <w:sz w:val="20"/>
                <w:szCs w:val="20"/>
              </w:rPr>
            </w:pPr>
          </w:p>
        </w:tc>
        <w:tc>
          <w:tcPr>
            <w:tcW w:w="1110" w:type="dxa"/>
            <w:tcBorders>
              <w:bottom w:val="single" w:sz="4" w:space="0" w:color="auto"/>
            </w:tcBorders>
            <w:vAlign w:val="center"/>
          </w:tcPr>
          <w:p w14:paraId="5A6F4012" w14:textId="77777777" w:rsidR="00807A60" w:rsidRPr="007E5598" w:rsidRDefault="00807A60" w:rsidP="00807A60">
            <w:pPr>
              <w:ind w:firstLine="142"/>
              <w:jc w:val="center"/>
              <w:rPr>
                <w:sz w:val="20"/>
                <w:szCs w:val="20"/>
              </w:rPr>
            </w:pPr>
          </w:p>
        </w:tc>
        <w:tc>
          <w:tcPr>
            <w:tcW w:w="1110" w:type="dxa"/>
            <w:tcBorders>
              <w:bottom w:val="single" w:sz="4" w:space="0" w:color="auto"/>
            </w:tcBorders>
            <w:vAlign w:val="center"/>
          </w:tcPr>
          <w:p w14:paraId="78F9D537" w14:textId="77777777" w:rsidR="00807A60" w:rsidRPr="007E5598" w:rsidRDefault="00807A60" w:rsidP="00807A60">
            <w:pPr>
              <w:ind w:firstLine="142"/>
              <w:jc w:val="center"/>
              <w:rPr>
                <w:sz w:val="20"/>
                <w:szCs w:val="20"/>
              </w:rPr>
            </w:pPr>
          </w:p>
        </w:tc>
        <w:tc>
          <w:tcPr>
            <w:tcW w:w="1110" w:type="dxa"/>
            <w:tcBorders>
              <w:bottom w:val="single" w:sz="4" w:space="0" w:color="auto"/>
            </w:tcBorders>
            <w:vAlign w:val="center"/>
          </w:tcPr>
          <w:p w14:paraId="2375A7A7" w14:textId="77777777" w:rsidR="00807A60" w:rsidRPr="007E5598" w:rsidRDefault="00807A60" w:rsidP="00807A60">
            <w:pPr>
              <w:ind w:firstLine="142"/>
              <w:jc w:val="center"/>
              <w:rPr>
                <w:sz w:val="20"/>
                <w:szCs w:val="20"/>
              </w:rPr>
            </w:pPr>
            <w:r w:rsidRPr="007E5598">
              <w:rPr>
                <w:sz w:val="20"/>
                <w:szCs w:val="20"/>
              </w:rPr>
              <w:sym w:font="Symbol" w:char="F02D"/>
            </w:r>
          </w:p>
        </w:tc>
      </w:tr>
      <w:tr w:rsidR="00807A60" w:rsidRPr="007E5598" w14:paraId="0EACD5A8" w14:textId="77777777" w:rsidTr="00807A60">
        <w:trPr>
          <w:trHeight w:hRule="exact" w:val="408"/>
        </w:trPr>
        <w:tc>
          <w:tcPr>
            <w:tcW w:w="2603" w:type="dxa"/>
            <w:tcBorders>
              <w:top w:val="single" w:sz="4" w:space="0" w:color="auto"/>
              <w:bottom w:val="nil"/>
            </w:tcBorders>
            <w:shd w:val="clear" w:color="auto" w:fill="auto"/>
            <w:vAlign w:val="center"/>
          </w:tcPr>
          <w:p w14:paraId="5FD9F96B" w14:textId="77777777" w:rsidR="00807A60" w:rsidRPr="004E265F" w:rsidRDefault="00807A60" w:rsidP="00807A60">
            <w:pPr>
              <w:jc w:val="center"/>
              <w:rPr>
                <w:sz w:val="20"/>
                <w:szCs w:val="20"/>
              </w:rPr>
            </w:pPr>
            <w:r w:rsidRPr="004E265F">
              <w:rPr>
                <w:sz w:val="20"/>
                <w:szCs w:val="20"/>
              </w:rPr>
              <w:t xml:space="preserve">Separate by </w:t>
            </w:r>
            <w:r>
              <w:rPr>
                <w:sz w:val="20"/>
                <w:szCs w:val="20"/>
              </w:rPr>
              <w:t>gender</w:t>
            </w:r>
          </w:p>
        </w:tc>
        <w:tc>
          <w:tcPr>
            <w:tcW w:w="1109" w:type="dxa"/>
            <w:tcBorders>
              <w:top w:val="single" w:sz="4" w:space="0" w:color="auto"/>
              <w:bottom w:val="nil"/>
            </w:tcBorders>
            <w:shd w:val="clear" w:color="auto" w:fill="auto"/>
            <w:noWrap/>
            <w:vAlign w:val="center"/>
          </w:tcPr>
          <w:p w14:paraId="48427695" w14:textId="77777777" w:rsidR="00807A60" w:rsidRPr="007E5598" w:rsidRDefault="00807A60" w:rsidP="00807A60">
            <w:pPr>
              <w:ind w:firstLine="142"/>
              <w:jc w:val="center"/>
              <w:rPr>
                <w:sz w:val="20"/>
                <w:szCs w:val="20"/>
              </w:rPr>
            </w:pPr>
            <w:r w:rsidRPr="007E5598">
              <w:rPr>
                <w:sz w:val="20"/>
                <w:szCs w:val="20"/>
              </w:rPr>
              <w:t>1</w:t>
            </w:r>
          </w:p>
        </w:tc>
        <w:tc>
          <w:tcPr>
            <w:tcW w:w="1110" w:type="dxa"/>
            <w:tcBorders>
              <w:top w:val="single" w:sz="4" w:space="0" w:color="auto"/>
              <w:bottom w:val="nil"/>
            </w:tcBorders>
            <w:vAlign w:val="center"/>
          </w:tcPr>
          <w:p w14:paraId="38CBFD82" w14:textId="77777777" w:rsidR="00807A60" w:rsidRPr="007E5598" w:rsidRDefault="00807A60" w:rsidP="00807A60">
            <w:pPr>
              <w:ind w:firstLine="142"/>
              <w:jc w:val="center"/>
              <w:rPr>
                <w:sz w:val="20"/>
                <w:szCs w:val="20"/>
              </w:rPr>
            </w:pPr>
            <w:r w:rsidRPr="007E5598">
              <w:rPr>
                <w:sz w:val="20"/>
                <w:szCs w:val="20"/>
              </w:rPr>
              <w:t>2</w:t>
            </w:r>
          </w:p>
        </w:tc>
        <w:tc>
          <w:tcPr>
            <w:tcW w:w="1110" w:type="dxa"/>
            <w:tcBorders>
              <w:top w:val="single" w:sz="4" w:space="0" w:color="auto"/>
              <w:bottom w:val="nil"/>
            </w:tcBorders>
            <w:shd w:val="clear" w:color="auto" w:fill="auto"/>
            <w:noWrap/>
            <w:vAlign w:val="center"/>
          </w:tcPr>
          <w:p w14:paraId="04C933BB" w14:textId="77777777" w:rsidR="00807A60" w:rsidRPr="007E5598" w:rsidRDefault="00807A60" w:rsidP="00807A60">
            <w:pPr>
              <w:ind w:firstLine="142"/>
              <w:jc w:val="center"/>
              <w:rPr>
                <w:sz w:val="20"/>
                <w:szCs w:val="20"/>
              </w:rPr>
            </w:pPr>
            <w:r w:rsidRPr="007E5598">
              <w:rPr>
                <w:sz w:val="20"/>
                <w:szCs w:val="20"/>
              </w:rPr>
              <w:t>4</w:t>
            </w:r>
          </w:p>
        </w:tc>
        <w:tc>
          <w:tcPr>
            <w:tcW w:w="1110" w:type="dxa"/>
            <w:tcBorders>
              <w:top w:val="single" w:sz="4" w:space="0" w:color="auto"/>
              <w:bottom w:val="nil"/>
            </w:tcBorders>
            <w:vAlign w:val="center"/>
          </w:tcPr>
          <w:p w14:paraId="35D235B2" w14:textId="77777777" w:rsidR="00807A60" w:rsidRPr="007E5598" w:rsidRDefault="00807A60" w:rsidP="00807A60">
            <w:pPr>
              <w:ind w:firstLine="142"/>
              <w:jc w:val="center"/>
              <w:rPr>
                <w:sz w:val="20"/>
                <w:szCs w:val="20"/>
              </w:rPr>
            </w:pPr>
            <w:r w:rsidRPr="007E5598">
              <w:rPr>
                <w:sz w:val="20"/>
                <w:szCs w:val="20"/>
              </w:rPr>
              <w:t>5</w:t>
            </w:r>
          </w:p>
        </w:tc>
        <w:tc>
          <w:tcPr>
            <w:tcW w:w="1110" w:type="dxa"/>
            <w:tcBorders>
              <w:top w:val="single" w:sz="4" w:space="0" w:color="auto"/>
              <w:bottom w:val="nil"/>
            </w:tcBorders>
            <w:vAlign w:val="center"/>
          </w:tcPr>
          <w:p w14:paraId="5C62C04F" w14:textId="77777777" w:rsidR="00807A60" w:rsidRPr="007E5598" w:rsidRDefault="00807A60" w:rsidP="00807A60">
            <w:pPr>
              <w:ind w:firstLine="142"/>
              <w:jc w:val="center"/>
              <w:rPr>
                <w:sz w:val="20"/>
                <w:szCs w:val="20"/>
              </w:rPr>
            </w:pPr>
            <w:r w:rsidRPr="007E5598">
              <w:rPr>
                <w:sz w:val="20"/>
                <w:szCs w:val="20"/>
              </w:rPr>
              <w:t>6</w:t>
            </w:r>
          </w:p>
        </w:tc>
        <w:tc>
          <w:tcPr>
            <w:tcW w:w="1110" w:type="dxa"/>
            <w:tcBorders>
              <w:top w:val="single" w:sz="4" w:space="0" w:color="auto"/>
              <w:bottom w:val="nil"/>
            </w:tcBorders>
            <w:vAlign w:val="center"/>
          </w:tcPr>
          <w:p w14:paraId="53787DF3" w14:textId="77777777" w:rsidR="00807A60" w:rsidRPr="007E5598" w:rsidRDefault="00807A60" w:rsidP="00807A60">
            <w:pPr>
              <w:ind w:firstLine="142"/>
              <w:jc w:val="center"/>
              <w:rPr>
                <w:sz w:val="20"/>
                <w:szCs w:val="20"/>
              </w:rPr>
            </w:pPr>
            <w:r w:rsidRPr="007E5598">
              <w:rPr>
                <w:sz w:val="20"/>
                <w:szCs w:val="20"/>
              </w:rPr>
              <w:t>7</w:t>
            </w:r>
          </w:p>
        </w:tc>
        <w:tc>
          <w:tcPr>
            <w:tcW w:w="1110" w:type="dxa"/>
            <w:tcBorders>
              <w:top w:val="single" w:sz="4" w:space="0" w:color="auto"/>
              <w:bottom w:val="nil"/>
            </w:tcBorders>
            <w:vAlign w:val="center"/>
          </w:tcPr>
          <w:p w14:paraId="5084B8A8" w14:textId="77777777" w:rsidR="00807A60" w:rsidRPr="007E5598" w:rsidRDefault="00807A60" w:rsidP="00807A60">
            <w:pPr>
              <w:ind w:firstLine="142"/>
              <w:jc w:val="center"/>
              <w:rPr>
                <w:sz w:val="20"/>
                <w:szCs w:val="20"/>
              </w:rPr>
            </w:pPr>
            <w:r w:rsidRPr="007E5598">
              <w:rPr>
                <w:sz w:val="20"/>
                <w:szCs w:val="20"/>
              </w:rPr>
              <w:t>8</w:t>
            </w:r>
          </w:p>
        </w:tc>
      </w:tr>
      <w:tr w:rsidR="00807A60" w:rsidRPr="007E5598" w14:paraId="24155117" w14:textId="77777777" w:rsidTr="00807A60">
        <w:trPr>
          <w:trHeight w:hRule="exact" w:val="397"/>
        </w:trPr>
        <w:tc>
          <w:tcPr>
            <w:tcW w:w="2603" w:type="dxa"/>
            <w:tcBorders>
              <w:top w:val="nil"/>
            </w:tcBorders>
            <w:shd w:val="clear" w:color="auto" w:fill="auto"/>
            <w:vAlign w:val="center"/>
          </w:tcPr>
          <w:p w14:paraId="178D5298" w14:textId="77777777" w:rsidR="00807A60" w:rsidRPr="007E5598" w:rsidRDefault="00807A60" w:rsidP="00807A60">
            <w:pPr>
              <w:rPr>
                <w:sz w:val="20"/>
                <w:szCs w:val="20"/>
              </w:rPr>
            </w:pPr>
            <w:r w:rsidRPr="007E5598">
              <w:rPr>
                <w:sz w:val="20"/>
                <w:szCs w:val="20"/>
              </w:rPr>
              <w:t>1. Age</w:t>
            </w:r>
          </w:p>
        </w:tc>
        <w:tc>
          <w:tcPr>
            <w:tcW w:w="1109" w:type="dxa"/>
            <w:tcBorders>
              <w:top w:val="nil"/>
            </w:tcBorders>
            <w:shd w:val="clear" w:color="auto" w:fill="auto"/>
            <w:noWrap/>
            <w:vAlign w:val="center"/>
          </w:tcPr>
          <w:p w14:paraId="23A64C6A" w14:textId="77777777" w:rsidR="00807A60" w:rsidRPr="007E5598" w:rsidRDefault="00807A60" w:rsidP="00807A60">
            <w:pPr>
              <w:ind w:firstLine="142"/>
              <w:jc w:val="center"/>
              <w:rPr>
                <w:sz w:val="20"/>
                <w:szCs w:val="20"/>
              </w:rPr>
            </w:pPr>
            <w:r w:rsidRPr="007E5598">
              <w:rPr>
                <w:sz w:val="20"/>
                <w:szCs w:val="20"/>
              </w:rPr>
              <w:sym w:font="Symbol" w:char="F02D"/>
            </w:r>
          </w:p>
        </w:tc>
        <w:tc>
          <w:tcPr>
            <w:tcW w:w="1110" w:type="dxa"/>
            <w:tcBorders>
              <w:top w:val="nil"/>
            </w:tcBorders>
            <w:vAlign w:val="center"/>
          </w:tcPr>
          <w:p w14:paraId="3DCE4504" w14:textId="77777777" w:rsidR="00807A60" w:rsidRPr="007E5598" w:rsidRDefault="00807A60" w:rsidP="00807A60">
            <w:pPr>
              <w:ind w:firstLine="142"/>
              <w:jc w:val="center"/>
              <w:rPr>
                <w:sz w:val="20"/>
                <w:szCs w:val="20"/>
              </w:rPr>
            </w:pPr>
            <w:r w:rsidRPr="007E5598">
              <w:rPr>
                <w:sz w:val="20"/>
                <w:szCs w:val="20"/>
              </w:rPr>
              <w:t>.4</w:t>
            </w:r>
            <w:r>
              <w:rPr>
                <w:sz w:val="20"/>
                <w:szCs w:val="20"/>
              </w:rPr>
              <w:t>8</w:t>
            </w:r>
            <w:r w:rsidRPr="007E5598">
              <w:rPr>
                <w:sz w:val="20"/>
                <w:szCs w:val="20"/>
              </w:rPr>
              <w:t>**</w:t>
            </w:r>
          </w:p>
        </w:tc>
        <w:tc>
          <w:tcPr>
            <w:tcW w:w="1110" w:type="dxa"/>
            <w:tcBorders>
              <w:top w:val="nil"/>
            </w:tcBorders>
            <w:shd w:val="clear" w:color="auto" w:fill="auto"/>
            <w:noWrap/>
            <w:vAlign w:val="center"/>
          </w:tcPr>
          <w:p w14:paraId="2D3A815F" w14:textId="77777777" w:rsidR="00807A60" w:rsidRPr="007E5598" w:rsidRDefault="00807A60" w:rsidP="00807A60">
            <w:pPr>
              <w:ind w:firstLine="142"/>
              <w:jc w:val="center"/>
              <w:rPr>
                <w:sz w:val="20"/>
                <w:szCs w:val="20"/>
              </w:rPr>
            </w:pPr>
            <w:r w:rsidRPr="007E5598">
              <w:rPr>
                <w:sz w:val="20"/>
                <w:szCs w:val="20"/>
              </w:rPr>
              <w:t>-.</w:t>
            </w:r>
            <w:r>
              <w:rPr>
                <w:sz w:val="20"/>
                <w:szCs w:val="20"/>
              </w:rPr>
              <w:t>15</w:t>
            </w:r>
          </w:p>
        </w:tc>
        <w:tc>
          <w:tcPr>
            <w:tcW w:w="1110" w:type="dxa"/>
            <w:tcBorders>
              <w:top w:val="nil"/>
            </w:tcBorders>
            <w:vAlign w:val="center"/>
          </w:tcPr>
          <w:p w14:paraId="3881E7F6" w14:textId="77777777" w:rsidR="00807A60" w:rsidRPr="007E5598" w:rsidRDefault="00807A60" w:rsidP="00807A60">
            <w:pPr>
              <w:ind w:firstLine="142"/>
              <w:jc w:val="center"/>
              <w:rPr>
                <w:sz w:val="20"/>
                <w:szCs w:val="20"/>
              </w:rPr>
            </w:pPr>
            <w:r w:rsidRPr="007E5598">
              <w:rPr>
                <w:sz w:val="20"/>
                <w:szCs w:val="20"/>
              </w:rPr>
              <w:t>-.</w:t>
            </w:r>
            <w:r>
              <w:rPr>
                <w:sz w:val="20"/>
                <w:szCs w:val="20"/>
              </w:rPr>
              <w:t>19*</w:t>
            </w:r>
          </w:p>
        </w:tc>
        <w:tc>
          <w:tcPr>
            <w:tcW w:w="1110" w:type="dxa"/>
            <w:tcBorders>
              <w:top w:val="nil"/>
            </w:tcBorders>
            <w:vAlign w:val="center"/>
          </w:tcPr>
          <w:p w14:paraId="6AACA906" w14:textId="77777777" w:rsidR="00807A60" w:rsidRPr="007E5598" w:rsidRDefault="00807A60" w:rsidP="00807A60">
            <w:pPr>
              <w:ind w:firstLine="142"/>
              <w:jc w:val="center"/>
              <w:rPr>
                <w:sz w:val="20"/>
                <w:szCs w:val="20"/>
              </w:rPr>
            </w:pPr>
            <w:r w:rsidRPr="007E5598">
              <w:rPr>
                <w:sz w:val="20"/>
                <w:szCs w:val="20"/>
              </w:rPr>
              <w:t>-.</w:t>
            </w:r>
            <w:r>
              <w:rPr>
                <w:sz w:val="20"/>
                <w:szCs w:val="20"/>
              </w:rPr>
              <w:t>27</w:t>
            </w:r>
            <w:r w:rsidRPr="007E5598">
              <w:rPr>
                <w:sz w:val="20"/>
                <w:szCs w:val="20"/>
              </w:rPr>
              <w:t>*</w:t>
            </w:r>
          </w:p>
        </w:tc>
        <w:tc>
          <w:tcPr>
            <w:tcW w:w="1110" w:type="dxa"/>
            <w:tcBorders>
              <w:top w:val="nil"/>
            </w:tcBorders>
            <w:vAlign w:val="center"/>
          </w:tcPr>
          <w:p w14:paraId="7CDD3127" w14:textId="77777777" w:rsidR="00807A60" w:rsidRPr="007E5598" w:rsidRDefault="00807A60" w:rsidP="00807A60">
            <w:pPr>
              <w:ind w:firstLine="142"/>
              <w:jc w:val="center"/>
              <w:rPr>
                <w:sz w:val="20"/>
                <w:szCs w:val="20"/>
              </w:rPr>
            </w:pPr>
            <w:r w:rsidRPr="007E5598">
              <w:rPr>
                <w:sz w:val="20"/>
                <w:szCs w:val="20"/>
              </w:rPr>
              <w:t>-</w:t>
            </w:r>
            <w:r>
              <w:rPr>
                <w:sz w:val="20"/>
                <w:szCs w:val="20"/>
              </w:rPr>
              <w:t>.08</w:t>
            </w:r>
          </w:p>
        </w:tc>
        <w:tc>
          <w:tcPr>
            <w:tcW w:w="1110" w:type="dxa"/>
            <w:tcBorders>
              <w:top w:val="nil"/>
            </w:tcBorders>
            <w:vAlign w:val="center"/>
          </w:tcPr>
          <w:p w14:paraId="4CB3AD89" w14:textId="77777777" w:rsidR="00807A60" w:rsidRPr="007E5598" w:rsidRDefault="00807A60" w:rsidP="00807A60">
            <w:pPr>
              <w:ind w:firstLine="142"/>
              <w:jc w:val="center"/>
              <w:rPr>
                <w:sz w:val="20"/>
                <w:szCs w:val="20"/>
              </w:rPr>
            </w:pPr>
            <w:r>
              <w:rPr>
                <w:sz w:val="20"/>
                <w:szCs w:val="20"/>
              </w:rPr>
              <w:t>-.01</w:t>
            </w:r>
          </w:p>
        </w:tc>
      </w:tr>
      <w:tr w:rsidR="00807A60" w:rsidRPr="007E5598" w14:paraId="22903179" w14:textId="77777777" w:rsidTr="00807A60">
        <w:trPr>
          <w:trHeight w:hRule="exact" w:val="397"/>
        </w:trPr>
        <w:tc>
          <w:tcPr>
            <w:tcW w:w="2603" w:type="dxa"/>
            <w:shd w:val="clear" w:color="auto" w:fill="auto"/>
            <w:vAlign w:val="center"/>
          </w:tcPr>
          <w:p w14:paraId="60D49D8B" w14:textId="77777777" w:rsidR="00807A60" w:rsidRPr="007E5598" w:rsidRDefault="00807A60" w:rsidP="00807A60">
            <w:pPr>
              <w:rPr>
                <w:sz w:val="20"/>
                <w:szCs w:val="20"/>
              </w:rPr>
            </w:pPr>
            <w:r w:rsidRPr="007E5598">
              <w:rPr>
                <w:sz w:val="20"/>
                <w:szCs w:val="20"/>
              </w:rPr>
              <w:t xml:space="preserve">2. </w:t>
            </w:r>
            <w:r>
              <w:rPr>
                <w:sz w:val="20"/>
                <w:szCs w:val="20"/>
              </w:rPr>
              <w:t>Language</w:t>
            </w:r>
            <w:r w:rsidRPr="007E5598">
              <w:rPr>
                <w:sz w:val="20"/>
                <w:szCs w:val="20"/>
              </w:rPr>
              <w:t xml:space="preserve"> ability </w:t>
            </w:r>
          </w:p>
        </w:tc>
        <w:tc>
          <w:tcPr>
            <w:tcW w:w="1109" w:type="dxa"/>
            <w:shd w:val="clear" w:color="auto" w:fill="auto"/>
            <w:noWrap/>
            <w:vAlign w:val="center"/>
          </w:tcPr>
          <w:p w14:paraId="57ACD48E" w14:textId="77777777" w:rsidR="00807A60" w:rsidRPr="007E5598" w:rsidRDefault="00807A60" w:rsidP="00807A60">
            <w:pPr>
              <w:ind w:firstLine="142"/>
              <w:jc w:val="center"/>
              <w:rPr>
                <w:sz w:val="20"/>
                <w:szCs w:val="20"/>
              </w:rPr>
            </w:pPr>
            <w:r>
              <w:rPr>
                <w:sz w:val="20"/>
                <w:szCs w:val="20"/>
              </w:rPr>
              <w:t>.38**</w:t>
            </w:r>
          </w:p>
        </w:tc>
        <w:tc>
          <w:tcPr>
            <w:tcW w:w="1110" w:type="dxa"/>
            <w:vAlign w:val="center"/>
          </w:tcPr>
          <w:p w14:paraId="1C633D7B" w14:textId="77777777" w:rsidR="00807A60" w:rsidRPr="007E5598" w:rsidRDefault="00807A60" w:rsidP="00807A60">
            <w:pPr>
              <w:ind w:firstLine="142"/>
              <w:jc w:val="center"/>
              <w:rPr>
                <w:sz w:val="20"/>
                <w:szCs w:val="20"/>
              </w:rPr>
            </w:pPr>
            <w:r w:rsidRPr="007E5598">
              <w:rPr>
                <w:sz w:val="20"/>
                <w:szCs w:val="20"/>
              </w:rPr>
              <w:sym w:font="Symbol" w:char="F02D"/>
            </w:r>
          </w:p>
        </w:tc>
        <w:tc>
          <w:tcPr>
            <w:tcW w:w="1110" w:type="dxa"/>
            <w:shd w:val="clear" w:color="auto" w:fill="auto"/>
            <w:noWrap/>
            <w:vAlign w:val="center"/>
          </w:tcPr>
          <w:p w14:paraId="263A4EC2" w14:textId="77777777" w:rsidR="00807A60" w:rsidRPr="007E5598" w:rsidRDefault="00807A60" w:rsidP="00807A60">
            <w:pPr>
              <w:ind w:firstLine="142"/>
              <w:jc w:val="center"/>
              <w:rPr>
                <w:sz w:val="20"/>
                <w:szCs w:val="20"/>
              </w:rPr>
            </w:pPr>
            <w:r>
              <w:rPr>
                <w:sz w:val="20"/>
                <w:szCs w:val="20"/>
              </w:rPr>
              <w:t>-.26</w:t>
            </w:r>
            <w:r w:rsidRPr="007E5598">
              <w:rPr>
                <w:sz w:val="20"/>
                <w:szCs w:val="20"/>
              </w:rPr>
              <w:t>**</w:t>
            </w:r>
          </w:p>
        </w:tc>
        <w:tc>
          <w:tcPr>
            <w:tcW w:w="1110" w:type="dxa"/>
            <w:vAlign w:val="center"/>
          </w:tcPr>
          <w:p w14:paraId="25EC2F5C" w14:textId="77777777" w:rsidR="00807A60" w:rsidRPr="007E5598" w:rsidRDefault="00807A60" w:rsidP="00807A60">
            <w:pPr>
              <w:ind w:firstLine="142"/>
              <w:jc w:val="center"/>
              <w:rPr>
                <w:sz w:val="20"/>
                <w:szCs w:val="20"/>
              </w:rPr>
            </w:pPr>
            <w:r w:rsidRPr="007E5598">
              <w:rPr>
                <w:sz w:val="20"/>
                <w:szCs w:val="20"/>
              </w:rPr>
              <w:t>-</w:t>
            </w:r>
            <w:r>
              <w:rPr>
                <w:sz w:val="20"/>
                <w:szCs w:val="20"/>
              </w:rPr>
              <w:t>.41</w:t>
            </w:r>
            <w:r w:rsidRPr="007E5598">
              <w:rPr>
                <w:sz w:val="20"/>
                <w:szCs w:val="20"/>
              </w:rPr>
              <w:t>**</w:t>
            </w:r>
          </w:p>
        </w:tc>
        <w:tc>
          <w:tcPr>
            <w:tcW w:w="1110" w:type="dxa"/>
            <w:vAlign w:val="center"/>
          </w:tcPr>
          <w:p w14:paraId="70E1AFD0" w14:textId="77777777" w:rsidR="00807A60" w:rsidRPr="007E5598" w:rsidRDefault="00807A60" w:rsidP="00807A60">
            <w:pPr>
              <w:ind w:firstLine="142"/>
              <w:jc w:val="center"/>
              <w:rPr>
                <w:sz w:val="20"/>
                <w:szCs w:val="20"/>
              </w:rPr>
            </w:pPr>
            <w:r>
              <w:rPr>
                <w:sz w:val="20"/>
                <w:szCs w:val="20"/>
              </w:rPr>
              <w:t>-.32</w:t>
            </w:r>
            <w:r w:rsidRPr="007E5598">
              <w:rPr>
                <w:sz w:val="20"/>
                <w:szCs w:val="20"/>
              </w:rPr>
              <w:t>**</w:t>
            </w:r>
          </w:p>
        </w:tc>
        <w:tc>
          <w:tcPr>
            <w:tcW w:w="1110" w:type="dxa"/>
            <w:vAlign w:val="center"/>
          </w:tcPr>
          <w:p w14:paraId="1D22C523" w14:textId="77777777" w:rsidR="00807A60" w:rsidRPr="007E5598" w:rsidRDefault="00807A60" w:rsidP="00807A60">
            <w:pPr>
              <w:ind w:firstLine="142"/>
              <w:jc w:val="center"/>
              <w:rPr>
                <w:sz w:val="20"/>
                <w:szCs w:val="20"/>
              </w:rPr>
            </w:pPr>
            <w:r>
              <w:rPr>
                <w:sz w:val="20"/>
                <w:szCs w:val="20"/>
              </w:rPr>
              <w:t>-.20*</w:t>
            </w:r>
          </w:p>
        </w:tc>
        <w:tc>
          <w:tcPr>
            <w:tcW w:w="1110" w:type="dxa"/>
            <w:vAlign w:val="center"/>
          </w:tcPr>
          <w:p w14:paraId="59F18BE2" w14:textId="77777777" w:rsidR="00807A60" w:rsidRPr="007E5598" w:rsidRDefault="00807A60" w:rsidP="00807A60">
            <w:pPr>
              <w:ind w:firstLine="142"/>
              <w:jc w:val="center"/>
              <w:rPr>
                <w:sz w:val="20"/>
                <w:szCs w:val="20"/>
              </w:rPr>
            </w:pPr>
            <w:r>
              <w:rPr>
                <w:sz w:val="20"/>
                <w:szCs w:val="20"/>
              </w:rPr>
              <w:t>.08</w:t>
            </w:r>
          </w:p>
        </w:tc>
      </w:tr>
      <w:tr w:rsidR="00807A60" w:rsidRPr="007E5598" w14:paraId="2F95F1A6" w14:textId="77777777" w:rsidTr="00807A60">
        <w:trPr>
          <w:trHeight w:hRule="exact" w:val="397"/>
        </w:trPr>
        <w:tc>
          <w:tcPr>
            <w:tcW w:w="2603" w:type="dxa"/>
            <w:shd w:val="clear" w:color="auto" w:fill="auto"/>
            <w:vAlign w:val="center"/>
          </w:tcPr>
          <w:p w14:paraId="10C6B6AB" w14:textId="77777777" w:rsidR="00807A60" w:rsidRPr="007E5598" w:rsidRDefault="00807A60" w:rsidP="00807A60">
            <w:pPr>
              <w:rPr>
                <w:sz w:val="20"/>
                <w:szCs w:val="20"/>
              </w:rPr>
            </w:pPr>
            <w:r>
              <w:rPr>
                <w:sz w:val="20"/>
                <w:szCs w:val="20"/>
              </w:rPr>
              <w:t>3</w:t>
            </w:r>
            <w:r w:rsidRPr="007E5598">
              <w:rPr>
                <w:sz w:val="20"/>
                <w:szCs w:val="20"/>
              </w:rPr>
              <w:t xml:space="preserve">. Behavioural </w:t>
            </w:r>
            <w:r>
              <w:rPr>
                <w:sz w:val="20"/>
                <w:szCs w:val="20"/>
              </w:rPr>
              <w:t>a</w:t>
            </w:r>
            <w:r w:rsidRPr="007E5598">
              <w:rPr>
                <w:sz w:val="20"/>
                <w:szCs w:val="20"/>
              </w:rPr>
              <w:t>djustment</w:t>
            </w:r>
          </w:p>
        </w:tc>
        <w:tc>
          <w:tcPr>
            <w:tcW w:w="1109" w:type="dxa"/>
            <w:shd w:val="clear" w:color="auto" w:fill="auto"/>
            <w:noWrap/>
            <w:vAlign w:val="center"/>
          </w:tcPr>
          <w:p w14:paraId="325A6B14" w14:textId="77777777" w:rsidR="00807A60" w:rsidRPr="007E5598" w:rsidRDefault="00807A60" w:rsidP="00807A60">
            <w:pPr>
              <w:ind w:firstLine="142"/>
              <w:jc w:val="center"/>
              <w:rPr>
                <w:sz w:val="20"/>
                <w:szCs w:val="20"/>
              </w:rPr>
            </w:pPr>
            <w:r>
              <w:rPr>
                <w:sz w:val="20"/>
                <w:szCs w:val="20"/>
              </w:rPr>
              <w:t>.02</w:t>
            </w:r>
          </w:p>
        </w:tc>
        <w:tc>
          <w:tcPr>
            <w:tcW w:w="1110" w:type="dxa"/>
            <w:vAlign w:val="center"/>
          </w:tcPr>
          <w:p w14:paraId="51CAB781" w14:textId="77777777" w:rsidR="00807A60" w:rsidRPr="007E5598" w:rsidRDefault="00807A60" w:rsidP="00807A60">
            <w:pPr>
              <w:ind w:firstLine="142"/>
              <w:jc w:val="center"/>
              <w:rPr>
                <w:sz w:val="20"/>
                <w:szCs w:val="20"/>
              </w:rPr>
            </w:pPr>
            <w:r>
              <w:rPr>
                <w:sz w:val="20"/>
                <w:szCs w:val="20"/>
              </w:rPr>
              <w:t>.02</w:t>
            </w:r>
          </w:p>
        </w:tc>
        <w:tc>
          <w:tcPr>
            <w:tcW w:w="1110" w:type="dxa"/>
            <w:shd w:val="clear" w:color="auto" w:fill="auto"/>
            <w:noWrap/>
            <w:vAlign w:val="center"/>
          </w:tcPr>
          <w:p w14:paraId="68EEB683" w14:textId="77777777" w:rsidR="00807A60" w:rsidRPr="007E5598" w:rsidRDefault="00807A60" w:rsidP="00807A60">
            <w:pPr>
              <w:ind w:firstLine="142"/>
              <w:jc w:val="center"/>
              <w:rPr>
                <w:sz w:val="20"/>
                <w:szCs w:val="20"/>
              </w:rPr>
            </w:pPr>
            <w:r w:rsidRPr="007E5598">
              <w:rPr>
                <w:sz w:val="20"/>
                <w:szCs w:val="20"/>
              </w:rPr>
              <w:sym w:font="Symbol" w:char="F02D"/>
            </w:r>
          </w:p>
        </w:tc>
        <w:tc>
          <w:tcPr>
            <w:tcW w:w="1110" w:type="dxa"/>
            <w:vAlign w:val="center"/>
          </w:tcPr>
          <w:p w14:paraId="28DCB9F3" w14:textId="77777777" w:rsidR="00807A60" w:rsidRPr="007E5598" w:rsidRDefault="00807A60" w:rsidP="00807A60">
            <w:pPr>
              <w:ind w:firstLine="142"/>
              <w:jc w:val="center"/>
              <w:rPr>
                <w:sz w:val="20"/>
                <w:szCs w:val="20"/>
              </w:rPr>
            </w:pPr>
            <w:r>
              <w:rPr>
                <w:rFonts w:eastAsiaTheme="majorEastAsia"/>
                <w:iCs/>
                <w:sz w:val="20"/>
                <w:szCs w:val="20"/>
              </w:rPr>
              <w:t>.30</w:t>
            </w:r>
            <w:r w:rsidRPr="007E5598">
              <w:rPr>
                <w:rFonts w:eastAsiaTheme="majorEastAsia"/>
                <w:iCs/>
                <w:sz w:val="20"/>
                <w:szCs w:val="20"/>
              </w:rPr>
              <w:t>**</w:t>
            </w:r>
          </w:p>
        </w:tc>
        <w:tc>
          <w:tcPr>
            <w:tcW w:w="1110" w:type="dxa"/>
            <w:vAlign w:val="center"/>
          </w:tcPr>
          <w:p w14:paraId="36D66A82" w14:textId="77777777" w:rsidR="00807A60" w:rsidRPr="007E5598" w:rsidRDefault="00807A60" w:rsidP="00807A60">
            <w:pPr>
              <w:ind w:firstLine="142"/>
              <w:jc w:val="center"/>
              <w:rPr>
                <w:sz w:val="20"/>
                <w:szCs w:val="20"/>
              </w:rPr>
            </w:pPr>
            <w:r>
              <w:rPr>
                <w:rFonts w:eastAsiaTheme="majorEastAsia"/>
                <w:iCs/>
                <w:sz w:val="20"/>
                <w:szCs w:val="20"/>
              </w:rPr>
              <w:t>.62</w:t>
            </w:r>
            <w:r w:rsidRPr="007E5598">
              <w:rPr>
                <w:rFonts w:eastAsiaTheme="majorEastAsia"/>
                <w:iCs/>
                <w:sz w:val="20"/>
                <w:szCs w:val="20"/>
              </w:rPr>
              <w:t>**</w:t>
            </w:r>
          </w:p>
        </w:tc>
        <w:tc>
          <w:tcPr>
            <w:tcW w:w="1110" w:type="dxa"/>
            <w:vAlign w:val="center"/>
          </w:tcPr>
          <w:p w14:paraId="5AC0BECA" w14:textId="77777777" w:rsidR="00807A60" w:rsidRPr="007E5598" w:rsidRDefault="00807A60" w:rsidP="00807A60">
            <w:pPr>
              <w:ind w:firstLine="142"/>
              <w:jc w:val="center"/>
              <w:rPr>
                <w:sz w:val="20"/>
                <w:szCs w:val="20"/>
              </w:rPr>
            </w:pPr>
            <w:r w:rsidRPr="007E5598">
              <w:rPr>
                <w:rFonts w:eastAsiaTheme="majorEastAsia"/>
                <w:iCs/>
                <w:sz w:val="20"/>
                <w:szCs w:val="20"/>
              </w:rPr>
              <w:t>.42**</w:t>
            </w:r>
          </w:p>
        </w:tc>
        <w:tc>
          <w:tcPr>
            <w:tcW w:w="1110" w:type="dxa"/>
            <w:vAlign w:val="center"/>
          </w:tcPr>
          <w:p w14:paraId="2F6422C0" w14:textId="77777777" w:rsidR="00807A60" w:rsidRPr="007E5598" w:rsidRDefault="00807A60" w:rsidP="00807A60">
            <w:pPr>
              <w:ind w:firstLine="142"/>
              <w:jc w:val="center"/>
              <w:rPr>
                <w:sz w:val="20"/>
                <w:szCs w:val="20"/>
              </w:rPr>
            </w:pPr>
            <w:r>
              <w:rPr>
                <w:sz w:val="20"/>
                <w:szCs w:val="20"/>
              </w:rPr>
              <w:t>-.37</w:t>
            </w:r>
            <w:r w:rsidRPr="007E5598">
              <w:rPr>
                <w:sz w:val="20"/>
                <w:szCs w:val="20"/>
              </w:rPr>
              <w:t>**</w:t>
            </w:r>
          </w:p>
        </w:tc>
      </w:tr>
      <w:tr w:rsidR="00807A60" w:rsidRPr="007E5598" w14:paraId="3811B6E7" w14:textId="77777777" w:rsidTr="00807A60">
        <w:trPr>
          <w:trHeight w:hRule="exact" w:val="397"/>
        </w:trPr>
        <w:tc>
          <w:tcPr>
            <w:tcW w:w="2603" w:type="dxa"/>
            <w:shd w:val="clear" w:color="auto" w:fill="auto"/>
            <w:vAlign w:val="center"/>
          </w:tcPr>
          <w:p w14:paraId="2664353D" w14:textId="77777777" w:rsidR="00807A60" w:rsidRPr="007E5598" w:rsidRDefault="00807A60" w:rsidP="00807A60">
            <w:pPr>
              <w:rPr>
                <w:sz w:val="20"/>
                <w:szCs w:val="20"/>
              </w:rPr>
            </w:pPr>
            <w:r>
              <w:rPr>
                <w:sz w:val="20"/>
                <w:szCs w:val="20"/>
              </w:rPr>
              <w:t>4</w:t>
            </w:r>
            <w:r w:rsidRPr="007E5598">
              <w:rPr>
                <w:sz w:val="20"/>
                <w:szCs w:val="20"/>
              </w:rPr>
              <w:t xml:space="preserve">. Language and </w:t>
            </w:r>
            <w:r>
              <w:rPr>
                <w:sz w:val="20"/>
                <w:szCs w:val="20"/>
              </w:rPr>
              <w:t>c</w:t>
            </w:r>
            <w:r w:rsidRPr="007E5598">
              <w:rPr>
                <w:sz w:val="20"/>
                <w:szCs w:val="20"/>
              </w:rPr>
              <w:t>ognition</w:t>
            </w:r>
          </w:p>
        </w:tc>
        <w:tc>
          <w:tcPr>
            <w:tcW w:w="1109" w:type="dxa"/>
            <w:shd w:val="clear" w:color="auto" w:fill="auto"/>
            <w:noWrap/>
            <w:vAlign w:val="center"/>
          </w:tcPr>
          <w:p w14:paraId="6D5B2705" w14:textId="77777777" w:rsidR="00807A60" w:rsidRPr="007E5598" w:rsidRDefault="00807A60" w:rsidP="00807A60">
            <w:pPr>
              <w:ind w:firstLine="142"/>
              <w:jc w:val="center"/>
              <w:rPr>
                <w:sz w:val="20"/>
                <w:szCs w:val="20"/>
              </w:rPr>
            </w:pPr>
            <w:r>
              <w:rPr>
                <w:sz w:val="20"/>
                <w:szCs w:val="20"/>
              </w:rPr>
              <w:t>.10</w:t>
            </w:r>
          </w:p>
        </w:tc>
        <w:tc>
          <w:tcPr>
            <w:tcW w:w="1110" w:type="dxa"/>
            <w:vAlign w:val="center"/>
          </w:tcPr>
          <w:p w14:paraId="5CF4DE0E" w14:textId="77777777" w:rsidR="00807A60" w:rsidRPr="007E5598" w:rsidRDefault="00807A60" w:rsidP="00807A60">
            <w:pPr>
              <w:ind w:firstLine="142"/>
              <w:jc w:val="center"/>
              <w:rPr>
                <w:sz w:val="20"/>
                <w:szCs w:val="20"/>
              </w:rPr>
            </w:pPr>
            <w:r>
              <w:rPr>
                <w:sz w:val="20"/>
                <w:szCs w:val="20"/>
              </w:rPr>
              <w:t>.00</w:t>
            </w:r>
          </w:p>
        </w:tc>
        <w:tc>
          <w:tcPr>
            <w:tcW w:w="1110" w:type="dxa"/>
            <w:shd w:val="clear" w:color="auto" w:fill="auto"/>
            <w:noWrap/>
            <w:vAlign w:val="center"/>
          </w:tcPr>
          <w:p w14:paraId="38F7A703" w14:textId="77777777" w:rsidR="00807A60" w:rsidRPr="007E5598" w:rsidRDefault="00807A60" w:rsidP="00807A60">
            <w:pPr>
              <w:ind w:firstLine="142"/>
              <w:jc w:val="center"/>
              <w:rPr>
                <w:sz w:val="20"/>
                <w:szCs w:val="20"/>
              </w:rPr>
            </w:pPr>
            <w:r>
              <w:rPr>
                <w:rFonts w:eastAsiaTheme="majorEastAsia"/>
                <w:iCs/>
                <w:sz w:val="20"/>
                <w:szCs w:val="20"/>
              </w:rPr>
              <w:t>.43**</w:t>
            </w:r>
          </w:p>
        </w:tc>
        <w:tc>
          <w:tcPr>
            <w:tcW w:w="1110" w:type="dxa"/>
            <w:vAlign w:val="center"/>
          </w:tcPr>
          <w:p w14:paraId="0FCEF576" w14:textId="77777777" w:rsidR="00807A60" w:rsidRPr="007E5598" w:rsidRDefault="00807A60" w:rsidP="00807A60">
            <w:pPr>
              <w:ind w:firstLine="142"/>
              <w:jc w:val="center"/>
              <w:rPr>
                <w:sz w:val="20"/>
                <w:szCs w:val="20"/>
              </w:rPr>
            </w:pPr>
            <w:r w:rsidRPr="007E5598">
              <w:rPr>
                <w:sz w:val="20"/>
                <w:szCs w:val="20"/>
              </w:rPr>
              <w:sym w:font="Symbol" w:char="F02D"/>
            </w:r>
          </w:p>
        </w:tc>
        <w:tc>
          <w:tcPr>
            <w:tcW w:w="1110" w:type="dxa"/>
            <w:vAlign w:val="center"/>
          </w:tcPr>
          <w:p w14:paraId="11AB5B67" w14:textId="77777777" w:rsidR="00807A60" w:rsidRPr="007E5598" w:rsidRDefault="00807A60" w:rsidP="00807A60">
            <w:pPr>
              <w:ind w:firstLine="142"/>
              <w:jc w:val="center"/>
              <w:rPr>
                <w:sz w:val="20"/>
                <w:szCs w:val="20"/>
              </w:rPr>
            </w:pPr>
            <w:r>
              <w:rPr>
                <w:rFonts w:eastAsiaTheme="majorEastAsia"/>
                <w:iCs/>
                <w:sz w:val="20"/>
                <w:szCs w:val="20"/>
              </w:rPr>
              <w:t>.45</w:t>
            </w:r>
            <w:r w:rsidRPr="007E5598">
              <w:rPr>
                <w:rFonts w:eastAsiaTheme="majorEastAsia"/>
                <w:iCs/>
                <w:sz w:val="20"/>
                <w:szCs w:val="20"/>
              </w:rPr>
              <w:t>**</w:t>
            </w:r>
          </w:p>
        </w:tc>
        <w:tc>
          <w:tcPr>
            <w:tcW w:w="1110" w:type="dxa"/>
            <w:vAlign w:val="center"/>
          </w:tcPr>
          <w:p w14:paraId="75DE4659" w14:textId="77777777" w:rsidR="00807A60" w:rsidRPr="007E5598" w:rsidRDefault="00807A60" w:rsidP="00807A60">
            <w:pPr>
              <w:ind w:firstLine="142"/>
              <w:jc w:val="center"/>
              <w:rPr>
                <w:sz w:val="20"/>
                <w:szCs w:val="20"/>
              </w:rPr>
            </w:pPr>
            <w:r w:rsidRPr="007E5598">
              <w:rPr>
                <w:rFonts w:eastAsiaTheme="majorEastAsia"/>
                <w:iCs/>
                <w:sz w:val="20"/>
                <w:szCs w:val="20"/>
              </w:rPr>
              <w:t>.</w:t>
            </w:r>
            <w:r>
              <w:rPr>
                <w:rFonts w:eastAsiaTheme="majorEastAsia"/>
                <w:iCs/>
                <w:sz w:val="20"/>
                <w:szCs w:val="20"/>
              </w:rPr>
              <w:t>42</w:t>
            </w:r>
            <w:r w:rsidRPr="007E5598">
              <w:rPr>
                <w:rFonts w:eastAsiaTheme="majorEastAsia"/>
                <w:iCs/>
                <w:sz w:val="20"/>
                <w:szCs w:val="20"/>
              </w:rPr>
              <w:t>**</w:t>
            </w:r>
          </w:p>
        </w:tc>
        <w:tc>
          <w:tcPr>
            <w:tcW w:w="1110" w:type="dxa"/>
            <w:vAlign w:val="center"/>
          </w:tcPr>
          <w:p w14:paraId="6B3DAC8E" w14:textId="77777777" w:rsidR="00807A60" w:rsidRPr="007E5598" w:rsidRDefault="00807A60" w:rsidP="00807A60">
            <w:pPr>
              <w:ind w:firstLine="142"/>
              <w:jc w:val="center"/>
              <w:rPr>
                <w:sz w:val="20"/>
                <w:szCs w:val="20"/>
              </w:rPr>
            </w:pPr>
            <w:r w:rsidRPr="007E5598">
              <w:rPr>
                <w:sz w:val="20"/>
                <w:szCs w:val="20"/>
              </w:rPr>
              <w:t>-.25**</w:t>
            </w:r>
          </w:p>
        </w:tc>
      </w:tr>
      <w:tr w:rsidR="00807A60" w:rsidRPr="007E5598" w14:paraId="56E86256" w14:textId="77777777" w:rsidTr="00807A60">
        <w:trPr>
          <w:trHeight w:hRule="exact" w:val="397"/>
        </w:trPr>
        <w:tc>
          <w:tcPr>
            <w:tcW w:w="2603" w:type="dxa"/>
            <w:shd w:val="clear" w:color="auto" w:fill="auto"/>
            <w:vAlign w:val="center"/>
          </w:tcPr>
          <w:p w14:paraId="1AA28460" w14:textId="77777777" w:rsidR="00807A60" w:rsidRPr="007E5598" w:rsidRDefault="00807A60" w:rsidP="00807A60">
            <w:pPr>
              <w:rPr>
                <w:sz w:val="20"/>
                <w:szCs w:val="20"/>
              </w:rPr>
            </w:pPr>
            <w:r>
              <w:rPr>
                <w:sz w:val="20"/>
                <w:szCs w:val="20"/>
              </w:rPr>
              <w:t>5</w:t>
            </w:r>
            <w:r w:rsidRPr="007E5598">
              <w:rPr>
                <w:sz w:val="20"/>
                <w:szCs w:val="20"/>
              </w:rPr>
              <w:t>. Daily living skills</w:t>
            </w:r>
          </w:p>
        </w:tc>
        <w:tc>
          <w:tcPr>
            <w:tcW w:w="1109" w:type="dxa"/>
            <w:shd w:val="clear" w:color="auto" w:fill="auto"/>
            <w:noWrap/>
            <w:vAlign w:val="center"/>
          </w:tcPr>
          <w:p w14:paraId="67BD2326" w14:textId="77777777" w:rsidR="00807A60" w:rsidRPr="007E5598" w:rsidRDefault="00807A60" w:rsidP="00807A60">
            <w:pPr>
              <w:ind w:firstLine="142"/>
              <w:jc w:val="center"/>
              <w:rPr>
                <w:sz w:val="20"/>
                <w:szCs w:val="20"/>
              </w:rPr>
            </w:pPr>
            <w:r>
              <w:rPr>
                <w:sz w:val="20"/>
                <w:szCs w:val="20"/>
              </w:rPr>
              <w:t>-.04</w:t>
            </w:r>
          </w:p>
        </w:tc>
        <w:tc>
          <w:tcPr>
            <w:tcW w:w="1110" w:type="dxa"/>
            <w:vAlign w:val="center"/>
          </w:tcPr>
          <w:p w14:paraId="5DFA658F" w14:textId="77777777" w:rsidR="00807A60" w:rsidRPr="007E5598" w:rsidRDefault="00807A60" w:rsidP="00807A60">
            <w:pPr>
              <w:ind w:firstLine="142"/>
              <w:jc w:val="center"/>
              <w:rPr>
                <w:sz w:val="20"/>
                <w:szCs w:val="20"/>
              </w:rPr>
            </w:pPr>
            <w:r>
              <w:rPr>
                <w:sz w:val="20"/>
                <w:szCs w:val="20"/>
              </w:rPr>
              <w:t>-.14</w:t>
            </w:r>
          </w:p>
        </w:tc>
        <w:tc>
          <w:tcPr>
            <w:tcW w:w="1110" w:type="dxa"/>
            <w:shd w:val="clear" w:color="auto" w:fill="auto"/>
            <w:noWrap/>
            <w:vAlign w:val="center"/>
          </w:tcPr>
          <w:p w14:paraId="6A170958" w14:textId="77777777" w:rsidR="00807A60" w:rsidRPr="007E5598" w:rsidRDefault="00807A60" w:rsidP="00807A60">
            <w:pPr>
              <w:ind w:firstLine="142"/>
              <w:jc w:val="center"/>
              <w:rPr>
                <w:sz w:val="20"/>
                <w:szCs w:val="20"/>
              </w:rPr>
            </w:pPr>
            <w:r>
              <w:rPr>
                <w:rFonts w:eastAsiaTheme="majorEastAsia"/>
                <w:iCs/>
                <w:sz w:val="20"/>
                <w:szCs w:val="20"/>
              </w:rPr>
              <w:t>.45**</w:t>
            </w:r>
          </w:p>
        </w:tc>
        <w:tc>
          <w:tcPr>
            <w:tcW w:w="1110" w:type="dxa"/>
            <w:vAlign w:val="center"/>
          </w:tcPr>
          <w:p w14:paraId="10CE727A" w14:textId="77777777" w:rsidR="00807A60" w:rsidRPr="007E5598" w:rsidRDefault="00807A60" w:rsidP="00807A60">
            <w:pPr>
              <w:ind w:firstLine="142"/>
              <w:jc w:val="center"/>
              <w:rPr>
                <w:sz w:val="20"/>
                <w:szCs w:val="20"/>
              </w:rPr>
            </w:pPr>
            <w:r>
              <w:rPr>
                <w:rFonts w:eastAsiaTheme="majorEastAsia"/>
                <w:iCs/>
                <w:sz w:val="20"/>
                <w:szCs w:val="20"/>
              </w:rPr>
              <w:t>.59**</w:t>
            </w:r>
          </w:p>
        </w:tc>
        <w:tc>
          <w:tcPr>
            <w:tcW w:w="1110" w:type="dxa"/>
            <w:vAlign w:val="center"/>
          </w:tcPr>
          <w:p w14:paraId="5B0A6F50" w14:textId="77777777" w:rsidR="00807A60" w:rsidRPr="007E5598" w:rsidRDefault="00807A60" w:rsidP="00807A60">
            <w:pPr>
              <w:ind w:firstLine="142"/>
              <w:jc w:val="center"/>
              <w:rPr>
                <w:sz w:val="20"/>
                <w:szCs w:val="20"/>
              </w:rPr>
            </w:pPr>
            <w:r w:rsidRPr="007E5598">
              <w:rPr>
                <w:sz w:val="20"/>
                <w:szCs w:val="20"/>
              </w:rPr>
              <w:sym w:font="Symbol" w:char="F02D"/>
            </w:r>
          </w:p>
        </w:tc>
        <w:tc>
          <w:tcPr>
            <w:tcW w:w="1110" w:type="dxa"/>
            <w:vAlign w:val="center"/>
          </w:tcPr>
          <w:p w14:paraId="3A5D245C" w14:textId="77777777" w:rsidR="00807A60" w:rsidRPr="007E5598" w:rsidRDefault="00807A60" w:rsidP="00807A60">
            <w:pPr>
              <w:ind w:firstLine="142"/>
              <w:jc w:val="center"/>
              <w:rPr>
                <w:sz w:val="20"/>
                <w:szCs w:val="20"/>
              </w:rPr>
            </w:pPr>
            <w:r>
              <w:rPr>
                <w:rFonts w:eastAsiaTheme="majorEastAsia"/>
                <w:iCs/>
                <w:sz w:val="20"/>
                <w:szCs w:val="20"/>
              </w:rPr>
              <w:t>.45</w:t>
            </w:r>
            <w:r w:rsidRPr="007E5598">
              <w:rPr>
                <w:rFonts w:eastAsiaTheme="majorEastAsia"/>
                <w:iCs/>
                <w:sz w:val="20"/>
                <w:szCs w:val="20"/>
              </w:rPr>
              <w:t>**</w:t>
            </w:r>
          </w:p>
        </w:tc>
        <w:tc>
          <w:tcPr>
            <w:tcW w:w="1110" w:type="dxa"/>
            <w:vAlign w:val="center"/>
          </w:tcPr>
          <w:p w14:paraId="22489E29" w14:textId="77777777" w:rsidR="00807A60" w:rsidRPr="007E5598" w:rsidRDefault="00807A60" w:rsidP="00807A60">
            <w:pPr>
              <w:ind w:firstLine="142"/>
              <w:jc w:val="center"/>
              <w:rPr>
                <w:sz w:val="20"/>
                <w:szCs w:val="20"/>
              </w:rPr>
            </w:pPr>
            <w:r>
              <w:rPr>
                <w:sz w:val="20"/>
                <w:szCs w:val="20"/>
              </w:rPr>
              <w:t>-.22</w:t>
            </w:r>
            <w:r w:rsidRPr="007E5598">
              <w:rPr>
                <w:sz w:val="20"/>
                <w:szCs w:val="20"/>
              </w:rPr>
              <w:t>**</w:t>
            </w:r>
          </w:p>
        </w:tc>
      </w:tr>
      <w:tr w:rsidR="00807A60" w:rsidRPr="007E5598" w14:paraId="5B019542" w14:textId="77777777" w:rsidTr="00807A60">
        <w:trPr>
          <w:trHeight w:hRule="exact" w:val="397"/>
        </w:trPr>
        <w:tc>
          <w:tcPr>
            <w:tcW w:w="2603" w:type="dxa"/>
            <w:shd w:val="clear" w:color="auto" w:fill="auto"/>
            <w:vAlign w:val="center"/>
          </w:tcPr>
          <w:p w14:paraId="2C11561C" w14:textId="77777777" w:rsidR="00807A60" w:rsidRPr="007E5598" w:rsidRDefault="00807A60" w:rsidP="00807A60">
            <w:pPr>
              <w:rPr>
                <w:sz w:val="20"/>
                <w:szCs w:val="20"/>
              </w:rPr>
            </w:pPr>
            <w:r>
              <w:rPr>
                <w:sz w:val="20"/>
                <w:szCs w:val="20"/>
              </w:rPr>
              <w:t>6</w:t>
            </w:r>
            <w:r w:rsidRPr="007E5598">
              <w:rPr>
                <w:sz w:val="20"/>
                <w:szCs w:val="20"/>
              </w:rPr>
              <w:t>. Family support</w:t>
            </w:r>
          </w:p>
        </w:tc>
        <w:tc>
          <w:tcPr>
            <w:tcW w:w="1109" w:type="dxa"/>
            <w:shd w:val="clear" w:color="auto" w:fill="auto"/>
            <w:noWrap/>
            <w:vAlign w:val="center"/>
          </w:tcPr>
          <w:p w14:paraId="302133FC" w14:textId="77777777" w:rsidR="00807A60" w:rsidRPr="007E5598" w:rsidRDefault="00807A60" w:rsidP="00807A60">
            <w:pPr>
              <w:ind w:firstLine="142"/>
              <w:jc w:val="center"/>
              <w:rPr>
                <w:sz w:val="20"/>
                <w:szCs w:val="20"/>
              </w:rPr>
            </w:pPr>
            <w:r>
              <w:rPr>
                <w:sz w:val="20"/>
                <w:szCs w:val="20"/>
              </w:rPr>
              <w:t>.06</w:t>
            </w:r>
          </w:p>
        </w:tc>
        <w:tc>
          <w:tcPr>
            <w:tcW w:w="1110" w:type="dxa"/>
            <w:vAlign w:val="center"/>
          </w:tcPr>
          <w:p w14:paraId="04D40CCA" w14:textId="77777777" w:rsidR="00807A60" w:rsidRPr="007E5598" w:rsidRDefault="00807A60" w:rsidP="00807A60">
            <w:pPr>
              <w:ind w:firstLine="142"/>
              <w:jc w:val="center"/>
              <w:rPr>
                <w:sz w:val="20"/>
                <w:szCs w:val="20"/>
              </w:rPr>
            </w:pPr>
            <w:r>
              <w:rPr>
                <w:sz w:val="20"/>
                <w:szCs w:val="20"/>
              </w:rPr>
              <w:t>-.22*</w:t>
            </w:r>
          </w:p>
        </w:tc>
        <w:tc>
          <w:tcPr>
            <w:tcW w:w="1110" w:type="dxa"/>
            <w:shd w:val="clear" w:color="auto" w:fill="auto"/>
            <w:noWrap/>
            <w:vAlign w:val="center"/>
          </w:tcPr>
          <w:p w14:paraId="55FB4460" w14:textId="77777777" w:rsidR="00807A60" w:rsidRPr="007E5598" w:rsidRDefault="00807A60" w:rsidP="00807A60">
            <w:pPr>
              <w:ind w:firstLine="142"/>
              <w:jc w:val="center"/>
              <w:rPr>
                <w:sz w:val="20"/>
                <w:szCs w:val="20"/>
              </w:rPr>
            </w:pPr>
            <w:r>
              <w:rPr>
                <w:rFonts w:eastAsiaTheme="majorEastAsia"/>
                <w:iCs/>
                <w:sz w:val="20"/>
                <w:szCs w:val="20"/>
              </w:rPr>
              <w:t>.36**</w:t>
            </w:r>
          </w:p>
        </w:tc>
        <w:tc>
          <w:tcPr>
            <w:tcW w:w="1110" w:type="dxa"/>
            <w:vAlign w:val="center"/>
          </w:tcPr>
          <w:p w14:paraId="237AEA0C" w14:textId="77777777" w:rsidR="00807A60" w:rsidRPr="007E5598" w:rsidRDefault="00807A60" w:rsidP="00807A60">
            <w:pPr>
              <w:ind w:firstLine="142"/>
              <w:jc w:val="center"/>
              <w:rPr>
                <w:sz w:val="20"/>
                <w:szCs w:val="20"/>
              </w:rPr>
            </w:pPr>
            <w:r>
              <w:rPr>
                <w:rFonts w:eastAsiaTheme="majorEastAsia"/>
                <w:iCs/>
                <w:sz w:val="20"/>
                <w:szCs w:val="20"/>
              </w:rPr>
              <w:t>.34**</w:t>
            </w:r>
          </w:p>
        </w:tc>
        <w:tc>
          <w:tcPr>
            <w:tcW w:w="1110" w:type="dxa"/>
            <w:vAlign w:val="center"/>
          </w:tcPr>
          <w:p w14:paraId="3D7199AA" w14:textId="77777777" w:rsidR="00807A60" w:rsidRPr="007E5598" w:rsidRDefault="00807A60" w:rsidP="00807A60">
            <w:pPr>
              <w:ind w:firstLine="142"/>
              <w:jc w:val="center"/>
              <w:rPr>
                <w:sz w:val="20"/>
                <w:szCs w:val="20"/>
              </w:rPr>
            </w:pPr>
            <w:r>
              <w:rPr>
                <w:rFonts w:eastAsiaTheme="majorEastAsia"/>
                <w:iCs/>
                <w:sz w:val="20"/>
                <w:szCs w:val="20"/>
              </w:rPr>
              <w:t>.50**</w:t>
            </w:r>
          </w:p>
        </w:tc>
        <w:tc>
          <w:tcPr>
            <w:tcW w:w="1110" w:type="dxa"/>
            <w:vAlign w:val="center"/>
          </w:tcPr>
          <w:p w14:paraId="4A20D74A" w14:textId="77777777" w:rsidR="00807A60" w:rsidRPr="007E5598" w:rsidRDefault="00807A60" w:rsidP="00807A60">
            <w:pPr>
              <w:ind w:firstLine="142"/>
              <w:jc w:val="center"/>
              <w:rPr>
                <w:sz w:val="20"/>
                <w:szCs w:val="20"/>
              </w:rPr>
            </w:pPr>
            <w:r w:rsidRPr="007E5598">
              <w:rPr>
                <w:sz w:val="20"/>
                <w:szCs w:val="20"/>
              </w:rPr>
              <w:sym w:font="Symbol" w:char="F02D"/>
            </w:r>
          </w:p>
        </w:tc>
        <w:tc>
          <w:tcPr>
            <w:tcW w:w="1110" w:type="dxa"/>
            <w:vAlign w:val="center"/>
          </w:tcPr>
          <w:p w14:paraId="68F00520" w14:textId="77777777" w:rsidR="00807A60" w:rsidRPr="007E5598" w:rsidRDefault="00807A60" w:rsidP="00807A60">
            <w:pPr>
              <w:ind w:firstLine="142"/>
              <w:jc w:val="center"/>
              <w:rPr>
                <w:sz w:val="20"/>
                <w:szCs w:val="20"/>
              </w:rPr>
            </w:pPr>
            <w:r>
              <w:rPr>
                <w:sz w:val="20"/>
                <w:szCs w:val="20"/>
              </w:rPr>
              <w:t>-.23</w:t>
            </w:r>
            <w:r w:rsidRPr="007E5598">
              <w:rPr>
                <w:sz w:val="20"/>
                <w:szCs w:val="20"/>
              </w:rPr>
              <w:t>**</w:t>
            </w:r>
          </w:p>
        </w:tc>
      </w:tr>
      <w:tr w:rsidR="00807A60" w:rsidRPr="007E5598" w14:paraId="7D6A1C2C" w14:textId="77777777" w:rsidTr="00807A60">
        <w:trPr>
          <w:trHeight w:hRule="exact" w:val="397"/>
        </w:trPr>
        <w:tc>
          <w:tcPr>
            <w:tcW w:w="2603" w:type="dxa"/>
            <w:shd w:val="clear" w:color="auto" w:fill="auto"/>
            <w:vAlign w:val="center"/>
          </w:tcPr>
          <w:p w14:paraId="66C7EFBF" w14:textId="03EEEE5B" w:rsidR="00807A60" w:rsidRPr="007E5598" w:rsidRDefault="00807A60" w:rsidP="00807A60">
            <w:pPr>
              <w:rPr>
                <w:sz w:val="20"/>
                <w:szCs w:val="20"/>
              </w:rPr>
            </w:pPr>
            <w:r>
              <w:rPr>
                <w:sz w:val="20"/>
                <w:szCs w:val="20"/>
              </w:rPr>
              <w:t xml:space="preserve">7. </w:t>
            </w:r>
            <w:r w:rsidR="007C7FCC">
              <w:rPr>
                <w:sz w:val="20"/>
                <w:szCs w:val="20"/>
              </w:rPr>
              <w:t>Social preference</w:t>
            </w:r>
          </w:p>
        </w:tc>
        <w:tc>
          <w:tcPr>
            <w:tcW w:w="1109" w:type="dxa"/>
            <w:shd w:val="clear" w:color="auto" w:fill="auto"/>
            <w:noWrap/>
            <w:vAlign w:val="center"/>
          </w:tcPr>
          <w:p w14:paraId="1F456C5F" w14:textId="77777777" w:rsidR="00807A60" w:rsidRPr="007E5598" w:rsidRDefault="00807A60" w:rsidP="00807A60">
            <w:pPr>
              <w:ind w:firstLine="142"/>
              <w:jc w:val="center"/>
              <w:rPr>
                <w:sz w:val="20"/>
                <w:szCs w:val="20"/>
              </w:rPr>
            </w:pPr>
            <w:r>
              <w:rPr>
                <w:sz w:val="20"/>
                <w:szCs w:val="20"/>
              </w:rPr>
              <w:t>.03</w:t>
            </w:r>
          </w:p>
        </w:tc>
        <w:tc>
          <w:tcPr>
            <w:tcW w:w="1110" w:type="dxa"/>
            <w:vAlign w:val="center"/>
          </w:tcPr>
          <w:p w14:paraId="455B4743" w14:textId="77777777" w:rsidR="00807A60" w:rsidRPr="007E5598" w:rsidRDefault="00807A60" w:rsidP="00807A60">
            <w:pPr>
              <w:ind w:firstLine="142"/>
              <w:jc w:val="center"/>
              <w:rPr>
                <w:sz w:val="20"/>
                <w:szCs w:val="20"/>
              </w:rPr>
            </w:pPr>
            <w:r>
              <w:rPr>
                <w:sz w:val="20"/>
                <w:szCs w:val="20"/>
              </w:rPr>
              <w:t>.04</w:t>
            </w:r>
          </w:p>
        </w:tc>
        <w:tc>
          <w:tcPr>
            <w:tcW w:w="1110" w:type="dxa"/>
            <w:shd w:val="clear" w:color="auto" w:fill="auto"/>
            <w:noWrap/>
            <w:vAlign w:val="center"/>
          </w:tcPr>
          <w:p w14:paraId="59C9AB82" w14:textId="77777777" w:rsidR="00807A60" w:rsidRPr="007E5598" w:rsidRDefault="00807A60" w:rsidP="00807A60">
            <w:pPr>
              <w:ind w:firstLine="142"/>
              <w:jc w:val="center"/>
              <w:rPr>
                <w:sz w:val="20"/>
                <w:szCs w:val="20"/>
              </w:rPr>
            </w:pPr>
            <w:r>
              <w:rPr>
                <w:sz w:val="20"/>
                <w:szCs w:val="20"/>
              </w:rPr>
              <w:t>-.04</w:t>
            </w:r>
          </w:p>
        </w:tc>
        <w:tc>
          <w:tcPr>
            <w:tcW w:w="1110" w:type="dxa"/>
            <w:vAlign w:val="center"/>
          </w:tcPr>
          <w:p w14:paraId="28C56FB9" w14:textId="77777777" w:rsidR="00807A60" w:rsidRPr="007E5598" w:rsidRDefault="00807A60" w:rsidP="00807A60">
            <w:pPr>
              <w:ind w:firstLine="142"/>
              <w:jc w:val="center"/>
              <w:rPr>
                <w:sz w:val="20"/>
                <w:szCs w:val="20"/>
              </w:rPr>
            </w:pPr>
            <w:r>
              <w:rPr>
                <w:sz w:val="20"/>
                <w:szCs w:val="20"/>
              </w:rPr>
              <w:t>-.18</w:t>
            </w:r>
          </w:p>
        </w:tc>
        <w:tc>
          <w:tcPr>
            <w:tcW w:w="1110" w:type="dxa"/>
            <w:vAlign w:val="center"/>
          </w:tcPr>
          <w:p w14:paraId="395BC959" w14:textId="77777777" w:rsidR="00807A60" w:rsidRPr="007E5598" w:rsidRDefault="00807A60" w:rsidP="00807A60">
            <w:pPr>
              <w:ind w:firstLine="142"/>
              <w:jc w:val="center"/>
              <w:rPr>
                <w:sz w:val="20"/>
                <w:szCs w:val="20"/>
              </w:rPr>
            </w:pPr>
            <w:r>
              <w:rPr>
                <w:sz w:val="20"/>
                <w:szCs w:val="20"/>
              </w:rPr>
              <w:t>-.17</w:t>
            </w:r>
          </w:p>
        </w:tc>
        <w:tc>
          <w:tcPr>
            <w:tcW w:w="1110" w:type="dxa"/>
            <w:vAlign w:val="center"/>
          </w:tcPr>
          <w:p w14:paraId="11483D91" w14:textId="77777777" w:rsidR="00807A60" w:rsidRPr="007E5598" w:rsidRDefault="00807A60" w:rsidP="00807A60">
            <w:pPr>
              <w:ind w:firstLine="142"/>
              <w:jc w:val="center"/>
              <w:rPr>
                <w:sz w:val="20"/>
                <w:szCs w:val="20"/>
              </w:rPr>
            </w:pPr>
            <w:r>
              <w:rPr>
                <w:sz w:val="20"/>
                <w:szCs w:val="20"/>
              </w:rPr>
              <w:t>-.19*</w:t>
            </w:r>
          </w:p>
        </w:tc>
        <w:tc>
          <w:tcPr>
            <w:tcW w:w="1110" w:type="dxa"/>
            <w:vAlign w:val="center"/>
          </w:tcPr>
          <w:p w14:paraId="1B6E9C2D" w14:textId="77777777" w:rsidR="00807A60" w:rsidRPr="007E5598" w:rsidRDefault="00807A60" w:rsidP="00807A60">
            <w:pPr>
              <w:ind w:firstLine="142"/>
              <w:jc w:val="center"/>
              <w:rPr>
                <w:sz w:val="20"/>
                <w:szCs w:val="20"/>
              </w:rPr>
            </w:pPr>
            <w:r w:rsidRPr="007E5598">
              <w:rPr>
                <w:sz w:val="20"/>
                <w:szCs w:val="20"/>
              </w:rPr>
              <w:sym w:font="Symbol" w:char="F02D"/>
            </w:r>
          </w:p>
        </w:tc>
      </w:tr>
    </w:tbl>
    <w:p w14:paraId="6AC7BC2B" w14:textId="28FBABF1" w:rsidR="00807A60" w:rsidRPr="00887F7C" w:rsidRDefault="00807A60" w:rsidP="00807A60">
      <w:pPr>
        <w:spacing w:line="360" w:lineRule="auto"/>
        <w:rPr>
          <w:rFonts w:eastAsia="Times New Roman"/>
          <w:sz w:val="22"/>
          <w:szCs w:val="22"/>
        </w:rPr>
      </w:pPr>
      <w:r w:rsidRPr="00887F7C">
        <w:rPr>
          <w:rFonts w:eastAsia="Times New Roman"/>
          <w:sz w:val="22"/>
          <w:szCs w:val="22"/>
          <w:vertAlign w:val="superscript"/>
        </w:rPr>
        <w:t>*</w:t>
      </w:r>
      <w:r w:rsidRPr="00887F7C">
        <w:rPr>
          <w:rFonts w:eastAsia="Times New Roman"/>
          <w:i/>
          <w:sz w:val="22"/>
          <w:szCs w:val="22"/>
        </w:rPr>
        <w:t xml:space="preserve">p </w:t>
      </w:r>
      <w:r w:rsidRPr="00887F7C">
        <w:rPr>
          <w:rFonts w:eastAsia="Times New Roman"/>
          <w:sz w:val="22"/>
          <w:szCs w:val="22"/>
        </w:rPr>
        <w:t xml:space="preserve">&lt; .05. </w:t>
      </w:r>
      <w:r w:rsidRPr="00887F7C">
        <w:rPr>
          <w:rFonts w:eastAsia="Times New Roman"/>
          <w:sz w:val="22"/>
          <w:szCs w:val="22"/>
          <w:vertAlign w:val="superscript"/>
        </w:rPr>
        <w:t>**</w:t>
      </w:r>
      <w:r w:rsidRPr="00887F7C">
        <w:rPr>
          <w:rFonts w:eastAsia="Times New Roman"/>
          <w:i/>
          <w:sz w:val="22"/>
          <w:szCs w:val="22"/>
        </w:rPr>
        <w:t xml:space="preserve">p </w:t>
      </w:r>
      <w:r w:rsidRPr="00887F7C">
        <w:rPr>
          <w:rFonts w:eastAsia="Times New Roman"/>
          <w:sz w:val="22"/>
          <w:szCs w:val="22"/>
        </w:rPr>
        <w:t xml:space="preserve">&lt; .01. </w:t>
      </w:r>
    </w:p>
    <w:p w14:paraId="6CA8E3DD" w14:textId="77777777" w:rsidR="00807A60" w:rsidRDefault="00807A60" w:rsidP="00807A60">
      <w:pPr>
        <w:spacing w:line="360" w:lineRule="auto"/>
        <w:rPr>
          <w:rFonts w:eastAsia="Times New Roman"/>
        </w:rPr>
      </w:pPr>
    </w:p>
    <w:p w14:paraId="263A7EF0" w14:textId="77777777" w:rsidR="00807A60" w:rsidRDefault="00807A60" w:rsidP="00807A60">
      <w:pPr>
        <w:rPr>
          <w:rFonts w:eastAsia="Times New Roman"/>
        </w:rPr>
        <w:sectPr w:rsidR="00807A60" w:rsidSect="00807A60">
          <w:pgSz w:w="16840" w:h="11900" w:orient="landscape"/>
          <w:pgMar w:top="1800" w:right="1440" w:bottom="1800" w:left="1440" w:header="360" w:footer="720" w:gutter="0"/>
          <w:cols w:space="720"/>
          <w:docGrid w:linePitch="326"/>
        </w:sectPr>
      </w:pPr>
    </w:p>
    <w:p w14:paraId="2EF5378F" w14:textId="6C0A46D3" w:rsidR="00807A60" w:rsidRDefault="00807A60" w:rsidP="00807A60">
      <w:pPr>
        <w:spacing w:line="360" w:lineRule="auto"/>
        <w:outlineLvl w:val="0"/>
        <w:rPr>
          <w:rFonts w:eastAsia="Times New Roman"/>
        </w:rPr>
      </w:pPr>
      <w:r>
        <w:rPr>
          <w:rFonts w:eastAsia="Times New Roman"/>
        </w:rPr>
        <w:t xml:space="preserve">Table 3. Regression model predicting </w:t>
      </w:r>
      <w:r w:rsidR="007C7FCC">
        <w:rPr>
          <w:rFonts w:eastAsia="Times New Roman"/>
        </w:rPr>
        <w:t>social preference</w:t>
      </w:r>
      <w:r>
        <w:rPr>
          <w:rFonts w:eastAsia="Times New Roman"/>
        </w:rPr>
        <w:t xml:space="preserve">. </w:t>
      </w:r>
    </w:p>
    <w:tbl>
      <w:tblPr>
        <w:tblW w:w="8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021"/>
        <w:gridCol w:w="1021"/>
        <w:gridCol w:w="1021"/>
        <w:gridCol w:w="1021"/>
        <w:gridCol w:w="1021"/>
        <w:gridCol w:w="1021"/>
      </w:tblGrid>
      <w:tr w:rsidR="00807A60" w14:paraId="06249057" w14:textId="77777777" w:rsidTr="00807A60">
        <w:trPr>
          <w:trHeight w:val="560"/>
        </w:trPr>
        <w:tc>
          <w:tcPr>
            <w:tcW w:w="2235" w:type="dxa"/>
            <w:tcBorders>
              <w:top w:val="single" w:sz="4" w:space="0" w:color="000000"/>
              <w:left w:val="nil"/>
              <w:bottom w:val="nil"/>
              <w:right w:val="nil"/>
            </w:tcBorders>
            <w:vAlign w:val="center"/>
          </w:tcPr>
          <w:p w14:paraId="10614650" w14:textId="77777777" w:rsidR="00807A60" w:rsidRPr="00C828FD" w:rsidRDefault="00807A60" w:rsidP="00807A60">
            <w:pPr>
              <w:rPr>
                <w:sz w:val="22"/>
                <w:szCs w:val="22"/>
              </w:rPr>
            </w:pPr>
          </w:p>
        </w:tc>
        <w:tc>
          <w:tcPr>
            <w:tcW w:w="6126" w:type="dxa"/>
            <w:gridSpan w:val="6"/>
            <w:tcBorders>
              <w:top w:val="single" w:sz="4" w:space="0" w:color="000000"/>
              <w:left w:val="nil"/>
              <w:bottom w:val="single" w:sz="4" w:space="0" w:color="000000"/>
              <w:right w:val="nil"/>
            </w:tcBorders>
            <w:vAlign w:val="center"/>
          </w:tcPr>
          <w:p w14:paraId="7ED32AF9" w14:textId="3CB8B793" w:rsidR="00807A60" w:rsidRPr="00C828FD" w:rsidRDefault="00807A60" w:rsidP="00807A60">
            <w:pPr>
              <w:jc w:val="center"/>
              <w:rPr>
                <w:sz w:val="22"/>
                <w:szCs w:val="22"/>
              </w:rPr>
            </w:pPr>
            <w:r w:rsidRPr="00C828FD">
              <w:rPr>
                <w:sz w:val="22"/>
                <w:szCs w:val="22"/>
              </w:rPr>
              <w:t xml:space="preserve">DV = </w:t>
            </w:r>
            <w:r w:rsidR="007C7FCC">
              <w:rPr>
                <w:sz w:val="22"/>
                <w:szCs w:val="22"/>
              </w:rPr>
              <w:t>Social preference</w:t>
            </w:r>
          </w:p>
        </w:tc>
      </w:tr>
      <w:tr w:rsidR="00807A60" w14:paraId="274AC50E" w14:textId="77777777" w:rsidTr="00807A60">
        <w:trPr>
          <w:trHeight w:val="340"/>
        </w:trPr>
        <w:tc>
          <w:tcPr>
            <w:tcW w:w="2235" w:type="dxa"/>
            <w:tcBorders>
              <w:top w:val="nil"/>
              <w:left w:val="nil"/>
              <w:bottom w:val="single" w:sz="4" w:space="0" w:color="000000"/>
              <w:right w:val="nil"/>
            </w:tcBorders>
            <w:vAlign w:val="center"/>
          </w:tcPr>
          <w:p w14:paraId="43C21313" w14:textId="77777777" w:rsidR="00807A60" w:rsidRPr="00C828FD" w:rsidRDefault="00807A60" w:rsidP="00807A60">
            <w:pPr>
              <w:rPr>
                <w:sz w:val="22"/>
                <w:szCs w:val="22"/>
              </w:rPr>
            </w:pPr>
            <w:r w:rsidRPr="00C828FD">
              <w:rPr>
                <w:sz w:val="22"/>
                <w:szCs w:val="22"/>
              </w:rPr>
              <w:t>Variable</w:t>
            </w:r>
          </w:p>
        </w:tc>
        <w:tc>
          <w:tcPr>
            <w:tcW w:w="1021" w:type="dxa"/>
            <w:tcBorders>
              <w:top w:val="single" w:sz="4" w:space="0" w:color="000000"/>
              <w:left w:val="nil"/>
              <w:bottom w:val="single" w:sz="4" w:space="0" w:color="000000"/>
              <w:right w:val="nil"/>
            </w:tcBorders>
            <w:vAlign w:val="center"/>
          </w:tcPr>
          <w:p w14:paraId="0762A5F5" w14:textId="77777777" w:rsidR="00807A60" w:rsidRPr="00C828FD" w:rsidRDefault="00807A60" w:rsidP="00807A60">
            <w:pPr>
              <w:jc w:val="center"/>
              <w:rPr>
                <w:i/>
                <w:sz w:val="22"/>
                <w:szCs w:val="22"/>
              </w:rPr>
            </w:pPr>
            <w:r w:rsidRPr="00C828FD">
              <w:rPr>
                <w:i/>
                <w:sz w:val="22"/>
                <w:szCs w:val="22"/>
              </w:rPr>
              <w:t>∆R</w:t>
            </w:r>
            <w:r w:rsidRPr="00C828FD">
              <w:rPr>
                <w:i/>
                <w:sz w:val="22"/>
                <w:szCs w:val="22"/>
                <w:vertAlign w:val="superscript"/>
              </w:rPr>
              <w:t>2</w:t>
            </w:r>
          </w:p>
        </w:tc>
        <w:tc>
          <w:tcPr>
            <w:tcW w:w="1021" w:type="dxa"/>
            <w:tcBorders>
              <w:top w:val="single" w:sz="4" w:space="0" w:color="000000"/>
              <w:left w:val="nil"/>
              <w:bottom w:val="single" w:sz="4" w:space="0" w:color="000000"/>
              <w:right w:val="nil"/>
            </w:tcBorders>
            <w:vAlign w:val="center"/>
          </w:tcPr>
          <w:p w14:paraId="6E856A9D" w14:textId="77777777" w:rsidR="00807A60" w:rsidRPr="00C828FD" w:rsidRDefault="00807A60" w:rsidP="00807A60">
            <w:pPr>
              <w:jc w:val="center"/>
              <w:rPr>
                <w:i/>
                <w:sz w:val="22"/>
                <w:szCs w:val="22"/>
              </w:rPr>
            </w:pPr>
            <w:r w:rsidRPr="00C828FD">
              <w:rPr>
                <w:i/>
                <w:sz w:val="22"/>
                <w:szCs w:val="22"/>
              </w:rPr>
              <w:t xml:space="preserve">β </w:t>
            </w:r>
          </w:p>
        </w:tc>
        <w:tc>
          <w:tcPr>
            <w:tcW w:w="1021" w:type="dxa"/>
            <w:tcBorders>
              <w:top w:val="single" w:sz="4" w:space="0" w:color="000000"/>
              <w:left w:val="nil"/>
              <w:bottom w:val="single" w:sz="4" w:space="0" w:color="000000"/>
              <w:right w:val="nil"/>
            </w:tcBorders>
            <w:vAlign w:val="center"/>
          </w:tcPr>
          <w:p w14:paraId="0F57F53C" w14:textId="77777777" w:rsidR="00807A60" w:rsidRPr="00C828FD" w:rsidRDefault="00807A60" w:rsidP="00807A60">
            <w:pPr>
              <w:jc w:val="center"/>
              <w:rPr>
                <w:i/>
                <w:sz w:val="22"/>
                <w:szCs w:val="22"/>
              </w:rPr>
            </w:pPr>
            <w:r w:rsidRPr="00C828FD">
              <w:rPr>
                <w:i/>
                <w:sz w:val="22"/>
                <w:szCs w:val="22"/>
              </w:rPr>
              <w:t>∆R</w:t>
            </w:r>
            <w:r w:rsidRPr="00C828FD">
              <w:rPr>
                <w:i/>
                <w:sz w:val="22"/>
                <w:szCs w:val="22"/>
                <w:vertAlign w:val="superscript"/>
              </w:rPr>
              <w:t>2</w:t>
            </w:r>
          </w:p>
        </w:tc>
        <w:tc>
          <w:tcPr>
            <w:tcW w:w="1021" w:type="dxa"/>
            <w:tcBorders>
              <w:top w:val="single" w:sz="4" w:space="0" w:color="000000"/>
              <w:left w:val="nil"/>
              <w:bottom w:val="single" w:sz="4" w:space="0" w:color="000000"/>
              <w:right w:val="nil"/>
            </w:tcBorders>
            <w:vAlign w:val="center"/>
          </w:tcPr>
          <w:p w14:paraId="3C67BD5D" w14:textId="77777777" w:rsidR="00807A60" w:rsidRPr="00C828FD" w:rsidRDefault="00807A60" w:rsidP="00807A60">
            <w:pPr>
              <w:jc w:val="center"/>
              <w:rPr>
                <w:i/>
                <w:sz w:val="22"/>
                <w:szCs w:val="22"/>
              </w:rPr>
            </w:pPr>
            <w:r w:rsidRPr="00C828FD">
              <w:rPr>
                <w:i/>
                <w:sz w:val="22"/>
                <w:szCs w:val="22"/>
              </w:rPr>
              <w:t>β</w:t>
            </w:r>
          </w:p>
        </w:tc>
        <w:tc>
          <w:tcPr>
            <w:tcW w:w="1021" w:type="dxa"/>
            <w:tcBorders>
              <w:top w:val="single" w:sz="4" w:space="0" w:color="000000"/>
              <w:left w:val="nil"/>
              <w:bottom w:val="single" w:sz="4" w:space="0" w:color="000000"/>
              <w:right w:val="nil"/>
            </w:tcBorders>
            <w:vAlign w:val="center"/>
          </w:tcPr>
          <w:p w14:paraId="72D865F5" w14:textId="77777777" w:rsidR="00807A60" w:rsidRPr="00C828FD" w:rsidRDefault="00807A60" w:rsidP="00807A60">
            <w:pPr>
              <w:jc w:val="center"/>
              <w:rPr>
                <w:i/>
                <w:sz w:val="22"/>
                <w:szCs w:val="22"/>
              </w:rPr>
            </w:pPr>
            <w:r w:rsidRPr="00C828FD">
              <w:rPr>
                <w:i/>
                <w:sz w:val="22"/>
                <w:szCs w:val="22"/>
              </w:rPr>
              <w:t>∆R</w:t>
            </w:r>
            <w:r w:rsidRPr="00C828FD">
              <w:rPr>
                <w:i/>
                <w:sz w:val="22"/>
                <w:szCs w:val="22"/>
                <w:vertAlign w:val="superscript"/>
              </w:rPr>
              <w:t>2</w:t>
            </w:r>
          </w:p>
        </w:tc>
        <w:tc>
          <w:tcPr>
            <w:tcW w:w="1021" w:type="dxa"/>
            <w:tcBorders>
              <w:top w:val="single" w:sz="4" w:space="0" w:color="000000"/>
              <w:left w:val="nil"/>
              <w:bottom w:val="single" w:sz="4" w:space="0" w:color="000000"/>
              <w:right w:val="nil"/>
            </w:tcBorders>
            <w:vAlign w:val="center"/>
          </w:tcPr>
          <w:p w14:paraId="72CC6BA6" w14:textId="77777777" w:rsidR="00807A60" w:rsidRPr="00C828FD" w:rsidRDefault="00807A60" w:rsidP="00807A60">
            <w:pPr>
              <w:jc w:val="center"/>
              <w:rPr>
                <w:i/>
                <w:sz w:val="22"/>
                <w:szCs w:val="22"/>
              </w:rPr>
            </w:pPr>
            <w:r w:rsidRPr="00C828FD">
              <w:rPr>
                <w:i/>
                <w:sz w:val="22"/>
                <w:szCs w:val="22"/>
              </w:rPr>
              <w:t>β</w:t>
            </w:r>
          </w:p>
        </w:tc>
      </w:tr>
      <w:tr w:rsidR="00807A60" w14:paraId="5DBEFF25" w14:textId="77777777" w:rsidTr="00807A60">
        <w:trPr>
          <w:trHeight w:val="340"/>
        </w:trPr>
        <w:tc>
          <w:tcPr>
            <w:tcW w:w="2235" w:type="dxa"/>
            <w:tcBorders>
              <w:top w:val="single" w:sz="4" w:space="0" w:color="000000"/>
              <w:left w:val="nil"/>
              <w:bottom w:val="nil"/>
              <w:right w:val="nil"/>
            </w:tcBorders>
            <w:vAlign w:val="center"/>
          </w:tcPr>
          <w:p w14:paraId="7A766666" w14:textId="77777777" w:rsidR="00807A60" w:rsidRPr="00C828FD" w:rsidRDefault="00807A60" w:rsidP="00807A60">
            <w:pPr>
              <w:rPr>
                <w:sz w:val="22"/>
                <w:szCs w:val="22"/>
              </w:rPr>
            </w:pPr>
            <w:r w:rsidRPr="00C828FD">
              <w:rPr>
                <w:sz w:val="22"/>
                <w:szCs w:val="22"/>
              </w:rPr>
              <w:t>Step 1</w:t>
            </w:r>
          </w:p>
        </w:tc>
        <w:tc>
          <w:tcPr>
            <w:tcW w:w="1021" w:type="dxa"/>
            <w:tcBorders>
              <w:top w:val="single" w:sz="4" w:space="0" w:color="000000"/>
              <w:left w:val="nil"/>
              <w:bottom w:val="nil"/>
              <w:right w:val="nil"/>
            </w:tcBorders>
            <w:vAlign w:val="center"/>
          </w:tcPr>
          <w:p w14:paraId="2B435FBA" w14:textId="77777777" w:rsidR="00807A60" w:rsidRPr="00C828FD" w:rsidRDefault="00807A60" w:rsidP="00807A60">
            <w:pPr>
              <w:jc w:val="center"/>
              <w:rPr>
                <w:sz w:val="22"/>
                <w:szCs w:val="22"/>
              </w:rPr>
            </w:pPr>
          </w:p>
        </w:tc>
        <w:tc>
          <w:tcPr>
            <w:tcW w:w="1021" w:type="dxa"/>
            <w:tcBorders>
              <w:top w:val="single" w:sz="4" w:space="0" w:color="000000"/>
              <w:left w:val="nil"/>
              <w:bottom w:val="nil"/>
              <w:right w:val="nil"/>
            </w:tcBorders>
            <w:vAlign w:val="center"/>
          </w:tcPr>
          <w:p w14:paraId="52BC2209" w14:textId="77777777" w:rsidR="00807A60" w:rsidRPr="00C828FD" w:rsidRDefault="00807A60" w:rsidP="00807A60">
            <w:pPr>
              <w:jc w:val="center"/>
              <w:rPr>
                <w:sz w:val="22"/>
                <w:szCs w:val="22"/>
              </w:rPr>
            </w:pPr>
          </w:p>
        </w:tc>
        <w:tc>
          <w:tcPr>
            <w:tcW w:w="1021" w:type="dxa"/>
            <w:tcBorders>
              <w:top w:val="single" w:sz="4" w:space="0" w:color="000000"/>
              <w:left w:val="nil"/>
              <w:bottom w:val="nil"/>
              <w:right w:val="nil"/>
            </w:tcBorders>
            <w:vAlign w:val="center"/>
          </w:tcPr>
          <w:p w14:paraId="16728758" w14:textId="77777777" w:rsidR="00807A60" w:rsidRPr="00C828FD" w:rsidRDefault="00807A60" w:rsidP="00807A60">
            <w:pPr>
              <w:jc w:val="center"/>
              <w:rPr>
                <w:sz w:val="22"/>
                <w:szCs w:val="22"/>
              </w:rPr>
            </w:pPr>
          </w:p>
        </w:tc>
        <w:tc>
          <w:tcPr>
            <w:tcW w:w="1021" w:type="dxa"/>
            <w:tcBorders>
              <w:top w:val="single" w:sz="4" w:space="0" w:color="000000"/>
              <w:left w:val="nil"/>
              <w:bottom w:val="nil"/>
              <w:right w:val="nil"/>
            </w:tcBorders>
            <w:vAlign w:val="center"/>
          </w:tcPr>
          <w:p w14:paraId="42BEE6CD" w14:textId="77777777" w:rsidR="00807A60" w:rsidRPr="00C828FD" w:rsidRDefault="00807A60" w:rsidP="00807A60">
            <w:pPr>
              <w:jc w:val="center"/>
              <w:rPr>
                <w:sz w:val="22"/>
                <w:szCs w:val="22"/>
              </w:rPr>
            </w:pPr>
          </w:p>
        </w:tc>
        <w:tc>
          <w:tcPr>
            <w:tcW w:w="1021" w:type="dxa"/>
            <w:tcBorders>
              <w:top w:val="single" w:sz="4" w:space="0" w:color="000000"/>
              <w:left w:val="nil"/>
              <w:bottom w:val="nil"/>
              <w:right w:val="nil"/>
            </w:tcBorders>
            <w:vAlign w:val="center"/>
          </w:tcPr>
          <w:p w14:paraId="30A92A47" w14:textId="77777777" w:rsidR="00807A60" w:rsidRPr="00C828FD" w:rsidRDefault="00807A60" w:rsidP="00807A60">
            <w:pPr>
              <w:jc w:val="center"/>
              <w:rPr>
                <w:sz w:val="22"/>
                <w:szCs w:val="22"/>
              </w:rPr>
            </w:pPr>
          </w:p>
        </w:tc>
        <w:tc>
          <w:tcPr>
            <w:tcW w:w="1021" w:type="dxa"/>
            <w:tcBorders>
              <w:top w:val="single" w:sz="4" w:space="0" w:color="000000"/>
              <w:left w:val="nil"/>
              <w:bottom w:val="nil"/>
              <w:right w:val="nil"/>
            </w:tcBorders>
            <w:vAlign w:val="center"/>
          </w:tcPr>
          <w:p w14:paraId="64C7BD88" w14:textId="77777777" w:rsidR="00807A60" w:rsidRPr="00C828FD" w:rsidRDefault="00807A60" w:rsidP="00807A60">
            <w:pPr>
              <w:jc w:val="center"/>
              <w:rPr>
                <w:sz w:val="22"/>
                <w:szCs w:val="22"/>
              </w:rPr>
            </w:pPr>
          </w:p>
        </w:tc>
      </w:tr>
      <w:tr w:rsidR="00807A60" w14:paraId="20C6FB57" w14:textId="77777777" w:rsidTr="00807A60">
        <w:trPr>
          <w:trHeight w:val="340"/>
        </w:trPr>
        <w:tc>
          <w:tcPr>
            <w:tcW w:w="2235" w:type="dxa"/>
            <w:tcBorders>
              <w:top w:val="nil"/>
              <w:left w:val="nil"/>
              <w:bottom w:val="nil"/>
              <w:right w:val="nil"/>
            </w:tcBorders>
            <w:vAlign w:val="center"/>
          </w:tcPr>
          <w:p w14:paraId="034F0822" w14:textId="77777777" w:rsidR="00807A60" w:rsidRPr="00C828FD" w:rsidRDefault="00807A60" w:rsidP="00807A60">
            <w:pPr>
              <w:jc w:val="right"/>
              <w:rPr>
                <w:sz w:val="22"/>
                <w:szCs w:val="22"/>
              </w:rPr>
            </w:pPr>
            <w:r>
              <w:rPr>
                <w:sz w:val="22"/>
                <w:szCs w:val="22"/>
              </w:rPr>
              <w:t>Gender</w:t>
            </w:r>
          </w:p>
        </w:tc>
        <w:tc>
          <w:tcPr>
            <w:tcW w:w="1021" w:type="dxa"/>
            <w:vMerge w:val="restart"/>
            <w:tcBorders>
              <w:top w:val="nil"/>
              <w:left w:val="nil"/>
              <w:bottom w:val="nil"/>
              <w:right w:val="nil"/>
            </w:tcBorders>
            <w:vAlign w:val="center"/>
          </w:tcPr>
          <w:p w14:paraId="09F7C417"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012A61A1" w14:textId="77777777" w:rsidR="00807A60" w:rsidRPr="00C828FD" w:rsidRDefault="00807A60" w:rsidP="00807A60">
            <w:pPr>
              <w:jc w:val="center"/>
              <w:rPr>
                <w:sz w:val="22"/>
                <w:szCs w:val="22"/>
              </w:rPr>
            </w:pPr>
            <w:r w:rsidRPr="00C828FD">
              <w:rPr>
                <w:sz w:val="22"/>
                <w:szCs w:val="22"/>
              </w:rPr>
              <w:t>.16*</w:t>
            </w:r>
          </w:p>
        </w:tc>
        <w:tc>
          <w:tcPr>
            <w:tcW w:w="1021" w:type="dxa"/>
            <w:tcBorders>
              <w:top w:val="nil"/>
              <w:left w:val="nil"/>
              <w:bottom w:val="nil"/>
              <w:right w:val="nil"/>
            </w:tcBorders>
            <w:vAlign w:val="center"/>
          </w:tcPr>
          <w:p w14:paraId="51F01B98"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035F770F" w14:textId="77777777" w:rsidR="00807A60" w:rsidRPr="00C828FD" w:rsidRDefault="00807A60" w:rsidP="00807A60">
            <w:pPr>
              <w:jc w:val="center"/>
              <w:rPr>
                <w:sz w:val="22"/>
                <w:szCs w:val="22"/>
              </w:rPr>
            </w:pPr>
            <w:r w:rsidRPr="00C828FD">
              <w:rPr>
                <w:sz w:val="22"/>
                <w:szCs w:val="22"/>
              </w:rPr>
              <w:t>.10</w:t>
            </w:r>
          </w:p>
        </w:tc>
        <w:tc>
          <w:tcPr>
            <w:tcW w:w="1021" w:type="dxa"/>
            <w:tcBorders>
              <w:top w:val="nil"/>
              <w:left w:val="nil"/>
              <w:bottom w:val="nil"/>
              <w:right w:val="nil"/>
            </w:tcBorders>
            <w:vAlign w:val="center"/>
          </w:tcPr>
          <w:p w14:paraId="00673486"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1256A364" w14:textId="77777777" w:rsidR="00807A60" w:rsidRPr="00C828FD" w:rsidRDefault="00807A60" w:rsidP="00807A60">
            <w:pPr>
              <w:jc w:val="center"/>
              <w:rPr>
                <w:sz w:val="22"/>
                <w:szCs w:val="22"/>
              </w:rPr>
            </w:pPr>
            <w:r w:rsidRPr="00C828FD">
              <w:rPr>
                <w:sz w:val="22"/>
                <w:szCs w:val="22"/>
              </w:rPr>
              <w:t>.12</w:t>
            </w:r>
          </w:p>
        </w:tc>
      </w:tr>
      <w:tr w:rsidR="00807A60" w14:paraId="18AEA6A1" w14:textId="77777777" w:rsidTr="00807A60">
        <w:trPr>
          <w:trHeight w:val="340"/>
        </w:trPr>
        <w:tc>
          <w:tcPr>
            <w:tcW w:w="2235" w:type="dxa"/>
            <w:tcBorders>
              <w:top w:val="nil"/>
              <w:left w:val="nil"/>
              <w:bottom w:val="nil"/>
              <w:right w:val="nil"/>
            </w:tcBorders>
            <w:vAlign w:val="center"/>
          </w:tcPr>
          <w:p w14:paraId="0CA4E972" w14:textId="77777777" w:rsidR="00807A60" w:rsidRPr="00C828FD" w:rsidRDefault="00807A60" w:rsidP="00807A60">
            <w:pPr>
              <w:jc w:val="right"/>
              <w:rPr>
                <w:sz w:val="22"/>
                <w:szCs w:val="22"/>
              </w:rPr>
            </w:pPr>
            <w:r w:rsidRPr="00C828FD">
              <w:rPr>
                <w:sz w:val="22"/>
                <w:szCs w:val="22"/>
              </w:rPr>
              <w:t xml:space="preserve">Age </w:t>
            </w:r>
          </w:p>
        </w:tc>
        <w:tc>
          <w:tcPr>
            <w:tcW w:w="1021" w:type="dxa"/>
            <w:vMerge/>
            <w:tcBorders>
              <w:top w:val="nil"/>
              <w:left w:val="nil"/>
              <w:bottom w:val="nil"/>
              <w:right w:val="nil"/>
            </w:tcBorders>
            <w:vAlign w:val="center"/>
          </w:tcPr>
          <w:p w14:paraId="2D9C5FE1"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63170DAF" w14:textId="77777777" w:rsidR="00807A60" w:rsidRPr="00C828FD" w:rsidRDefault="00807A60" w:rsidP="00807A60">
            <w:pPr>
              <w:jc w:val="center"/>
              <w:rPr>
                <w:sz w:val="22"/>
                <w:szCs w:val="22"/>
              </w:rPr>
            </w:pPr>
            <w:r w:rsidRPr="00C828FD">
              <w:rPr>
                <w:sz w:val="22"/>
                <w:szCs w:val="22"/>
              </w:rPr>
              <w:t>-.01</w:t>
            </w:r>
          </w:p>
        </w:tc>
        <w:tc>
          <w:tcPr>
            <w:tcW w:w="1021" w:type="dxa"/>
            <w:tcBorders>
              <w:top w:val="nil"/>
              <w:left w:val="nil"/>
              <w:bottom w:val="nil"/>
              <w:right w:val="nil"/>
            </w:tcBorders>
            <w:vAlign w:val="center"/>
          </w:tcPr>
          <w:p w14:paraId="0674CF57"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4A42EB23" w14:textId="77777777" w:rsidR="00807A60" w:rsidRPr="00C828FD" w:rsidRDefault="00807A60" w:rsidP="00807A60">
            <w:pPr>
              <w:jc w:val="center"/>
              <w:rPr>
                <w:sz w:val="22"/>
                <w:szCs w:val="22"/>
              </w:rPr>
            </w:pPr>
            <w:r w:rsidRPr="00C828FD">
              <w:rPr>
                <w:sz w:val="22"/>
                <w:szCs w:val="22"/>
              </w:rPr>
              <w:t>-.01</w:t>
            </w:r>
          </w:p>
        </w:tc>
        <w:tc>
          <w:tcPr>
            <w:tcW w:w="1021" w:type="dxa"/>
            <w:tcBorders>
              <w:top w:val="nil"/>
              <w:left w:val="nil"/>
              <w:bottom w:val="nil"/>
              <w:right w:val="nil"/>
            </w:tcBorders>
            <w:vAlign w:val="center"/>
          </w:tcPr>
          <w:p w14:paraId="04436FD7"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2A264194" w14:textId="77777777" w:rsidR="00807A60" w:rsidRPr="00C828FD" w:rsidRDefault="00807A60" w:rsidP="00807A60">
            <w:pPr>
              <w:jc w:val="center"/>
              <w:rPr>
                <w:sz w:val="22"/>
                <w:szCs w:val="22"/>
              </w:rPr>
            </w:pPr>
            <w:r w:rsidRPr="00C828FD">
              <w:rPr>
                <w:sz w:val="22"/>
                <w:szCs w:val="22"/>
              </w:rPr>
              <w:t>-.01</w:t>
            </w:r>
          </w:p>
        </w:tc>
      </w:tr>
      <w:tr w:rsidR="00807A60" w14:paraId="5F724E85" w14:textId="77777777" w:rsidTr="00807A60">
        <w:trPr>
          <w:trHeight w:val="340"/>
        </w:trPr>
        <w:tc>
          <w:tcPr>
            <w:tcW w:w="2235" w:type="dxa"/>
            <w:tcBorders>
              <w:top w:val="nil"/>
              <w:left w:val="nil"/>
              <w:bottom w:val="nil"/>
              <w:right w:val="nil"/>
            </w:tcBorders>
            <w:vAlign w:val="center"/>
          </w:tcPr>
          <w:p w14:paraId="7F3B3C7C" w14:textId="77777777" w:rsidR="00807A60" w:rsidRPr="00C828FD" w:rsidRDefault="00807A60" w:rsidP="00807A60">
            <w:pPr>
              <w:jc w:val="right"/>
              <w:rPr>
                <w:sz w:val="22"/>
                <w:szCs w:val="22"/>
              </w:rPr>
            </w:pPr>
            <w:r>
              <w:rPr>
                <w:sz w:val="22"/>
                <w:szCs w:val="22"/>
              </w:rPr>
              <w:t>Language ability</w:t>
            </w:r>
          </w:p>
        </w:tc>
        <w:tc>
          <w:tcPr>
            <w:tcW w:w="1021" w:type="dxa"/>
            <w:tcBorders>
              <w:top w:val="nil"/>
              <w:left w:val="nil"/>
              <w:bottom w:val="nil"/>
              <w:right w:val="nil"/>
            </w:tcBorders>
            <w:vAlign w:val="center"/>
          </w:tcPr>
          <w:p w14:paraId="1E8C64A0"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0AFD001B" w14:textId="77777777" w:rsidR="00807A60" w:rsidRPr="00C828FD" w:rsidRDefault="00807A60" w:rsidP="00807A60">
            <w:pPr>
              <w:jc w:val="center"/>
              <w:rPr>
                <w:sz w:val="22"/>
                <w:szCs w:val="22"/>
              </w:rPr>
            </w:pPr>
            <w:r w:rsidRPr="00C828FD">
              <w:rPr>
                <w:sz w:val="22"/>
                <w:szCs w:val="22"/>
              </w:rPr>
              <w:t>.08</w:t>
            </w:r>
          </w:p>
        </w:tc>
        <w:tc>
          <w:tcPr>
            <w:tcW w:w="1021" w:type="dxa"/>
            <w:tcBorders>
              <w:top w:val="nil"/>
              <w:left w:val="nil"/>
              <w:bottom w:val="nil"/>
              <w:right w:val="nil"/>
            </w:tcBorders>
            <w:vAlign w:val="center"/>
          </w:tcPr>
          <w:p w14:paraId="26F9C535"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570F3AF9" w14:textId="77777777" w:rsidR="00807A60" w:rsidRPr="00C828FD" w:rsidRDefault="00807A60" w:rsidP="00807A60">
            <w:pPr>
              <w:jc w:val="center"/>
              <w:rPr>
                <w:sz w:val="22"/>
                <w:szCs w:val="22"/>
              </w:rPr>
            </w:pPr>
            <w:r w:rsidRPr="00C828FD">
              <w:rPr>
                <w:sz w:val="22"/>
                <w:szCs w:val="22"/>
              </w:rPr>
              <w:t>-.00</w:t>
            </w:r>
          </w:p>
        </w:tc>
        <w:tc>
          <w:tcPr>
            <w:tcW w:w="1021" w:type="dxa"/>
            <w:tcBorders>
              <w:top w:val="nil"/>
              <w:left w:val="nil"/>
              <w:bottom w:val="nil"/>
              <w:right w:val="nil"/>
            </w:tcBorders>
            <w:vAlign w:val="center"/>
          </w:tcPr>
          <w:p w14:paraId="7E564F8D"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5036C00B" w14:textId="77777777" w:rsidR="00807A60" w:rsidRPr="00C828FD" w:rsidRDefault="00807A60" w:rsidP="00807A60">
            <w:pPr>
              <w:jc w:val="center"/>
              <w:rPr>
                <w:sz w:val="22"/>
                <w:szCs w:val="22"/>
              </w:rPr>
            </w:pPr>
            <w:r w:rsidRPr="00C828FD">
              <w:rPr>
                <w:sz w:val="22"/>
                <w:szCs w:val="22"/>
              </w:rPr>
              <w:t>-.02</w:t>
            </w:r>
          </w:p>
        </w:tc>
      </w:tr>
      <w:tr w:rsidR="00807A60" w14:paraId="1D476A63" w14:textId="77777777" w:rsidTr="00807A60">
        <w:trPr>
          <w:trHeight w:val="340"/>
        </w:trPr>
        <w:tc>
          <w:tcPr>
            <w:tcW w:w="2235" w:type="dxa"/>
            <w:tcBorders>
              <w:top w:val="nil"/>
              <w:left w:val="nil"/>
              <w:bottom w:val="nil"/>
              <w:right w:val="nil"/>
            </w:tcBorders>
            <w:vAlign w:val="center"/>
          </w:tcPr>
          <w:p w14:paraId="3F3B2D11" w14:textId="77777777" w:rsidR="00807A60" w:rsidRPr="00C828FD" w:rsidRDefault="00807A60" w:rsidP="00807A60">
            <w:pPr>
              <w:rPr>
                <w:sz w:val="22"/>
                <w:szCs w:val="22"/>
              </w:rPr>
            </w:pPr>
            <w:r w:rsidRPr="00C828FD">
              <w:rPr>
                <w:sz w:val="22"/>
                <w:szCs w:val="22"/>
              </w:rPr>
              <w:t>Step 2</w:t>
            </w:r>
          </w:p>
        </w:tc>
        <w:tc>
          <w:tcPr>
            <w:tcW w:w="1021" w:type="dxa"/>
            <w:tcBorders>
              <w:top w:val="nil"/>
              <w:left w:val="nil"/>
              <w:bottom w:val="nil"/>
              <w:right w:val="nil"/>
            </w:tcBorders>
            <w:vAlign w:val="center"/>
          </w:tcPr>
          <w:p w14:paraId="5C3CBC77"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21171286"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0D2E6ABC" w14:textId="77777777" w:rsidR="00807A60" w:rsidRPr="00C828FD" w:rsidRDefault="00807A60" w:rsidP="00807A60">
            <w:pPr>
              <w:jc w:val="center"/>
              <w:rPr>
                <w:sz w:val="22"/>
                <w:szCs w:val="22"/>
              </w:rPr>
            </w:pPr>
            <w:r w:rsidRPr="00C828FD">
              <w:rPr>
                <w:sz w:val="22"/>
                <w:szCs w:val="22"/>
              </w:rPr>
              <w:t>.08**</w:t>
            </w:r>
          </w:p>
        </w:tc>
        <w:tc>
          <w:tcPr>
            <w:tcW w:w="1021" w:type="dxa"/>
            <w:tcBorders>
              <w:top w:val="nil"/>
              <w:left w:val="nil"/>
              <w:bottom w:val="nil"/>
              <w:right w:val="nil"/>
            </w:tcBorders>
            <w:vAlign w:val="center"/>
          </w:tcPr>
          <w:p w14:paraId="48C16FC9"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3FEA426B"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1902D8E4" w14:textId="77777777" w:rsidR="00807A60" w:rsidRPr="00C828FD" w:rsidRDefault="00807A60" w:rsidP="00807A60">
            <w:pPr>
              <w:jc w:val="center"/>
              <w:rPr>
                <w:sz w:val="22"/>
                <w:szCs w:val="22"/>
              </w:rPr>
            </w:pPr>
          </w:p>
        </w:tc>
      </w:tr>
      <w:tr w:rsidR="00807A60" w14:paraId="59A54114" w14:textId="77777777" w:rsidTr="00807A60">
        <w:trPr>
          <w:trHeight w:val="340"/>
        </w:trPr>
        <w:tc>
          <w:tcPr>
            <w:tcW w:w="2235" w:type="dxa"/>
            <w:tcBorders>
              <w:top w:val="nil"/>
              <w:left w:val="nil"/>
              <w:bottom w:val="nil"/>
              <w:right w:val="nil"/>
            </w:tcBorders>
            <w:vAlign w:val="center"/>
          </w:tcPr>
          <w:p w14:paraId="57C91D59" w14:textId="77777777" w:rsidR="00807A60" w:rsidRPr="00C828FD" w:rsidRDefault="00807A60" w:rsidP="00807A60">
            <w:pPr>
              <w:jc w:val="right"/>
              <w:rPr>
                <w:sz w:val="22"/>
                <w:szCs w:val="22"/>
              </w:rPr>
            </w:pPr>
            <w:r w:rsidRPr="00C828FD">
              <w:rPr>
                <w:sz w:val="22"/>
                <w:szCs w:val="22"/>
              </w:rPr>
              <w:t>Child school readiness</w:t>
            </w:r>
          </w:p>
        </w:tc>
        <w:tc>
          <w:tcPr>
            <w:tcW w:w="1021" w:type="dxa"/>
            <w:tcBorders>
              <w:top w:val="nil"/>
              <w:left w:val="nil"/>
              <w:bottom w:val="nil"/>
              <w:right w:val="nil"/>
            </w:tcBorders>
            <w:vAlign w:val="center"/>
          </w:tcPr>
          <w:p w14:paraId="5977C0D0"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622CD177" w14:textId="77777777" w:rsidR="00807A60" w:rsidRPr="00C828FD" w:rsidRDefault="00807A60" w:rsidP="00807A60">
            <w:pPr>
              <w:jc w:val="center"/>
              <w:rPr>
                <w:sz w:val="22"/>
                <w:szCs w:val="22"/>
              </w:rPr>
            </w:pPr>
            <w:r w:rsidRPr="00C828FD">
              <w:rPr>
                <w:sz w:val="22"/>
                <w:szCs w:val="22"/>
              </w:rPr>
              <w:t>-</w:t>
            </w:r>
          </w:p>
        </w:tc>
        <w:tc>
          <w:tcPr>
            <w:tcW w:w="1021" w:type="dxa"/>
            <w:tcBorders>
              <w:top w:val="nil"/>
              <w:left w:val="nil"/>
              <w:bottom w:val="nil"/>
              <w:right w:val="nil"/>
            </w:tcBorders>
            <w:vAlign w:val="center"/>
          </w:tcPr>
          <w:p w14:paraId="6C6C9D44"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1DDA2E25" w14:textId="77777777" w:rsidR="00807A60" w:rsidRPr="00C828FD" w:rsidRDefault="00807A60" w:rsidP="00807A60">
            <w:pPr>
              <w:jc w:val="center"/>
              <w:rPr>
                <w:sz w:val="22"/>
                <w:szCs w:val="22"/>
              </w:rPr>
            </w:pPr>
            <w:r w:rsidRPr="00C828FD">
              <w:rPr>
                <w:sz w:val="22"/>
                <w:szCs w:val="22"/>
              </w:rPr>
              <w:t>-.26**</w:t>
            </w:r>
          </w:p>
        </w:tc>
        <w:tc>
          <w:tcPr>
            <w:tcW w:w="1021" w:type="dxa"/>
            <w:tcBorders>
              <w:top w:val="nil"/>
              <w:left w:val="nil"/>
              <w:bottom w:val="nil"/>
              <w:right w:val="nil"/>
            </w:tcBorders>
            <w:vAlign w:val="center"/>
          </w:tcPr>
          <w:p w14:paraId="5628FF68"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7DDB1AEF" w14:textId="77777777" w:rsidR="00807A60" w:rsidRPr="00C828FD" w:rsidRDefault="00807A60" w:rsidP="00807A60">
            <w:pPr>
              <w:jc w:val="center"/>
              <w:rPr>
                <w:sz w:val="22"/>
                <w:szCs w:val="22"/>
              </w:rPr>
            </w:pPr>
            <w:r w:rsidRPr="00C828FD">
              <w:rPr>
                <w:sz w:val="22"/>
                <w:szCs w:val="22"/>
              </w:rPr>
              <w:t>-.36**</w:t>
            </w:r>
          </w:p>
        </w:tc>
      </w:tr>
      <w:tr w:rsidR="00807A60" w14:paraId="37972A02" w14:textId="77777777" w:rsidTr="00807A60">
        <w:trPr>
          <w:trHeight w:val="340"/>
        </w:trPr>
        <w:tc>
          <w:tcPr>
            <w:tcW w:w="2235" w:type="dxa"/>
            <w:tcBorders>
              <w:top w:val="nil"/>
              <w:left w:val="nil"/>
              <w:bottom w:val="nil"/>
              <w:right w:val="nil"/>
            </w:tcBorders>
            <w:vAlign w:val="center"/>
          </w:tcPr>
          <w:p w14:paraId="33BE78A7" w14:textId="77777777" w:rsidR="00807A60" w:rsidRPr="00C828FD" w:rsidRDefault="00807A60" w:rsidP="00807A60">
            <w:pPr>
              <w:jc w:val="right"/>
              <w:rPr>
                <w:sz w:val="22"/>
                <w:szCs w:val="22"/>
              </w:rPr>
            </w:pPr>
            <w:r w:rsidRPr="00C828FD">
              <w:rPr>
                <w:sz w:val="22"/>
                <w:szCs w:val="22"/>
              </w:rPr>
              <w:t>Family support</w:t>
            </w:r>
          </w:p>
        </w:tc>
        <w:tc>
          <w:tcPr>
            <w:tcW w:w="1021" w:type="dxa"/>
            <w:tcBorders>
              <w:top w:val="nil"/>
              <w:left w:val="nil"/>
              <w:bottom w:val="nil"/>
              <w:right w:val="nil"/>
            </w:tcBorders>
            <w:vAlign w:val="center"/>
          </w:tcPr>
          <w:p w14:paraId="2D277716"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5E10475B" w14:textId="77777777" w:rsidR="00807A60" w:rsidRPr="00C828FD" w:rsidRDefault="00807A60" w:rsidP="00807A60">
            <w:pPr>
              <w:jc w:val="center"/>
              <w:rPr>
                <w:sz w:val="22"/>
                <w:szCs w:val="22"/>
              </w:rPr>
            </w:pPr>
            <w:r w:rsidRPr="00C828FD">
              <w:rPr>
                <w:sz w:val="22"/>
                <w:szCs w:val="22"/>
              </w:rPr>
              <w:t>-</w:t>
            </w:r>
          </w:p>
        </w:tc>
        <w:tc>
          <w:tcPr>
            <w:tcW w:w="1021" w:type="dxa"/>
            <w:tcBorders>
              <w:top w:val="nil"/>
              <w:left w:val="nil"/>
              <w:bottom w:val="nil"/>
              <w:right w:val="nil"/>
            </w:tcBorders>
            <w:vAlign w:val="center"/>
          </w:tcPr>
          <w:p w14:paraId="318E4906"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3A94324A" w14:textId="77777777" w:rsidR="00807A60" w:rsidRPr="00C828FD" w:rsidRDefault="00807A60" w:rsidP="00807A60">
            <w:pPr>
              <w:jc w:val="center"/>
              <w:rPr>
                <w:sz w:val="22"/>
                <w:szCs w:val="22"/>
              </w:rPr>
            </w:pPr>
            <w:r w:rsidRPr="00C828FD">
              <w:rPr>
                <w:sz w:val="22"/>
                <w:szCs w:val="22"/>
              </w:rPr>
              <w:t>-.08</w:t>
            </w:r>
          </w:p>
        </w:tc>
        <w:tc>
          <w:tcPr>
            <w:tcW w:w="1021" w:type="dxa"/>
            <w:tcBorders>
              <w:top w:val="nil"/>
              <w:left w:val="nil"/>
              <w:bottom w:val="nil"/>
              <w:right w:val="nil"/>
            </w:tcBorders>
            <w:vAlign w:val="center"/>
          </w:tcPr>
          <w:p w14:paraId="625A02D1"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322B0623" w14:textId="77777777" w:rsidR="00807A60" w:rsidRPr="00C828FD" w:rsidRDefault="00807A60" w:rsidP="00807A60">
            <w:pPr>
              <w:jc w:val="center"/>
              <w:rPr>
                <w:sz w:val="22"/>
                <w:szCs w:val="22"/>
              </w:rPr>
            </w:pPr>
            <w:r w:rsidRPr="00C828FD">
              <w:rPr>
                <w:sz w:val="22"/>
                <w:szCs w:val="22"/>
              </w:rPr>
              <w:t>-.08</w:t>
            </w:r>
          </w:p>
        </w:tc>
      </w:tr>
      <w:tr w:rsidR="00807A60" w14:paraId="322A3073" w14:textId="77777777" w:rsidTr="00807A60">
        <w:trPr>
          <w:trHeight w:val="340"/>
        </w:trPr>
        <w:tc>
          <w:tcPr>
            <w:tcW w:w="2235" w:type="dxa"/>
            <w:tcBorders>
              <w:top w:val="nil"/>
              <w:left w:val="nil"/>
              <w:bottom w:val="nil"/>
              <w:right w:val="nil"/>
            </w:tcBorders>
            <w:vAlign w:val="center"/>
          </w:tcPr>
          <w:p w14:paraId="3D335888" w14:textId="77777777" w:rsidR="00807A60" w:rsidRPr="00C828FD" w:rsidRDefault="00807A60" w:rsidP="00807A60">
            <w:pPr>
              <w:rPr>
                <w:sz w:val="22"/>
                <w:szCs w:val="22"/>
              </w:rPr>
            </w:pPr>
            <w:r w:rsidRPr="00C828FD">
              <w:rPr>
                <w:sz w:val="22"/>
                <w:szCs w:val="22"/>
              </w:rPr>
              <w:t>Step 3</w:t>
            </w:r>
          </w:p>
        </w:tc>
        <w:tc>
          <w:tcPr>
            <w:tcW w:w="1021" w:type="dxa"/>
            <w:tcBorders>
              <w:top w:val="nil"/>
              <w:left w:val="nil"/>
              <w:bottom w:val="nil"/>
              <w:right w:val="nil"/>
            </w:tcBorders>
            <w:vAlign w:val="center"/>
          </w:tcPr>
          <w:p w14:paraId="75D83005"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01B72F20"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6B97831D"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2E8DDAFC"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1316D23C" w14:textId="77777777" w:rsidR="00807A60" w:rsidRPr="00C828FD" w:rsidRDefault="00807A60" w:rsidP="00807A60">
            <w:pPr>
              <w:jc w:val="center"/>
              <w:rPr>
                <w:sz w:val="22"/>
                <w:szCs w:val="22"/>
              </w:rPr>
            </w:pPr>
            <w:r w:rsidRPr="00C828FD">
              <w:rPr>
                <w:sz w:val="22"/>
                <w:szCs w:val="22"/>
              </w:rPr>
              <w:t>.02</w:t>
            </w:r>
          </w:p>
        </w:tc>
        <w:tc>
          <w:tcPr>
            <w:tcW w:w="1021" w:type="dxa"/>
            <w:tcBorders>
              <w:top w:val="nil"/>
              <w:left w:val="nil"/>
              <w:bottom w:val="nil"/>
              <w:right w:val="nil"/>
            </w:tcBorders>
            <w:vAlign w:val="center"/>
          </w:tcPr>
          <w:p w14:paraId="6D8C15B8" w14:textId="77777777" w:rsidR="00807A60" w:rsidRPr="00C828FD" w:rsidRDefault="00807A60" w:rsidP="00807A60">
            <w:pPr>
              <w:jc w:val="center"/>
              <w:rPr>
                <w:sz w:val="22"/>
                <w:szCs w:val="22"/>
              </w:rPr>
            </w:pPr>
          </w:p>
        </w:tc>
      </w:tr>
      <w:tr w:rsidR="00807A60" w14:paraId="4A96A07D" w14:textId="77777777" w:rsidTr="00807A60">
        <w:trPr>
          <w:trHeight w:val="340"/>
        </w:trPr>
        <w:tc>
          <w:tcPr>
            <w:tcW w:w="2235" w:type="dxa"/>
            <w:tcBorders>
              <w:top w:val="nil"/>
              <w:left w:val="nil"/>
              <w:bottom w:val="nil"/>
              <w:right w:val="nil"/>
            </w:tcBorders>
            <w:vAlign w:val="center"/>
          </w:tcPr>
          <w:p w14:paraId="17918851" w14:textId="77777777" w:rsidR="00807A60" w:rsidRPr="00C828FD" w:rsidRDefault="00807A60" w:rsidP="00807A60">
            <w:pPr>
              <w:jc w:val="right"/>
              <w:rPr>
                <w:sz w:val="22"/>
                <w:szCs w:val="22"/>
              </w:rPr>
            </w:pPr>
            <w:r>
              <w:rPr>
                <w:sz w:val="22"/>
                <w:szCs w:val="22"/>
              </w:rPr>
              <w:t>Gender</w:t>
            </w:r>
            <w:r w:rsidRPr="00C828FD">
              <w:rPr>
                <w:sz w:val="22"/>
                <w:szCs w:val="22"/>
              </w:rPr>
              <w:t xml:space="preserve"> X Child school readiness</w:t>
            </w:r>
          </w:p>
        </w:tc>
        <w:tc>
          <w:tcPr>
            <w:tcW w:w="1021" w:type="dxa"/>
            <w:tcBorders>
              <w:top w:val="nil"/>
              <w:left w:val="nil"/>
              <w:bottom w:val="nil"/>
              <w:right w:val="nil"/>
            </w:tcBorders>
            <w:vAlign w:val="center"/>
          </w:tcPr>
          <w:p w14:paraId="45274B6A"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0F84FFFF" w14:textId="77777777" w:rsidR="00807A60" w:rsidRPr="00C828FD" w:rsidRDefault="00807A60" w:rsidP="00807A60">
            <w:pPr>
              <w:jc w:val="center"/>
              <w:rPr>
                <w:sz w:val="22"/>
                <w:szCs w:val="22"/>
              </w:rPr>
            </w:pPr>
            <w:r w:rsidRPr="00C828FD">
              <w:rPr>
                <w:sz w:val="22"/>
                <w:szCs w:val="22"/>
              </w:rPr>
              <w:t>-</w:t>
            </w:r>
          </w:p>
        </w:tc>
        <w:tc>
          <w:tcPr>
            <w:tcW w:w="1021" w:type="dxa"/>
            <w:tcBorders>
              <w:top w:val="nil"/>
              <w:left w:val="nil"/>
              <w:bottom w:val="nil"/>
              <w:right w:val="nil"/>
            </w:tcBorders>
            <w:vAlign w:val="center"/>
          </w:tcPr>
          <w:p w14:paraId="7C5D8EFB"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2C433FFA" w14:textId="77777777" w:rsidR="00807A60" w:rsidRPr="00C828FD" w:rsidRDefault="00807A60" w:rsidP="00807A60">
            <w:pPr>
              <w:jc w:val="center"/>
              <w:rPr>
                <w:sz w:val="22"/>
                <w:szCs w:val="22"/>
              </w:rPr>
            </w:pPr>
            <w:r w:rsidRPr="00C828FD">
              <w:rPr>
                <w:sz w:val="22"/>
                <w:szCs w:val="22"/>
              </w:rPr>
              <w:t>-</w:t>
            </w:r>
          </w:p>
        </w:tc>
        <w:tc>
          <w:tcPr>
            <w:tcW w:w="1021" w:type="dxa"/>
            <w:tcBorders>
              <w:top w:val="nil"/>
              <w:left w:val="nil"/>
              <w:bottom w:val="nil"/>
              <w:right w:val="nil"/>
            </w:tcBorders>
            <w:vAlign w:val="center"/>
          </w:tcPr>
          <w:p w14:paraId="2AFA18FD" w14:textId="77777777" w:rsidR="00807A60" w:rsidRPr="00C828FD" w:rsidRDefault="00807A60" w:rsidP="00807A60">
            <w:pPr>
              <w:jc w:val="center"/>
              <w:rPr>
                <w:sz w:val="22"/>
                <w:szCs w:val="22"/>
              </w:rPr>
            </w:pPr>
          </w:p>
        </w:tc>
        <w:tc>
          <w:tcPr>
            <w:tcW w:w="1021" w:type="dxa"/>
            <w:tcBorders>
              <w:top w:val="nil"/>
              <w:left w:val="nil"/>
              <w:bottom w:val="nil"/>
              <w:right w:val="nil"/>
            </w:tcBorders>
            <w:vAlign w:val="center"/>
          </w:tcPr>
          <w:p w14:paraId="579D5A1B" w14:textId="77777777" w:rsidR="00807A60" w:rsidRPr="00C828FD" w:rsidRDefault="00807A60" w:rsidP="00807A60">
            <w:pPr>
              <w:jc w:val="center"/>
              <w:rPr>
                <w:sz w:val="22"/>
                <w:szCs w:val="22"/>
              </w:rPr>
            </w:pPr>
            <w:r w:rsidRPr="00C828FD">
              <w:rPr>
                <w:sz w:val="22"/>
                <w:szCs w:val="22"/>
              </w:rPr>
              <w:t>.17*</w:t>
            </w:r>
          </w:p>
        </w:tc>
      </w:tr>
      <w:tr w:rsidR="00807A60" w14:paraId="77AE9843" w14:textId="77777777" w:rsidTr="00807A60">
        <w:trPr>
          <w:trHeight w:val="340"/>
        </w:trPr>
        <w:tc>
          <w:tcPr>
            <w:tcW w:w="2235" w:type="dxa"/>
            <w:tcBorders>
              <w:top w:val="nil"/>
              <w:left w:val="nil"/>
              <w:bottom w:val="single" w:sz="4" w:space="0" w:color="000000"/>
              <w:right w:val="nil"/>
            </w:tcBorders>
            <w:vAlign w:val="center"/>
          </w:tcPr>
          <w:p w14:paraId="0F97BDB8" w14:textId="77777777" w:rsidR="00807A60" w:rsidRPr="00C828FD" w:rsidRDefault="00807A60" w:rsidP="00807A60">
            <w:pPr>
              <w:jc w:val="right"/>
              <w:rPr>
                <w:sz w:val="22"/>
                <w:szCs w:val="22"/>
              </w:rPr>
            </w:pPr>
            <w:r w:rsidRPr="00C828FD">
              <w:rPr>
                <w:sz w:val="22"/>
                <w:szCs w:val="22"/>
              </w:rPr>
              <w:t>Total</w:t>
            </w:r>
            <w:r w:rsidRPr="00C828FD">
              <w:rPr>
                <w:i/>
                <w:sz w:val="22"/>
                <w:szCs w:val="22"/>
              </w:rPr>
              <w:t xml:space="preserve"> R</w:t>
            </w:r>
            <w:r w:rsidRPr="00C828FD">
              <w:rPr>
                <w:i/>
                <w:sz w:val="22"/>
                <w:szCs w:val="22"/>
                <w:vertAlign w:val="superscript"/>
              </w:rPr>
              <w:t>2</w:t>
            </w:r>
          </w:p>
        </w:tc>
        <w:tc>
          <w:tcPr>
            <w:tcW w:w="1021" w:type="dxa"/>
            <w:tcBorders>
              <w:top w:val="nil"/>
              <w:left w:val="nil"/>
              <w:bottom w:val="single" w:sz="4" w:space="0" w:color="000000"/>
              <w:right w:val="nil"/>
            </w:tcBorders>
            <w:vAlign w:val="center"/>
          </w:tcPr>
          <w:p w14:paraId="4B55FB4F" w14:textId="77777777" w:rsidR="00807A60" w:rsidRPr="00C828FD" w:rsidRDefault="00807A60" w:rsidP="00807A60">
            <w:pPr>
              <w:jc w:val="center"/>
              <w:rPr>
                <w:sz w:val="22"/>
                <w:szCs w:val="22"/>
              </w:rPr>
            </w:pPr>
            <w:r w:rsidRPr="00C828FD">
              <w:rPr>
                <w:sz w:val="22"/>
                <w:szCs w:val="22"/>
              </w:rPr>
              <w:t>.04</w:t>
            </w:r>
          </w:p>
        </w:tc>
        <w:tc>
          <w:tcPr>
            <w:tcW w:w="1021" w:type="dxa"/>
            <w:tcBorders>
              <w:top w:val="nil"/>
              <w:left w:val="nil"/>
              <w:bottom w:val="single" w:sz="4" w:space="0" w:color="000000"/>
              <w:right w:val="nil"/>
            </w:tcBorders>
            <w:vAlign w:val="center"/>
          </w:tcPr>
          <w:p w14:paraId="3C96D9C5" w14:textId="77777777" w:rsidR="00807A60" w:rsidRPr="00C828FD" w:rsidRDefault="00807A60" w:rsidP="00807A60">
            <w:pPr>
              <w:jc w:val="center"/>
              <w:rPr>
                <w:sz w:val="22"/>
                <w:szCs w:val="22"/>
              </w:rPr>
            </w:pPr>
          </w:p>
        </w:tc>
        <w:tc>
          <w:tcPr>
            <w:tcW w:w="1021" w:type="dxa"/>
            <w:tcBorders>
              <w:top w:val="nil"/>
              <w:left w:val="nil"/>
              <w:bottom w:val="single" w:sz="4" w:space="0" w:color="000000"/>
              <w:right w:val="nil"/>
            </w:tcBorders>
            <w:vAlign w:val="center"/>
          </w:tcPr>
          <w:p w14:paraId="022D2CC4" w14:textId="77777777" w:rsidR="00807A60" w:rsidRPr="00C828FD" w:rsidRDefault="00807A60" w:rsidP="00807A60">
            <w:pPr>
              <w:jc w:val="center"/>
              <w:rPr>
                <w:sz w:val="22"/>
                <w:szCs w:val="22"/>
              </w:rPr>
            </w:pPr>
            <w:r w:rsidRPr="00C828FD">
              <w:rPr>
                <w:sz w:val="22"/>
                <w:szCs w:val="22"/>
              </w:rPr>
              <w:t>.12</w:t>
            </w:r>
          </w:p>
        </w:tc>
        <w:tc>
          <w:tcPr>
            <w:tcW w:w="1021" w:type="dxa"/>
            <w:tcBorders>
              <w:top w:val="nil"/>
              <w:left w:val="nil"/>
              <w:bottom w:val="single" w:sz="4" w:space="0" w:color="000000"/>
              <w:right w:val="nil"/>
            </w:tcBorders>
            <w:vAlign w:val="center"/>
          </w:tcPr>
          <w:p w14:paraId="1A1B18A6" w14:textId="77777777" w:rsidR="00807A60" w:rsidRPr="00C828FD" w:rsidRDefault="00807A60" w:rsidP="00807A60">
            <w:pPr>
              <w:jc w:val="center"/>
              <w:rPr>
                <w:sz w:val="22"/>
                <w:szCs w:val="22"/>
              </w:rPr>
            </w:pPr>
          </w:p>
        </w:tc>
        <w:tc>
          <w:tcPr>
            <w:tcW w:w="1021" w:type="dxa"/>
            <w:tcBorders>
              <w:top w:val="nil"/>
              <w:left w:val="nil"/>
              <w:bottom w:val="single" w:sz="4" w:space="0" w:color="000000"/>
              <w:right w:val="nil"/>
            </w:tcBorders>
            <w:vAlign w:val="center"/>
          </w:tcPr>
          <w:p w14:paraId="1C8D49B0" w14:textId="77777777" w:rsidR="00807A60" w:rsidRPr="00C828FD" w:rsidRDefault="00807A60" w:rsidP="00807A60">
            <w:pPr>
              <w:jc w:val="center"/>
              <w:rPr>
                <w:sz w:val="22"/>
                <w:szCs w:val="22"/>
              </w:rPr>
            </w:pPr>
            <w:r w:rsidRPr="00C828FD">
              <w:rPr>
                <w:sz w:val="22"/>
                <w:szCs w:val="22"/>
              </w:rPr>
              <w:t>.13</w:t>
            </w:r>
          </w:p>
        </w:tc>
        <w:tc>
          <w:tcPr>
            <w:tcW w:w="1021" w:type="dxa"/>
            <w:tcBorders>
              <w:top w:val="nil"/>
              <w:left w:val="nil"/>
              <w:bottom w:val="single" w:sz="4" w:space="0" w:color="000000"/>
              <w:right w:val="nil"/>
            </w:tcBorders>
            <w:vAlign w:val="center"/>
          </w:tcPr>
          <w:p w14:paraId="7350A3F3" w14:textId="77777777" w:rsidR="00807A60" w:rsidRPr="00C828FD" w:rsidRDefault="00807A60" w:rsidP="00807A60">
            <w:pPr>
              <w:jc w:val="center"/>
              <w:rPr>
                <w:sz w:val="22"/>
                <w:szCs w:val="22"/>
              </w:rPr>
            </w:pPr>
          </w:p>
        </w:tc>
      </w:tr>
    </w:tbl>
    <w:p w14:paraId="103003AA" w14:textId="59FFF605" w:rsidR="00887F7C" w:rsidRPr="00887F7C" w:rsidRDefault="00887F7C" w:rsidP="00887F7C">
      <w:pPr>
        <w:spacing w:line="360" w:lineRule="auto"/>
        <w:rPr>
          <w:rFonts w:eastAsia="Times New Roman"/>
          <w:sz w:val="22"/>
          <w:szCs w:val="22"/>
        </w:rPr>
      </w:pPr>
      <w:r w:rsidRPr="00887F7C">
        <w:rPr>
          <w:rFonts w:eastAsia="Times New Roman"/>
          <w:sz w:val="22"/>
          <w:szCs w:val="22"/>
          <w:vertAlign w:val="superscript"/>
        </w:rPr>
        <w:t>*</w:t>
      </w:r>
      <w:r w:rsidRPr="00887F7C">
        <w:rPr>
          <w:rFonts w:eastAsia="Times New Roman"/>
          <w:i/>
          <w:sz w:val="22"/>
          <w:szCs w:val="22"/>
        </w:rPr>
        <w:t xml:space="preserve">p </w:t>
      </w:r>
      <w:r w:rsidRPr="00887F7C">
        <w:rPr>
          <w:rFonts w:eastAsia="Times New Roman"/>
          <w:sz w:val="22"/>
          <w:szCs w:val="22"/>
        </w:rPr>
        <w:t xml:space="preserve">&lt; .05. </w:t>
      </w:r>
      <w:r w:rsidRPr="00887F7C">
        <w:rPr>
          <w:rFonts w:eastAsia="Times New Roman"/>
          <w:sz w:val="22"/>
          <w:szCs w:val="22"/>
          <w:vertAlign w:val="superscript"/>
        </w:rPr>
        <w:t>**</w:t>
      </w:r>
      <w:r w:rsidRPr="00887F7C">
        <w:rPr>
          <w:rFonts w:eastAsia="Times New Roman"/>
          <w:i/>
          <w:sz w:val="22"/>
          <w:szCs w:val="22"/>
        </w:rPr>
        <w:t xml:space="preserve">p </w:t>
      </w:r>
      <w:r w:rsidRPr="00887F7C">
        <w:rPr>
          <w:rFonts w:eastAsia="Times New Roman"/>
          <w:sz w:val="22"/>
          <w:szCs w:val="22"/>
        </w:rPr>
        <w:t xml:space="preserve">&lt; .01. </w:t>
      </w:r>
    </w:p>
    <w:p w14:paraId="2D247529" w14:textId="77777777" w:rsidR="00807A60" w:rsidRDefault="00807A60" w:rsidP="00807A60">
      <w:pPr>
        <w:rPr>
          <w:rFonts w:eastAsia="Times New Roman"/>
        </w:rPr>
      </w:pPr>
    </w:p>
    <w:p w14:paraId="211944F9" w14:textId="5F95C83F" w:rsidR="00807A60" w:rsidRDefault="00807A60">
      <w:pPr>
        <w:rPr>
          <w:rFonts w:eastAsia="Times New Roman"/>
        </w:rPr>
      </w:pPr>
    </w:p>
    <w:p w14:paraId="69C5AB09" w14:textId="77777777" w:rsidR="00887F7C" w:rsidRDefault="00887F7C">
      <w:pPr>
        <w:rPr>
          <w:rFonts w:eastAsia="Times New Roman"/>
        </w:rPr>
      </w:pPr>
      <w:r>
        <w:rPr>
          <w:rFonts w:eastAsia="Times New Roman"/>
        </w:rPr>
        <w:br w:type="page"/>
      </w:r>
    </w:p>
    <w:p w14:paraId="6AAF73AB" w14:textId="4ED202E3" w:rsidR="00807A60" w:rsidRDefault="00807A60" w:rsidP="00807A60">
      <w:pPr>
        <w:spacing w:line="360" w:lineRule="auto"/>
        <w:rPr>
          <w:rFonts w:eastAsia="Times New Roman"/>
        </w:rPr>
      </w:pPr>
      <w:r>
        <w:rPr>
          <w:rFonts w:eastAsia="Times New Roman"/>
        </w:rPr>
        <w:t>Table 4. Summary of binary logistic regression analyses for variables predicting reciprocal friendship.</w:t>
      </w:r>
    </w:p>
    <w:tbl>
      <w:tblPr>
        <w:tblW w:w="67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77"/>
        <w:gridCol w:w="851"/>
        <w:gridCol w:w="1559"/>
        <w:gridCol w:w="1417"/>
      </w:tblGrid>
      <w:tr w:rsidR="00807A60" w14:paraId="091B321E" w14:textId="77777777" w:rsidTr="00807A60">
        <w:trPr>
          <w:trHeight w:val="340"/>
        </w:trPr>
        <w:tc>
          <w:tcPr>
            <w:tcW w:w="2877" w:type="dxa"/>
            <w:tcBorders>
              <w:top w:val="single" w:sz="7" w:space="0" w:color="000000"/>
              <w:left w:val="nil"/>
              <w:bottom w:val="single" w:sz="7" w:space="0" w:color="000000"/>
              <w:right w:val="nil"/>
            </w:tcBorders>
            <w:tcMar>
              <w:top w:w="100" w:type="dxa"/>
              <w:left w:w="100" w:type="dxa"/>
              <w:bottom w:w="100" w:type="dxa"/>
              <w:right w:w="100" w:type="dxa"/>
            </w:tcMar>
          </w:tcPr>
          <w:p w14:paraId="67F555CA" w14:textId="77777777" w:rsidR="00807A60" w:rsidRPr="00454693" w:rsidRDefault="00807A60" w:rsidP="00807A60">
            <w:pPr>
              <w:spacing w:line="360" w:lineRule="auto"/>
              <w:ind w:left="100"/>
              <w:rPr>
                <w:rFonts w:eastAsia="Times New Roman"/>
                <w:i/>
                <w:sz w:val="22"/>
                <w:szCs w:val="22"/>
              </w:rPr>
            </w:pPr>
            <w:r w:rsidRPr="00454693">
              <w:rPr>
                <w:rFonts w:eastAsia="Times New Roman"/>
                <w:i/>
                <w:sz w:val="22"/>
                <w:szCs w:val="22"/>
              </w:rPr>
              <w:t>Variable</w:t>
            </w:r>
          </w:p>
        </w:tc>
        <w:tc>
          <w:tcPr>
            <w:tcW w:w="851" w:type="dxa"/>
            <w:tcBorders>
              <w:top w:val="single" w:sz="7" w:space="0" w:color="000000"/>
              <w:left w:val="nil"/>
              <w:bottom w:val="single" w:sz="7" w:space="0" w:color="000000"/>
              <w:right w:val="nil"/>
            </w:tcBorders>
            <w:tcMar>
              <w:top w:w="100" w:type="dxa"/>
              <w:left w:w="100" w:type="dxa"/>
              <w:bottom w:w="100" w:type="dxa"/>
              <w:right w:w="100" w:type="dxa"/>
            </w:tcMar>
          </w:tcPr>
          <w:p w14:paraId="49E90B16" w14:textId="77777777" w:rsidR="00807A60" w:rsidRPr="00454693" w:rsidRDefault="00807A60" w:rsidP="00807A60">
            <w:pPr>
              <w:spacing w:line="360" w:lineRule="auto"/>
              <w:ind w:left="100"/>
              <w:jc w:val="center"/>
              <w:rPr>
                <w:rFonts w:eastAsia="Times New Roman"/>
                <w:i/>
                <w:sz w:val="22"/>
                <w:szCs w:val="22"/>
              </w:rPr>
            </w:pPr>
            <w:r w:rsidRPr="00454693">
              <w:rPr>
                <w:rFonts w:eastAsia="Times New Roman"/>
                <w:i/>
                <w:sz w:val="22"/>
                <w:szCs w:val="22"/>
              </w:rPr>
              <w:t>B</w:t>
            </w:r>
          </w:p>
        </w:tc>
        <w:tc>
          <w:tcPr>
            <w:tcW w:w="1559" w:type="dxa"/>
            <w:tcBorders>
              <w:top w:val="single" w:sz="7" w:space="0" w:color="000000"/>
              <w:left w:val="nil"/>
              <w:bottom w:val="single" w:sz="7" w:space="0" w:color="000000"/>
              <w:right w:val="nil"/>
            </w:tcBorders>
            <w:tcMar>
              <w:top w:w="100" w:type="dxa"/>
              <w:left w:w="100" w:type="dxa"/>
              <w:bottom w:w="100" w:type="dxa"/>
              <w:right w:w="100" w:type="dxa"/>
            </w:tcMar>
          </w:tcPr>
          <w:p w14:paraId="0C5B29A1" w14:textId="77777777" w:rsidR="00807A60" w:rsidRPr="00454693" w:rsidRDefault="00807A60" w:rsidP="00807A60">
            <w:pPr>
              <w:spacing w:line="360" w:lineRule="auto"/>
              <w:ind w:left="100"/>
              <w:jc w:val="center"/>
              <w:rPr>
                <w:rFonts w:eastAsia="Times New Roman"/>
                <w:i/>
                <w:sz w:val="22"/>
                <w:szCs w:val="22"/>
              </w:rPr>
            </w:pPr>
            <w:r w:rsidRPr="00454693">
              <w:rPr>
                <w:rFonts w:eastAsia="Times New Roman"/>
                <w:i/>
                <w:sz w:val="22"/>
                <w:szCs w:val="22"/>
              </w:rPr>
              <w:t>S.E.</w:t>
            </w:r>
          </w:p>
        </w:tc>
        <w:tc>
          <w:tcPr>
            <w:tcW w:w="1417" w:type="dxa"/>
            <w:tcBorders>
              <w:top w:val="single" w:sz="7" w:space="0" w:color="000000"/>
              <w:left w:val="nil"/>
              <w:bottom w:val="single" w:sz="7" w:space="0" w:color="000000"/>
              <w:right w:val="nil"/>
            </w:tcBorders>
            <w:tcMar>
              <w:top w:w="100" w:type="dxa"/>
              <w:left w:w="100" w:type="dxa"/>
              <w:bottom w:w="100" w:type="dxa"/>
              <w:right w:w="100" w:type="dxa"/>
            </w:tcMar>
          </w:tcPr>
          <w:p w14:paraId="2058C8C7" w14:textId="77777777" w:rsidR="00807A60" w:rsidRPr="00454693" w:rsidRDefault="00807A60" w:rsidP="00807A60">
            <w:pPr>
              <w:spacing w:line="360" w:lineRule="auto"/>
              <w:ind w:left="100"/>
              <w:jc w:val="center"/>
              <w:rPr>
                <w:rFonts w:eastAsia="Times New Roman"/>
                <w:i/>
                <w:sz w:val="22"/>
                <w:szCs w:val="22"/>
              </w:rPr>
            </w:pPr>
            <w:r w:rsidRPr="00454693">
              <w:rPr>
                <w:rFonts w:eastAsia="Times New Roman"/>
                <w:i/>
                <w:sz w:val="22"/>
                <w:szCs w:val="22"/>
              </w:rPr>
              <w:t>Wald</w:t>
            </w:r>
          </w:p>
        </w:tc>
      </w:tr>
      <w:tr w:rsidR="00807A60" w14:paraId="37799300" w14:textId="77777777" w:rsidTr="00807A60">
        <w:trPr>
          <w:trHeight w:val="340"/>
        </w:trPr>
        <w:tc>
          <w:tcPr>
            <w:tcW w:w="2877" w:type="dxa"/>
            <w:tcBorders>
              <w:top w:val="nil"/>
              <w:left w:val="nil"/>
              <w:bottom w:val="nil"/>
              <w:right w:val="nil"/>
            </w:tcBorders>
            <w:shd w:val="clear" w:color="auto" w:fill="auto"/>
            <w:tcMar>
              <w:top w:w="100" w:type="dxa"/>
              <w:left w:w="100" w:type="dxa"/>
              <w:bottom w:w="100" w:type="dxa"/>
              <w:right w:w="100" w:type="dxa"/>
            </w:tcMar>
            <w:vAlign w:val="center"/>
          </w:tcPr>
          <w:p w14:paraId="735E68BC" w14:textId="77777777" w:rsidR="00807A60" w:rsidRPr="00454693" w:rsidRDefault="00807A60" w:rsidP="00807A60">
            <w:pPr>
              <w:spacing w:line="360" w:lineRule="auto"/>
              <w:rPr>
                <w:rFonts w:eastAsia="Times New Roman"/>
                <w:sz w:val="22"/>
                <w:szCs w:val="22"/>
              </w:rPr>
            </w:pPr>
            <w:r>
              <w:rPr>
                <w:sz w:val="22"/>
                <w:szCs w:val="22"/>
              </w:rPr>
              <w:t>Gender</w:t>
            </w:r>
          </w:p>
        </w:tc>
        <w:tc>
          <w:tcPr>
            <w:tcW w:w="851" w:type="dxa"/>
            <w:tcBorders>
              <w:top w:val="nil"/>
              <w:left w:val="nil"/>
              <w:bottom w:val="nil"/>
              <w:right w:val="nil"/>
            </w:tcBorders>
            <w:tcMar>
              <w:top w:w="100" w:type="dxa"/>
              <w:left w:w="100" w:type="dxa"/>
              <w:bottom w:w="100" w:type="dxa"/>
              <w:right w:w="100" w:type="dxa"/>
            </w:tcMar>
          </w:tcPr>
          <w:p w14:paraId="07E4EB36"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-.31</w:t>
            </w:r>
          </w:p>
        </w:tc>
        <w:tc>
          <w:tcPr>
            <w:tcW w:w="1559" w:type="dxa"/>
            <w:tcBorders>
              <w:top w:val="nil"/>
              <w:left w:val="nil"/>
              <w:bottom w:val="nil"/>
              <w:right w:val="nil"/>
            </w:tcBorders>
            <w:tcMar>
              <w:top w:w="100" w:type="dxa"/>
              <w:left w:w="100" w:type="dxa"/>
              <w:bottom w:w="100" w:type="dxa"/>
              <w:right w:w="100" w:type="dxa"/>
            </w:tcMar>
          </w:tcPr>
          <w:p w14:paraId="74203448"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.33</w:t>
            </w:r>
          </w:p>
        </w:tc>
        <w:tc>
          <w:tcPr>
            <w:tcW w:w="1417" w:type="dxa"/>
            <w:tcBorders>
              <w:top w:val="nil"/>
              <w:left w:val="nil"/>
              <w:bottom w:val="nil"/>
              <w:right w:val="nil"/>
            </w:tcBorders>
            <w:tcMar>
              <w:top w:w="100" w:type="dxa"/>
              <w:left w:w="100" w:type="dxa"/>
              <w:bottom w:w="100" w:type="dxa"/>
              <w:right w:w="100" w:type="dxa"/>
            </w:tcMar>
          </w:tcPr>
          <w:p w14:paraId="12829ACE"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.88</w:t>
            </w:r>
          </w:p>
        </w:tc>
      </w:tr>
      <w:tr w:rsidR="00807A60" w14:paraId="22B16CBB" w14:textId="77777777" w:rsidTr="00807A60">
        <w:trPr>
          <w:trHeight w:val="340"/>
        </w:trPr>
        <w:tc>
          <w:tcPr>
            <w:tcW w:w="2877" w:type="dxa"/>
            <w:tcBorders>
              <w:top w:val="nil"/>
              <w:left w:val="nil"/>
              <w:bottom w:val="nil"/>
              <w:right w:val="nil"/>
            </w:tcBorders>
            <w:shd w:val="clear" w:color="auto" w:fill="auto"/>
            <w:tcMar>
              <w:top w:w="100" w:type="dxa"/>
              <w:left w:w="100" w:type="dxa"/>
              <w:bottom w:w="100" w:type="dxa"/>
              <w:right w:w="100" w:type="dxa"/>
            </w:tcMar>
            <w:vAlign w:val="center"/>
          </w:tcPr>
          <w:p w14:paraId="4E092963" w14:textId="77777777" w:rsidR="00807A60" w:rsidRPr="00454693" w:rsidRDefault="00807A60" w:rsidP="00807A60">
            <w:pPr>
              <w:spacing w:line="360" w:lineRule="auto"/>
              <w:rPr>
                <w:rFonts w:eastAsia="Times New Roman"/>
                <w:sz w:val="22"/>
                <w:szCs w:val="22"/>
              </w:rPr>
            </w:pPr>
            <w:r w:rsidRPr="00454693">
              <w:rPr>
                <w:sz w:val="22"/>
                <w:szCs w:val="22"/>
              </w:rPr>
              <w:t xml:space="preserve">Age </w:t>
            </w:r>
          </w:p>
        </w:tc>
        <w:tc>
          <w:tcPr>
            <w:tcW w:w="851" w:type="dxa"/>
            <w:tcBorders>
              <w:top w:val="nil"/>
              <w:left w:val="nil"/>
              <w:bottom w:val="nil"/>
              <w:right w:val="nil"/>
            </w:tcBorders>
            <w:tcMar>
              <w:top w:w="100" w:type="dxa"/>
              <w:left w:w="100" w:type="dxa"/>
              <w:bottom w:w="100" w:type="dxa"/>
              <w:right w:w="100" w:type="dxa"/>
            </w:tcMar>
          </w:tcPr>
          <w:p w14:paraId="50859241"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.11</w:t>
            </w:r>
          </w:p>
        </w:tc>
        <w:tc>
          <w:tcPr>
            <w:tcW w:w="1559" w:type="dxa"/>
            <w:tcBorders>
              <w:top w:val="nil"/>
              <w:left w:val="nil"/>
              <w:bottom w:val="nil"/>
              <w:right w:val="nil"/>
            </w:tcBorders>
            <w:tcMar>
              <w:top w:w="100" w:type="dxa"/>
              <w:left w:w="100" w:type="dxa"/>
              <w:bottom w:w="100" w:type="dxa"/>
              <w:right w:w="100" w:type="dxa"/>
            </w:tcMar>
          </w:tcPr>
          <w:p w14:paraId="2F48B8E8"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.18</w:t>
            </w:r>
          </w:p>
        </w:tc>
        <w:tc>
          <w:tcPr>
            <w:tcW w:w="1417" w:type="dxa"/>
            <w:tcBorders>
              <w:top w:val="nil"/>
              <w:left w:val="nil"/>
              <w:bottom w:val="nil"/>
              <w:right w:val="nil"/>
            </w:tcBorders>
            <w:tcMar>
              <w:top w:w="100" w:type="dxa"/>
              <w:left w:w="100" w:type="dxa"/>
              <w:bottom w:w="100" w:type="dxa"/>
              <w:right w:w="100" w:type="dxa"/>
            </w:tcMar>
          </w:tcPr>
          <w:p w14:paraId="13EA6856"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.39</w:t>
            </w:r>
          </w:p>
        </w:tc>
      </w:tr>
      <w:tr w:rsidR="00807A60" w14:paraId="38E2A4DB" w14:textId="77777777" w:rsidTr="00807A60">
        <w:trPr>
          <w:trHeight w:val="340"/>
        </w:trPr>
        <w:tc>
          <w:tcPr>
            <w:tcW w:w="2877" w:type="dxa"/>
            <w:tcBorders>
              <w:top w:val="nil"/>
              <w:left w:val="nil"/>
              <w:bottom w:val="nil"/>
              <w:right w:val="nil"/>
            </w:tcBorders>
            <w:shd w:val="clear" w:color="auto" w:fill="auto"/>
            <w:tcMar>
              <w:top w:w="100" w:type="dxa"/>
              <w:left w:w="100" w:type="dxa"/>
              <w:bottom w:w="100" w:type="dxa"/>
              <w:right w:w="100" w:type="dxa"/>
            </w:tcMar>
            <w:vAlign w:val="center"/>
          </w:tcPr>
          <w:p w14:paraId="0BA51256" w14:textId="77777777" w:rsidR="00807A60" w:rsidRPr="00454693" w:rsidRDefault="00807A60" w:rsidP="00807A60">
            <w:pPr>
              <w:spacing w:line="360" w:lineRule="auto"/>
              <w:rPr>
                <w:rFonts w:eastAsia="Times New Roman"/>
                <w:sz w:val="22"/>
                <w:szCs w:val="22"/>
              </w:rPr>
            </w:pPr>
            <w:r>
              <w:rPr>
                <w:sz w:val="22"/>
                <w:szCs w:val="22"/>
              </w:rPr>
              <w:t>Language ability</w:t>
            </w:r>
          </w:p>
        </w:tc>
        <w:tc>
          <w:tcPr>
            <w:tcW w:w="851" w:type="dxa"/>
            <w:tcBorders>
              <w:top w:val="nil"/>
              <w:left w:val="nil"/>
              <w:bottom w:val="nil"/>
              <w:right w:val="nil"/>
            </w:tcBorders>
            <w:tcMar>
              <w:top w:w="100" w:type="dxa"/>
              <w:left w:w="100" w:type="dxa"/>
              <w:bottom w:w="100" w:type="dxa"/>
              <w:right w:w="100" w:type="dxa"/>
            </w:tcMar>
          </w:tcPr>
          <w:p w14:paraId="56BD1CE5"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.16</w:t>
            </w:r>
          </w:p>
        </w:tc>
        <w:tc>
          <w:tcPr>
            <w:tcW w:w="1559" w:type="dxa"/>
            <w:tcBorders>
              <w:top w:val="nil"/>
              <w:left w:val="nil"/>
              <w:bottom w:val="nil"/>
              <w:right w:val="nil"/>
            </w:tcBorders>
            <w:tcMar>
              <w:top w:w="100" w:type="dxa"/>
              <w:left w:w="100" w:type="dxa"/>
              <w:bottom w:w="100" w:type="dxa"/>
              <w:right w:w="100" w:type="dxa"/>
            </w:tcMar>
          </w:tcPr>
          <w:p w14:paraId="300A6B1D"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.17</w:t>
            </w:r>
          </w:p>
        </w:tc>
        <w:tc>
          <w:tcPr>
            <w:tcW w:w="1417" w:type="dxa"/>
            <w:tcBorders>
              <w:top w:val="nil"/>
              <w:left w:val="nil"/>
              <w:bottom w:val="nil"/>
              <w:right w:val="nil"/>
            </w:tcBorders>
            <w:tcMar>
              <w:top w:w="100" w:type="dxa"/>
              <w:left w:w="100" w:type="dxa"/>
              <w:bottom w:w="100" w:type="dxa"/>
              <w:right w:w="100" w:type="dxa"/>
            </w:tcMar>
          </w:tcPr>
          <w:p w14:paraId="1ABBFCEC"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.82</w:t>
            </w:r>
          </w:p>
        </w:tc>
      </w:tr>
      <w:tr w:rsidR="00807A60" w14:paraId="5C0DD074" w14:textId="77777777" w:rsidTr="00807A60">
        <w:trPr>
          <w:trHeight w:val="340"/>
        </w:trPr>
        <w:tc>
          <w:tcPr>
            <w:tcW w:w="2877" w:type="dxa"/>
            <w:tcBorders>
              <w:top w:val="nil"/>
              <w:left w:val="nil"/>
              <w:bottom w:val="nil"/>
              <w:right w:val="nil"/>
            </w:tcBorders>
            <w:tcMar>
              <w:top w:w="60" w:type="dxa"/>
              <w:left w:w="100" w:type="dxa"/>
              <w:bottom w:w="60" w:type="dxa"/>
              <w:right w:w="100" w:type="dxa"/>
            </w:tcMar>
            <w:vAlign w:val="center"/>
          </w:tcPr>
          <w:p w14:paraId="69DB2518" w14:textId="77777777" w:rsidR="00807A60" w:rsidRPr="00454693" w:rsidRDefault="00807A60" w:rsidP="00807A60">
            <w:pPr>
              <w:spacing w:line="360" w:lineRule="auto"/>
              <w:rPr>
                <w:rFonts w:eastAsia="Times New Roman"/>
                <w:sz w:val="22"/>
                <w:szCs w:val="22"/>
                <w:highlight w:val="yellow"/>
              </w:rPr>
            </w:pPr>
            <w:r w:rsidRPr="00454693">
              <w:rPr>
                <w:sz w:val="22"/>
                <w:szCs w:val="22"/>
              </w:rPr>
              <w:t>Child school readiness</w:t>
            </w:r>
          </w:p>
        </w:tc>
        <w:tc>
          <w:tcPr>
            <w:tcW w:w="851" w:type="dxa"/>
            <w:tcBorders>
              <w:top w:val="nil"/>
              <w:left w:val="nil"/>
              <w:bottom w:val="nil"/>
              <w:right w:val="nil"/>
            </w:tcBorders>
            <w:tcMar>
              <w:top w:w="100" w:type="dxa"/>
              <w:left w:w="100" w:type="dxa"/>
              <w:bottom w:w="100" w:type="dxa"/>
              <w:right w:w="100" w:type="dxa"/>
            </w:tcMar>
          </w:tcPr>
          <w:p w14:paraId="172B0B1F"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-.28</w:t>
            </w:r>
          </w:p>
        </w:tc>
        <w:tc>
          <w:tcPr>
            <w:tcW w:w="1559" w:type="dxa"/>
            <w:tcBorders>
              <w:top w:val="nil"/>
              <w:left w:val="nil"/>
              <w:bottom w:val="nil"/>
              <w:right w:val="nil"/>
            </w:tcBorders>
            <w:tcMar>
              <w:top w:w="100" w:type="dxa"/>
              <w:left w:w="100" w:type="dxa"/>
              <w:bottom w:w="100" w:type="dxa"/>
              <w:right w:w="100" w:type="dxa"/>
            </w:tcMar>
          </w:tcPr>
          <w:p w14:paraId="69567256"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.17</w:t>
            </w:r>
          </w:p>
        </w:tc>
        <w:tc>
          <w:tcPr>
            <w:tcW w:w="1417" w:type="dxa"/>
            <w:tcBorders>
              <w:top w:val="nil"/>
              <w:left w:val="nil"/>
              <w:bottom w:val="nil"/>
              <w:right w:val="nil"/>
            </w:tcBorders>
            <w:tcMar>
              <w:top w:w="100" w:type="dxa"/>
              <w:left w:w="100" w:type="dxa"/>
              <w:bottom w:w="100" w:type="dxa"/>
              <w:right w:w="100" w:type="dxa"/>
            </w:tcMar>
          </w:tcPr>
          <w:p w14:paraId="346D316C"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2.46</w:t>
            </w:r>
          </w:p>
        </w:tc>
      </w:tr>
      <w:tr w:rsidR="00807A60" w14:paraId="5D557E9C" w14:textId="77777777" w:rsidTr="00807A60">
        <w:trPr>
          <w:trHeight w:val="340"/>
        </w:trPr>
        <w:tc>
          <w:tcPr>
            <w:tcW w:w="2877" w:type="dxa"/>
            <w:tcBorders>
              <w:top w:val="nil"/>
              <w:left w:val="nil"/>
              <w:bottom w:val="single" w:sz="4" w:space="0" w:color="000000"/>
              <w:right w:val="nil"/>
            </w:tcBorders>
            <w:tcMar>
              <w:top w:w="60" w:type="dxa"/>
              <w:left w:w="100" w:type="dxa"/>
              <w:bottom w:w="60" w:type="dxa"/>
              <w:right w:w="100" w:type="dxa"/>
            </w:tcMar>
            <w:vAlign w:val="center"/>
          </w:tcPr>
          <w:p w14:paraId="1902D247" w14:textId="6C0493D3" w:rsidR="00807A60" w:rsidRPr="00454693" w:rsidRDefault="00807A60" w:rsidP="00807A60">
            <w:pPr>
              <w:spacing w:line="360" w:lineRule="auto"/>
              <w:rPr>
                <w:sz w:val="22"/>
                <w:szCs w:val="22"/>
              </w:rPr>
            </w:pPr>
            <w:r w:rsidRPr="00454693">
              <w:rPr>
                <w:sz w:val="22"/>
                <w:szCs w:val="22"/>
              </w:rPr>
              <w:t xml:space="preserve">Family </w:t>
            </w:r>
            <w:r w:rsidR="00887F7C">
              <w:rPr>
                <w:sz w:val="22"/>
                <w:szCs w:val="22"/>
              </w:rPr>
              <w:t>s</w:t>
            </w:r>
            <w:r w:rsidRPr="00454693">
              <w:rPr>
                <w:sz w:val="22"/>
                <w:szCs w:val="22"/>
              </w:rPr>
              <w:t>upport</w:t>
            </w:r>
          </w:p>
        </w:tc>
        <w:tc>
          <w:tcPr>
            <w:tcW w:w="851" w:type="dxa"/>
            <w:tcBorders>
              <w:top w:val="nil"/>
              <w:left w:val="nil"/>
              <w:bottom w:val="single" w:sz="4" w:space="0" w:color="000000"/>
              <w:right w:val="nil"/>
            </w:tcBorders>
            <w:tcMar>
              <w:top w:w="100" w:type="dxa"/>
              <w:left w:w="100" w:type="dxa"/>
              <w:bottom w:w="100" w:type="dxa"/>
              <w:right w:w="100" w:type="dxa"/>
            </w:tcMar>
          </w:tcPr>
          <w:p w14:paraId="1C49A2FF"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-.37</w:t>
            </w:r>
          </w:p>
        </w:tc>
        <w:tc>
          <w:tcPr>
            <w:tcW w:w="1559" w:type="dxa"/>
            <w:tcBorders>
              <w:top w:val="nil"/>
              <w:left w:val="nil"/>
              <w:bottom w:val="single" w:sz="4" w:space="0" w:color="000000"/>
              <w:right w:val="nil"/>
            </w:tcBorders>
            <w:tcMar>
              <w:top w:w="100" w:type="dxa"/>
              <w:left w:w="100" w:type="dxa"/>
              <w:bottom w:w="100" w:type="dxa"/>
              <w:right w:w="100" w:type="dxa"/>
            </w:tcMar>
          </w:tcPr>
          <w:p w14:paraId="4FFEC2C3"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.24</w:t>
            </w:r>
          </w:p>
        </w:tc>
        <w:tc>
          <w:tcPr>
            <w:tcW w:w="1417" w:type="dxa"/>
            <w:tcBorders>
              <w:top w:val="nil"/>
              <w:left w:val="nil"/>
              <w:bottom w:val="single" w:sz="4" w:space="0" w:color="000000"/>
              <w:right w:val="nil"/>
            </w:tcBorders>
            <w:tcMar>
              <w:top w:w="100" w:type="dxa"/>
              <w:left w:w="100" w:type="dxa"/>
              <w:bottom w:w="100" w:type="dxa"/>
              <w:right w:w="100" w:type="dxa"/>
            </w:tcMar>
          </w:tcPr>
          <w:p w14:paraId="7B82A088" w14:textId="77777777" w:rsidR="00807A60" w:rsidRPr="00454693" w:rsidRDefault="00807A60" w:rsidP="00807A60">
            <w:pPr>
              <w:spacing w:line="360" w:lineRule="auto"/>
              <w:ind w:left="100"/>
              <w:jc w:val="center"/>
              <w:rPr>
                <w:rFonts w:eastAsia="Times New Roman"/>
                <w:sz w:val="22"/>
                <w:szCs w:val="22"/>
              </w:rPr>
            </w:pPr>
            <w:r w:rsidRPr="00454693">
              <w:rPr>
                <w:rFonts w:eastAsia="Times New Roman"/>
                <w:sz w:val="22"/>
                <w:szCs w:val="22"/>
              </w:rPr>
              <w:t>4.54*</w:t>
            </w:r>
          </w:p>
        </w:tc>
      </w:tr>
    </w:tbl>
    <w:p w14:paraId="1C6020C9" w14:textId="4B8E03DE" w:rsidR="00887F7C" w:rsidRPr="00887F7C" w:rsidRDefault="00887F7C" w:rsidP="00887F7C">
      <w:pPr>
        <w:spacing w:line="360" w:lineRule="auto"/>
        <w:rPr>
          <w:rFonts w:eastAsia="Times New Roman"/>
          <w:sz w:val="22"/>
          <w:szCs w:val="22"/>
        </w:rPr>
      </w:pPr>
      <w:bookmarkStart w:id="11" w:name="_1fob9te" w:colFirst="0" w:colLast="0"/>
      <w:bookmarkEnd w:id="11"/>
      <w:r w:rsidRPr="00887F7C">
        <w:rPr>
          <w:rFonts w:eastAsia="Times New Roman"/>
          <w:sz w:val="22"/>
          <w:szCs w:val="22"/>
          <w:vertAlign w:val="superscript"/>
        </w:rPr>
        <w:t>*</w:t>
      </w:r>
      <w:r w:rsidRPr="00887F7C">
        <w:rPr>
          <w:rFonts w:eastAsia="Times New Roman"/>
          <w:i/>
          <w:sz w:val="22"/>
          <w:szCs w:val="22"/>
        </w:rPr>
        <w:t xml:space="preserve">p </w:t>
      </w:r>
      <w:r w:rsidRPr="00887F7C">
        <w:rPr>
          <w:rFonts w:eastAsia="Times New Roman"/>
          <w:sz w:val="22"/>
          <w:szCs w:val="22"/>
        </w:rPr>
        <w:t xml:space="preserve">&lt; .05. </w:t>
      </w:r>
      <w:r w:rsidRPr="00887F7C">
        <w:rPr>
          <w:rFonts w:eastAsia="Times New Roman"/>
          <w:sz w:val="22"/>
          <w:szCs w:val="22"/>
          <w:vertAlign w:val="superscript"/>
        </w:rPr>
        <w:t>**</w:t>
      </w:r>
      <w:r w:rsidRPr="00887F7C">
        <w:rPr>
          <w:rFonts w:eastAsia="Times New Roman"/>
          <w:i/>
          <w:sz w:val="22"/>
          <w:szCs w:val="22"/>
        </w:rPr>
        <w:t xml:space="preserve">p </w:t>
      </w:r>
      <w:r w:rsidRPr="00887F7C">
        <w:rPr>
          <w:rFonts w:eastAsia="Times New Roman"/>
          <w:sz w:val="22"/>
          <w:szCs w:val="22"/>
        </w:rPr>
        <w:t xml:space="preserve">&lt; .01. </w:t>
      </w:r>
    </w:p>
    <w:p w14:paraId="33E71498" w14:textId="77777777" w:rsidR="00807A60" w:rsidRDefault="00807A60" w:rsidP="00807A60">
      <w:pPr>
        <w:spacing w:line="360" w:lineRule="auto"/>
        <w:outlineLvl w:val="0"/>
        <w:rPr>
          <w:rFonts w:eastAsia="Times New Roman"/>
        </w:rPr>
      </w:pPr>
    </w:p>
    <w:p w14:paraId="29356B6B" w14:textId="631BE45B" w:rsidR="00807A60" w:rsidRDefault="00807A60">
      <w:r>
        <w:br w:type="page"/>
      </w:r>
    </w:p>
    <w:p w14:paraId="673C700B" w14:textId="77777777" w:rsidR="00807A60" w:rsidRDefault="00807A60" w:rsidP="00807A60">
      <w:pPr>
        <w:widowControl w:val="0"/>
        <w:autoSpaceDE w:val="0"/>
        <w:autoSpaceDN w:val="0"/>
        <w:adjustRightInd w:val="0"/>
        <w:spacing w:after="240" w:line="180" w:lineRule="atLeast"/>
        <w:rPr>
          <w:rFonts w:eastAsia="Times New Roman"/>
        </w:rPr>
      </w:pPr>
      <w:r w:rsidRPr="00CA38DA">
        <w:rPr>
          <w:rFonts w:eastAsia="Times New Roman"/>
        </w:rPr>
        <w:t>Figure 1.</w:t>
      </w:r>
      <w:r>
        <w:rPr>
          <w:rFonts w:eastAsia="Times New Roman"/>
        </w:rPr>
        <w:t xml:space="preserve"> </w:t>
      </w:r>
    </w:p>
    <w:p w14:paraId="14A33DB3" w14:textId="3A10DF46" w:rsidR="00807A60" w:rsidRDefault="00807A60" w:rsidP="00807A60">
      <w:pPr>
        <w:widowControl w:val="0"/>
        <w:autoSpaceDE w:val="0"/>
        <w:autoSpaceDN w:val="0"/>
        <w:adjustRightInd w:val="0"/>
        <w:spacing w:after="240" w:line="180" w:lineRule="atLeast"/>
        <w:rPr>
          <w:rFonts w:eastAsia="Times New Roman"/>
        </w:rPr>
      </w:pPr>
      <w:r>
        <w:rPr>
          <w:rFonts w:eastAsia="Times New Roman"/>
        </w:rPr>
        <w:t xml:space="preserve">Interaction between child school readiness and sex as a predictor of </w:t>
      </w:r>
      <w:r w:rsidR="007C7FCC">
        <w:rPr>
          <w:rFonts w:eastAsia="Times New Roman"/>
        </w:rPr>
        <w:t>social preference</w:t>
      </w:r>
    </w:p>
    <w:p w14:paraId="40145638" w14:textId="77777777" w:rsidR="00233E05" w:rsidRDefault="00233E05"/>
    <w:sectPr w:rsidR="00233E05" w:rsidSect="00BB78C4">
      <w:headerReference w:type="even" r:id="rId10"/>
      <w:headerReference w:type="default" r:id="rId11"/>
      <w:footerReference w:type="default" r:id="rId12"/>
      <w:pgSz w:w="11900" w:h="16840"/>
      <w:pgMar w:top="1440" w:right="1800" w:bottom="1440" w:left="180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1D58" w14:textId="77777777" w:rsidR="00F54E66" w:rsidRDefault="00F54E66">
      <w:r>
        <w:separator/>
      </w:r>
    </w:p>
  </w:endnote>
  <w:endnote w:type="continuationSeparator" w:id="0">
    <w:p w14:paraId="665DCF56" w14:textId="77777777" w:rsidR="00F54E66" w:rsidRDefault="00F5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oteworthy Light">
    <w:altName w:val="Segoe UI Historic"/>
    <w:charset w:val="4D"/>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0443" w14:textId="77777777" w:rsidR="00A10728" w:rsidRDefault="00A10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70A7" w14:textId="77777777" w:rsidR="00F54E66" w:rsidRDefault="00F54E66">
      <w:r>
        <w:separator/>
      </w:r>
    </w:p>
  </w:footnote>
  <w:footnote w:type="continuationSeparator" w:id="0">
    <w:p w14:paraId="7CA73332" w14:textId="77777777" w:rsidR="00F54E66" w:rsidRDefault="00F54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01E5" w14:textId="77777777" w:rsidR="00A10728" w:rsidRDefault="00A10728" w:rsidP="001A59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FD1BC" w14:textId="77777777" w:rsidR="00A10728" w:rsidRDefault="00A10728" w:rsidP="00887F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0B3A" w14:textId="77777777" w:rsidR="00A10728" w:rsidRDefault="00A10728" w:rsidP="001A59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465">
      <w:rPr>
        <w:rStyle w:val="PageNumber"/>
        <w:noProof/>
      </w:rPr>
      <w:t>29</w:t>
    </w:r>
    <w:r>
      <w:rPr>
        <w:rStyle w:val="PageNumber"/>
      </w:rPr>
      <w:fldChar w:fldCharType="end"/>
    </w:r>
  </w:p>
  <w:p w14:paraId="3805C6D1" w14:textId="77777777" w:rsidR="00A10728" w:rsidRDefault="00A10728" w:rsidP="00887F7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6F6C" w14:textId="77777777" w:rsidR="00A10728" w:rsidRDefault="00A10728">
    <w:pPr>
      <w:tabs>
        <w:tab w:val="center" w:pos="4513"/>
        <w:tab w:val="right" w:pos="9026"/>
      </w:tabs>
      <w:jc w:val="right"/>
    </w:pPr>
    <w:r>
      <w:fldChar w:fldCharType="begin"/>
    </w:r>
    <w:r>
      <w:instrText>PAGE</w:instrText>
    </w:r>
    <w:r>
      <w:fldChar w:fldCharType="end"/>
    </w:r>
  </w:p>
  <w:p w14:paraId="64424DFC" w14:textId="77777777" w:rsidR="00A10728" w:rsidRDefault="00A10728">
    <w:pPr>
      <w:tabs>
        <w:tab w:val="center" w:pos="4513"/>
        <w:tab w:val="right" w:pos="9026"/>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1B59" w14:textId="77777777" w:rsidR="00A10728" w:rsidRDefault="00A10728">
    <w:pPr>
      <w:tabs>
        <w:tab w:val="center" w:pos="4513"/>
        <w:tab w:val="right" w:pos="9026"/>
      </w:tabs>
      <w:jc w:val="right"/>
    </w:pPr>
    <w:r>
      <w:fldChar w:fldCharType="begin"/>
    </w:r>
    <w:r>
      <w:instrText>PAGE</w:instrText>
    </w:r>
    <w:r>
      <w:fldChar w:fldCharType="separate"/>
    </w:r>
    <w:r>
      <w:rPr>
        <w:noProof/>
      </w:rPr>
      <w:t>33</w:t>
    </w:r>
    <w:r>
      <w:fldChar w:fldCharType="end"/>
    </w:r>
  </w:p>
  <w:p w14:paraId="7F05F9D9" w14:textId="77777777" w:rsidR="00A10728" w:rsidRDefault="00A10728">
    <w:pPr>
      <w:tabs>
        <w:tab w:val="center" w:pos="4513"/>
        <w:tab w:val="right" w:pos="9026"/>
      </w:tabs>
      <w:ind w:right="360"/>
    </w:pPr>
    <w:r>
      <w:t>SCHOOL READINESS AND SOCIAL SUCCESS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27F7D"/>
    <w:rsid w:val="00005494"/>
    <w:rsid w:val="00027F7D"/>
    <w:rsid w:val="00081AF9"/>
    <w:rsid w:val="000A4F69"/>
    <w:rsid w:val="000A60EA"/>
    <w:rsid w:val="000C2A6C"/>
    <w:rsid w:val="0011556A"/>
    <w:rsid w:val="001170D8"/>
    <w:rsid w:val="001339BD"/>
    <w:rsid w:val="001A59F2"/>
    <w:rsid w:val="001F45AE"/>
    <w:rsid w:val="00233E05"/>
    <w:rsid w:val="00276465"/>
    <w:rsid w:val="0028657E"/>
    <w:rsid w:val="00293289"/>
    <w:rsid w:val="00372C08"/>
    <w:rsid w:val="003C3FC7"/>
    <w:rsid w:val="00484D4A"/>
    <w:rsid w:val="005153ED"/>
    <w:rsid w:val="0053191F"/>
    <w:rsid w:val="0053733A"/>
    <w:rsid w:val="005A2CD5"/>
    <w:rsid w:val="005C3919"/>
    <w:rsid w:val="005D362E"/>
    <w:rsid w:val="00674C4A"/>
    <w:rsid w:val="00692FE7"/>
    <w:rsid w:val="006A6A98"/>
    <w:rsid w:val="00764783"/>
    <w:rsid w:val="007A453D"/>
    <w:rsid w:val="007C7FCC"/>
    <w:rsid w:val="007E3933"/>
    <w:rsid w:val="00807A60"/>
    <w:rsid w:val="00860666"/>
    <w:rsid w:val="00861034"/>
    <w:rsid w:val="00876952"/>
    <w:rsid w:val="00877D7E"/>
    <w:rsid w:val="00887655"/>
    <w:rsid w:val="00887F7C"/>
    <w:rsid w:val="008C125D"/>
    <w:rsid w:val="008E6B2F"/>
    <w:rsid w:val="00941BA9"/>
    <w:rsid w:val="009D71E9"/>
    <w:rsid w:val="00A10728"/>
    <w:rsid w:val="00A70CBD"/>
    <w:rsid w:val="00A860A5"/>
    <w:rsid w:val="00AA491D"/>
    <w:rsid w:val="00AC20E7"/>
    <w:rsid w:val="00AD6328"/>
    <w:rsid w:val="00B57C87"/>
    <w:rsid w:val="00B95E4D"/>
    <w:rsid w:val="00B97C28"/>
    <w:rsid w:val="00BB78C4"/>
    <w:rsid w:val="00BC512A"/>
    <w:rsid w:val="00C2019F"/>
    <w:rsid w:val="00C35B74"/>
    <w:rsid w:val="00CB5AB4"/>
    <w:rsid w:val="00D34EA7"/>
    <w:rsid w:val="00D3568A"/>
    <w:rsid w:val="00DD016F"/>
    <w:rsid w:val="00E0775E"/>
    <w:rsid w:val="00E25E55"/>
    <w:rsid w:val="00E4039A"/>
    <w:rsid w:val="00E45FFB"/>
    <w:rsid w:val="00E660EA"/>
    <w:rsid w:val="00ED6F4E"/>
    <w:rsid w:val="00F41A76"/>
    <w:rsid w:val="00F54E66"/>
    <w:rsid w:val="00F80781"/>
    <w:rsid w:val="00FD436C"/>
    <w:rsid w:val="00FD4FC6"/>
    <w:rsid w:val="00FF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92BE7"/>
  <w14:defaultImageDpi w14:val="300"/>
  <w15:docId w15:val="{ACCF7DA0-044B-7E4C-B682-16F50E89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F7D"/>
    <w:rPr>
      <w:rFonts w:ascii="Times New Roman" w:eastAsia="Cambria" w:hAnsi="Times New Roman" w:cs="Times New Roman"/>
      <w:lang w:val="en-GB" w:eastAsia="en-GB"/>
    </w:rPr>
  </w:style>
  <w:style w:type="paragraph" w:styleId="Heading1">
    <w:name w:val="heading 1"/>
    <w:basedOn w:val="Normal"/>
    <w:next w:val="Normal"/>
    <w:link w:val="Heading1Char"/>
    <w:rsid w:val="00027F7D"/>
    <w:pPr>
      <w:keepNext/>
      <w:keepLines/>
      <w:pBdr>
        <w:top w:val="nil"/>
        <w:left w:val="nil"/>
        <w:bottom w:val="nil"/>
        <w:right w:val="nil"/>
        <w:between w:val="nil"/>
      </w:pBdr>
      <w:spacing w:before="480" w:after="120"/>
      <w:outlineLvl w:val="0"/>
    </w:pPr>
    <w:rPr>
      <w:rFonts w:ascii="Cambria" w:hAnsi="Cambria" w:cs="Cambria"/>
      <w:b/>
      <w:color w:val="000000"/>
      <w:sz w:val="48"/>
      <w:szCs w:val="48"/>
      <w:lang w:val="en-US"/>
    </w:rPr>
  </w:style>
  <w:style w:type="paragraph" w:styleId="Heading2">
    <w:name w:val="heading 2"/>
    <w:basedOn w:val="Normal"/>
    <w:next w:val="Normal"/>
    <w:link w:val="Heading2Char"/>
    <w:rsid w:val="00027F7D"/>
    <w:pPr>
      <w:keepNext/>
      <w:keepLines/>
      <w:pBdr>
        <w:top w:val="nil"/>
        <w:left w:val="nil"/>
        <w:bottom w:val="nil"/>
        <w:right w:val="nil"/>
        <w:between w:val="nil"/>
      </w:pBdr>
      <w:spacing w:before="360" w:after="80"/>
      <w:outlineLvl w:val="1"/>
    </w:pPr>
    <w:rPr>
      <w:rFonts w:ascii="Cambria" w:hAnsi="Cambria" w:cs="Cambria"/>
      <w:b/>
      <w:color w:val="000000"/>
      <w:sz w:val="36"/>
      <w:szCs w:val="36"/>
      <w:lang w:val="en-US"/>
    </w:rPr>
  </w:style>
  <w:style w:type="paragraph" w:styleId="Heading3">
    <w:name w:val="heading 3"/>
    <w:basedOn w:val="Normal"/>
    <w:next w:val="Normal"/>
    <w:link w:val="Heading3Char"/>
    <w:rsid w:val="00027F7D"/>
    <w:pPr>
      <w:keepNext/>
      <w:keepLines/>
      <w:pBdr>
        <w:top w:val="nil"/>
        <w:left w:val="nil"/>
        <w:bottom w:val="nil"/>
        <w:right w:val="nil"/>
        <w:between w:val="nil"/>
      </w:pBdr>
      <w:spacing w:before="280" w:after="80"/>
      <w:outlineLvl w:val="2"/>
    </w:pPr>
    <w:rPr>
      <w:rFonts w:ascii="Cambria" w:hAnsi="Cambria" w:cs="Cambria"/>
      <w:b/>
      <w:color w:val="000000"/>
      <w:sz w:val="28"/>
      <w:szCs w:val="28"/>
      <w:lang w:val="en-US"/>
    </w:rPr>
  </w:style>
  <w:style w:type="paragraph" w:styleId="Heading4">
    <w:name w:val="heading 4"/>
    <w:basedOn w:val="Normal"/>
    <w:next w:val="Normal"/>
    <w:link w:val="Heading4Char"/>
    <w:rsid w:val="00027F7D"/>
    <w:pPr>
      <w:keepNext/>
      <w:keepLines/>
      <w:pBdr>
        <w:top w:val="nil"/>
        <w:left w:val="nil"/>
        <w:bottom w:val="nil"/>
        <w:right w:val="nil"/>
        <w:between w:val="nil"/>
      </w:pBdr>
      <w:spacing w:before="240" w:after="40"/>
      <w:outlineLvl w:val="3"/>
    </w:pPr>
    <w:rPr>
      <w:rFonts w:ascii="Cambria" w:hAnsi="Cambria" w:cs="Cambria"/>
      <w:b/>
      <w:color w:val="000000"/>
      <w:lang w:val="en-US"/>
    </w:rPr>
  </w:style>
  <w:style w:type="paragraph" w:styleId="Heading5">
    <w:name w:val="heading 5"/>
    <w:basedOn w:val="Normal"/>
    <w:next w:val="Normal"/>
    <w:link w:val="Heading5Char"/>
    <w:rsid w:val="00027F7D"/>
    <w:pPr>
      <w:keepNext/>
      <w:keepLines/>
      <w:pBdr>
        <w:top w:val="nil"/>
        <w:left w:val="nil"/>
        <w:bottom w:val="nil"/>
        <w:right w:val="nil"/>
        <w:between w:val="nil"/>
      </w:pBdr>
      <w:spacing w:before="220" w:after="40"/>
      <w:outlineLvl w:val="4"/>
    </w:pPr>
    <w:rPr>
      <w:rFonts w:ascii="Cambria" w:hAnsi="Cambria" w:cs="Cambria"/>
      <w:b/>
      <w:color w:val="000000"/>
      <w:sz w:val="22"/>
      <w:szCs w:val="22"/>
      <w:lang w:val="en-US"/>
    </w:rPr>
  </w:style>
  <w:style w:type="paragraph" w:styleId="Heading6">
    <w:name w:val="heading 6"/>
    <w:basedOn w:val="Normal"/>
    <w:next w:val="Normal"/>
    <w:link w:val="Heading6Char"/>
    <w:rsid w:val="00027F7D"/>
    <w:pPr>
      <w:keepNext/>
      <w:keepLines/>
      <w:pBdr>
        <w:top w:val="nil"/>
        <w:left w:val="nil"/>
        <w:bottom w:val="nil"/>
        <w:right w:val="nil"/>
        <w:between w:val="nil"/>
      </w:pBdr>
      <w:spacing w:before="200" w:after="40"/>
      <w:outlineLvl w:val="5"/>
    </w:pPr>
    <w:rPr>
      <w:rFonts w:ascii="Cambria" w:hAnsi="Cambria" w:cs="Cambria"/>
      <w:b/>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F7D"/>
    <w:rPr>
      <w:rFonts w:ascii="Cambria" w:eastAsia="Cambria" w:hAnsi="Cambria" w:cs="Cambria"/>
      <w:b/>
      <w:color w:val="000000"/>
      <w:sz w:val="48"/>
      <w:szCs w:val="48"/>
      <w:lang w:eastAsia="en-GB"/>
    </w:rPr>
  </w:style>
  <w:style w:type="character" w:customStyle="1" w:styleId="Heading2Char">
    <w:name w:val="Heading 2 Char"/>
    <w:basedOn w:val="DefaultParagraphFont"/>
    <w:link w:val="Heading2"/>
    <w:rsid w:val="00027F7D"/>
    <w:rPr>
      <w:rFonts w:ascii="Cambria" w:eastAsia="Cambria" w:hAnsi="Cambria" w:cs="Cambria"/>
      <w:b/>
      <w:color w:val="000000"/>
      <w:sz w:val="36"/>
      <w:szCs w:val="36"/>
      <w:lang w:eastAsia="en-GB"/>
    </w:rPr>
  </w:style>
  <w:style w:type="character" w:customStyle="1" w:styleId="Heading3Char">
    <w:name w:val="Heading 3 Char"/>
    <w:basedOn w:val="DefaultParagraphFont"/>
    <w:link w:val="Heading3"/>
    <w:rsid w:val="00027F7D"/>
    <w:rPr>
      <w:rFonts w:ascii="Cambria" w:eastAsia="Cambria" w:hAnsi="Cambria" w:cs="Cambria"/>
      <w:b/>
      <w:color w:val="000000"/>
      <w:sz w:val="28"/>
      <w:szCs w:val="28"/>
      <w:lang w:eastAsia="en-GB"/>
    </w:rPr>
  </w:style>
  <w:style w:type="character" w:customStyle="1" w:styleId="Heading4Char">
    <w:name w:val="Heading 4 Char"/>
    <w:basedOn w:val="DefaultParagraphFont"/>
    <w:link w:val="Heading4"/>
    <w:rsid w:val="00027F7D"/>
    <w:rPr>
      <w:rFonts w:ascii="Cambria" w:eastAsia="Cambria" w:hAnsi="Cambria" w:cs="Cambria"/>
      <w:b/>
      <w:color w:val="000000"/>
      <w:lang w:eastAsia="en-GB"/>
    </w:rPr>
  </w:style>
  <w:style w:type="character" w:customStyle="1" w:styleId="Heading5Char">
    <w:name w:val="Heading 5 Char"/>
    <w:basedOn w:val="DefaultParagraphFont"/>
    <w:link w:val="Heading5"/>
    <w:rsid w:val="00027F7D"/>
    <w:rPr>
      <w:rFonts w:ascii="Cambria" w:eastAsia="Cambria" w:hAnsi="Cambria" w:cs="Cambria"/>
      <w:b/>
      <w:color w:val="000000"/>
      <w:sz w:val="22"/>
      <w:szCs w:val="22"/>
      <w:lang w:eastAsia="en-GB"/>
    </w:rPr>
  </w:style>
  <w:style w:type="character" w:customStyle="1" w:styleId="Heading6Char">
    <w:name w:val="Heading 6 Char"/>
    <w:basedOn w:val="DefaultParagraphFont"/>
    <w:link w:val="Heading6"/>
    <w:rsid w:val="00027F7D"/>
    <w:rPr>
      <w:rFonts w:ascii="Cambria" w:eastAsia="Cambria" w:hAnsi="Cambria" w:cs="Cambria"/>
      <w:b/>
      <w:color w:val="000000"/>
      <w:sz w:val="20"/>
      <w:szCs w:val="20"/>
      <w:lang w:eastAsia="en-GB"/>
    </w:rPr>
  </w:style>
  <w:style w:type="paragraph" w:styleId="Title">
    <w:name w:val="Title"/>
    <w:basedOn w:val="Normal"/>
    <w:next w:val="Normal"/>
    <w:link w:val="TitleChar"/>
    <w:rsid w:val="00027F7D"/>
    <w:pPr>
      <w:keepNext/>
      <w:keepLines/>
      <w:pBdr>
        <w:top w:val="nil"/>
        <w:left w:val="nil"/>
        <w:bottom w:val="nil"/>
        <w:right w:val="nil"/>
        <w:between w:val="nil"/>
      </w:pBdr>
      <w:spacing w:before="480" w:after="120"/>
    </w:pPr>
    <w:rPr>
      <w:rFonts w:ascii="Cambria" w:hAnsi="Cambria" w:cs="Cambria"/>
      <w:b/>
      <w:color w:val="000000"/>
      <w:sz w:val="72"/>
      <w:szCs w:val="72"/>
      <w:lang w:val="en-US"/>
    </w:rPr>
  </w:style>
  <w:style w:type="character" w:customStyle="1" w:styleId="TitleChar">
    <w:name w:val="Title Char"/>
    <w:basedOn w:val="DefaultParagraphFont"/>
    <w:link w:val="Title"/>
    <w:rsid w:val="00027F7D"/>
    <w:rPr>
      <w:rFonts w:ascii="Cambria" w:eastAsia="Cambria" w:hAnsi="Cambria" w:cs="Cambria"/>
      <w:b/>
      <w:color w:val="000000"/>
      <w:sz w:val="72"/>
      <w:szCs w:val="72"/>
      <w:lang w:eastAsia="en-GB"/>
    </w:rPr>
  </w:style>
  <w:style w:type="paragraph" w:styleId="Subtitle">
    <w:name w:val="Subtitle"/>
    <w:basedOn w:val="Normal"/>
    <w:next w:val="Normal"/>
    <w:link w:val="SubtitleChar"/>
    <w:rsid w:val="00027F7D"/>
    <w:pPr>
      <w:keepNext/>
      <w:keepLines/>
      <w:pBdr>
        <w:top w:val="nil"/>
        <w:left w:val="nil"/>
        <w:bottom w:val="nil"/>
        <w:right w:val="nil"/>
        <w:between w:val="nil"/>
      </w:pBdr>
      <w:spacing w:before="360" w:after="80"/>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027F7D"/>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027F7D"/>
    <w:pPr>
      <w:pBdr>
        <w:top w:val="nil"/>
        <w:left w:val="nil"/>
        <w:bottom w:val="nil"/>
        <w:right w:val="nil"/>
        <w:between w:val="nil"/>
      </w:pBdr>
    </w:pPr>
    <w:rPr>
      <w:rFonts w:ascii="Cambria" w:hAnsi="Cambria" w:cs="Cambria"/>
      <w:color w:val="000000"/>
      <w:sz w:val="20"/>
      <w:szCs w:val="20"/>
      <w:lang w:val="en-US"/>
    </w:rPr>
  </w:style>
  <w:style w:type="character" w:customStyle="1" w:styleId="CommentTextChar">
    <w:name w:val="Comment Text Char"/>
    <w:basedOn w:val="DefaultParagraphFont"/>
    <w:link w:val="CommentText"/>
    <w:uiPriority w:val="99"/>
    <w:semiHidden/>
    <w:rsid w:val="00027F7D"/>
    <w:rPr>
      <w:rFonts w:ascii="Cambria" w:eastAsia="Cambria" w:hAnsi="Cambria" w:cs="Cambria"/>
      <w:color w:val="000000"/>
      <w:sz w:val="20"/>
      <w:szCs w:val="20"/>
      <w:lang w:eastAsia="en-GB"/>
    </w:rPr>
  </w:style>
  <w:style w:type="character" w:styleId="CommentReference">
    <w:name w:val="annotation reference"/>
    <w:basedOn w:val="DefaultParagraphFont"/>
    <w:uiPriority w:val="99"/>
    <w:semiHidden/>
    <w:unhideWhenUsed/>
    <w:rsid w:val="00027F7D"/>
    <w:rPr>
      <w:sz w:val="16"/>
      <w:szCs w:val="16"/>
    </w:rPr>
  </w:style>
  <w:style w:type="paragraph" w:styleId="BalloonText">
    <w:name w:val="Balloon Text"/>
    <w:basedOn w:val="Normal"/>
    <w:link w:val="BalloonTextChar"/>
    <w:uiPriority w:val="99"/>
    <w:semiHidden/>
    <w:unhideWhenUsed/>
    <w:rsid w:val="00027F7D"/>
    <w:pPr>
      <w:pBdr>
        <w:top w:val="nil"/>
        <w:left w:val="nil"/>
        <w:bottom w:val="nil"/>
        <w:right w:val="nil"/>
        <w:between w:val="nil"/>
      </w:pBdr>
    </w:pPr>
    <w:rPr>
      <w:rFonts w:ascii="Segoe UI" w:hAnsi="Segoe UI" w:cs="Segoe UI"/>
      <w:color w:val="000000"/>
      <w:sz w:val="18"/>
      <w:szCs w:val="18"/>
      <w:lang w:val="en-US"/>
    </w:rPr>
  </w:style>
  <w:style w:type="character" w:customStyle="1" w:styleId="BalloonTextChar">
    <w:name w:val="Balloon Text Char"/>
    <w:basedOn w:val="DefaultParagraphFont"/>
    <w:link w:val="BalloonText"/>
    <w:uiPriority w:val="99"/>
    <w:semiHidden/>
    <w:rsid w:val="00027F7D"/>
    <w:rPr>
      <w:rFonts w:ascii="Segoe UI" w:eastAsia="Cambria"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027F7D"/>
    <w:rPr>
      <w:b/>
      <w:bCs/>
    </w:rPr>
  </w:style>
  <w:style w:type="character" w:customStyle="1" w:styleId="CommentSubjectChar">
    <w:name w:val="Comment Subject Char"/>
    <w:basedOn w:val="CommentTextChar"/>
    <w:link w:val="CommentSubject"/>
    <w:uiPriority w:val="99"/>
    <w:semiHidden/>
    <w:rsid w:val="00027F7D"/>
    <w:rPr>
      <w:rFonts w:ascii="Cambria" w:eastAsia="Cambria" w:hAnsi="Cambria" w:cs="Cambria"/>
      <w:b/>
      <w:bCs/>
      <w:color w:val="000000"/>
      <w:sz w:val="20"/>
      <w:szCs w:val="20"/>
      <w:lang w:eastAsia="en-GB"/>
    </w:rPr>
  </w:style>
  <w:style w:type="paragraph" w:styleId="Footer">
    <w:name w:val="footer"/>
    <w:basedOn w:val="Normal"/>
    <w:link w:val="FooterChar"/>
    <w:uiPriority w:val="99"/>
    <w:unhideWhenUsed/>
    <w:rsid w:val="00027F7D"/>
    <w:pPr>
      <w:pBdr>
        <w:top w:val="nil"/>
        <w:left w:val="nil"/>
        <w:bottom w:val="nil"/>
        <w:right w:val="nil"/>
        <w:between w:val="nil"/>
      </w:pBdr>
      <w:tabs>
        <w:tab w:val="center" w:pos="4513"/>
        <w:tab w:val="right" w:pos="9026"/>
      </w:tabs>
    </w:pPr>
    <w:rPr>
      <w:rFonts w:ascii="Cambria" w:hAnsi="Cambria" w:cs="Cambria"/>
      <w:color w:val="000000"/>
      <w:lang w:val="en-US"/>
    </w:rPr>
  </w:style>
  <w:style w:type="character" w:customStyle="1" w:styleId="FooterChar">
    <w:name w:val="Footer Char"/>
    <w:basedOn w:val="DefaultParagraphFont"/>
    <w:link w:val="Footer"/>
    <w:uiPriority w:val="99"/>
    <w:rsid w:val="00027F7D"/>
    <w:rPr>
      <w:rFonts w:ascii="Cambria" w:eastAsia="Cambria" w:hAnsi="Cambria" w:cs="Cambria"/>
      <w:color w:val="000000"/>
      <w:lang w:eastAsia="en-GB"/>
    </w:rPr>
  </w:style>
  <w:style w:type="paragraph" w:styleId="NormalWeb">
    <w:name w:val="Normal (Web)"/>
    <w:basedOn w:val="Normal"/>
    <w:uiPriority w:val="99"/>
    <w:semiHidden/>
    <w:unhideWhenUsed/>
    <w:rsid w:val="00027F7D"/>
    <w:pPr>
      <w:spacing w:before="100" w:beforeAutospacing="1" w:after="100" w:afterAutospacing="1"/>
    </w:pPr>
  </w:style>
  <w:style w:type="paragraph" w:customStyle="1" w:styleId="EndNoteBibliographyTitle">
    <w:name w:val="EndNote Bibliography Title"/>
    <w:basedOn w:val="Normal"/>
    <w:rsid w:val="00027F7D"/>
    <w:pPr>
      <w:jc w:val="center"/>
    </w:pPr>
  </w:style>
  <w:style w:type="paragraph" w:customStyle="1" w:styleId="EndNoteBibliography">
    <w:name w:val="EndNote Bibliography"/>
    <w:basedOn w:val="Normal"/>
    <w:rsid w:val="00027F7D"/>
  </w:style>
  <w:style w:type="character" w:customStyle="1" w:styleId="apple-converted-space">
    <w:name w:val="apple-converted-space"/>
    <w:basedOn w:val="DefaultParagraphFont"/>
    <w:rsid w:val="00692FE7"/>
  </w:style>
  <w:style w:type="character" w:styleId="Hyperlink">
    <w:name w:val="Hyperlink"/>
    <w:basedOn w:val="DefaultParagraphFont"/>
    <w:uiPriority w:val="99"/>
    <w:semiHidden/>
    <w:unhideWhenUsed/>
    <w:rsid w:val="00D3568A"/>
    <w:rPr>
      <w:color w:val="0000FF"/>
      <w:u w:val="single"/>
    </w:rPr>
  </w:style>
  <w:style w:type="paragraph" w:styleId="PlainText">
    <w:name w:val="Plain Text"/>
    <w:basedOn w:val="Normal"/>
    <w:link w:val="PlainTextChar"/>
    <w:uiPriority w:val="99"/>
    <w:unhideWhenUsed/>
    <w:rsid w:val="00807A6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07A60"/>
    <w:rPr>
      <w:rFonts w:ascii="Calibri" w:eastAsiaTheme="minorHAnsi" w:hAnsi="Calibri"/>
      <w:sz w:val="22"/>
      <w:szCs w:val="21"/>
      <w:lang w:val="en-GB"/>
    </w:rPr>
  </w:style>
  <w:style w:type="paragraph" w:styleId="Header">
    <w:name w:val="header"/>
    <w:basedOn w:val="Normal"/>
    <w:link w:val="HeaderChar"/>
    <w:uiPriority w:val="99"/>
    <w:unhideWhenUsed/>
    <w:rsid w:val="001A59F2"/>
    <w:pPr>
      <w:tabs>
        <w:tab w:val="center" w:pos="4320"/>
        <w:tab w:val="right" w:pos="8640"/>
      </w:tabs>
    </w:pPr>
  </w:style>
  <w:style w:type="character" w:customStyle="1" w:styleId="HeaderChar">
    <w:name w:val="Header Char"/>
    <w:basedOn w:val="DefaultParagraphFont"/>
    <w:link w:val="Header"/>
    <w:uiPriority w:val="99"/>
    <w:rsid w:val="001A59F2"/>
    <w:rPr>
      <w:rFonts w:ascii="Times New Roman" w:eastAsia="Cambria" w:hAnsi="Times New Roman" w:cs="Times New Roman"/>
      <w:lang w:val="en-GB" w:eastAsia="en-GB"/>
    </w:rPr>
  </w:style>
  <w:style w:type="character" w:styleId="PageNumber">
    <w:name w:val="page number"/>
    <w:basedOn w:val="DefaultParagraphFont"/>
    <w:uiPriority w:val="99"/>
    <w:semiHidden/>
    <w:unhideWhenUsed/>
    <w:rsid w:val="001A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0099">
      <w:bodyDiv w:val="1"/>
      <w:marLeft w:val="0"/>
      <w:marRight w:val="0"/>
      <w:marTop w:val="0"/>
      <w:marBottom w:val="0"/>
      <w:divBdr>
        <w:top w:val="none" w:sz="0" w:space="0" w:color="auto"/>
        <w:left w:val="none" w:sz="0" w:space="0" w:color="auto"/>
        <w:bottom w:val="none" w:sz="0" w:space="0" w:color="auto"/>
        <w:right w:val="none" w:sz="0" w:space="0" w:color="auto"/>
      </w:divBdr>
      <w:divsChild>
        <w:div w:id="194581590">
          <w:marLeft w:val="0"/>
          <w:marRight w:val="0"/>
          <w:marTop w:val="0"/>
          <w:marBottom w:val="0"/>
          <w:divBdr>
            <w:top w:val="none" w:sz="0" w:space="0" w:color="auto"/>
            <w:left w:val="none" w:sz="0" w:space="0" w:color="auto"/>
            <w:bottom w:val="none" w:sz="0" w:space="0" w:color="auto"/>
            <w:right w:val="none" w:sz="0" w:space="0" w:color="auto"/>
          </w:divBdr>
        </w:div>
        <w:div w:id="815146512">
          <w:marLeft w:val="0"/>
          <w:marRight w:val="0"/>
          <w:marTop w:val="0"/>
          <w:marBottom w:val="0"/>
          <w:divBdr>
            <w:top w:val="none" w:sz="0" w:space="0" w:color="auto"/>
            <w:left w:val="none" w:sz="0" w:space="0" w:color="auto"/>
            <w:bottom w:val="none" w:sz="0" w:space="0" w:color="auto"/>
            <w:right w:val="none" w:sz="0" w:space="0" w:color="auto"/>
          </w:divBdr>
        </w:div>
        <w:div w:id="1057044773">
          <w:marLeft w:val="0"/>
          <w:marRight w:val="0"/>
          <w:marTop w:val="0"/>
          <w:marBottom w:val="0"/>
          <w:divBdr>
            <w:top w:val="none" w:sz="0" w:space="0" w:color="auto"/>
            <w:left w:val="none" w:sz="0" w:space="0" w:color="auto"/>
            <w:bottom w:val="none" w:sz="0" w:space="0" w:color="auto"/>
            <w:right w:val="none" w:sz="0" w:space="0" w:color="auto"/>
          </w:divBdr>
        </w:div>
        <w:div w:id="1194617893">
          <w:marLeft w:val="0"/>
          <w:marRight w:val="0"/>
          <w:marTop w:val="0"/>
          <w:marBottom w:val="0"/>
          <w:divBdr>
            <w:top w:val="none" w:sz="0" w:space="0" w:color="auto"/>
            <w:left w:val="none" w:sz="0" w:space="0" w:color="auto"/>
            <w:bottom w:val="none" w:sz="0" w:space="0" w:color="auto"/>
            <w:right w:val="none" w:sz="0" w:space="0" w:color="auto"/>
          </w:divBdr>
        </w:div>
        <w:div w:id="21471635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i:http://dx.doi.org/10.1016/j.dr.2004.08.00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356A-80CF-4176-8D84-9BE3A16F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7734</Words>
  <Characters>44089</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ef364</dc:creator>
  <cp:lastModifiedBy>Jenny L. Gibson</cp:lastModifiedBy>
  <cp:revision>2</cp:revision>
  <dcterms:created xsi:type="dcterms:W3CDTF">2018-08-01T06:59:00Z</dcterms:created>
  <dcterms:modified xsi:type="dcterms:W3CDTF">2018-08-01T06:59:00Z</dcterms:modified>
</cp:coreProperties>
</file>