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8794" w14:textId="4B84AC36" w:rsidR="000851D8" w:rsidRPr="00242CE5" w:rsidRDefault="00DE1537" w:rsidP="000851D8">
      <w:pPr>
        <w:jc w:val="center"/>
        <w:rPr>
          <w:rFonts w:cstheme="minorHAnsi"/>
          <w:b/>
          <w:color w:val="000000" w:themeColor="text1"/>
          <w:sz w:val="32"/>
          <w:u w:val="single"/>
        </w:rPr>
      </w:pPr>
      <w:r w:rsidRPr="00242CE5">
        <w:rPr>
          <w:rFonts w:cstheme="minorHAnsi"/>
          <w:b/>
          <w:color w:val="000000" w:themeColor="text1"/>
          <w:sz w:val="32"/>
          <w:u w:val="single"/>
        </w:rPr>
        <w:t>Description</w:t>
      </w:r>
      <w:r w:rsidR="000851D8" w:rsidRPr="00242CE5">
        <w:rPr>
          <w:rFonts w:cstheme="minorHAnsi"/>
          <w:b/>
          <w:color w:val="000000" w:themeColor="text1"/>
          <w:sz w:val="32"/>
          <w:u w:val="single"/>
        </w:rPr>
        <w:t xml:space="preserve"> of neurological mimics presented to the neurology service of a referral </w:t>
      </w:r>
      <w:r w:rsidRPr="00242CE5">
        <w:rPr>
          <w:rFonts w:cstheme="minorHAnsi"/>
          <w:b/>
          <w:color w:val="000000" w:themeColor="text1"/>
          <w:sz w:val="32"/>
          <w:u w:val="single"/>
        </w:rPr>
        <w:t xml:space="preserve">small animal </w:t>
      </w:r>
      <w:r w:rsidR="000851D8" w:rsidRPr="00242CE5">
        <w:rPr>
          <w:rFonts w:cstheme="minorHAnsi"/>
          <w:b/>
          <w:color w:val="000000" w:themeColor="text1"/>
          <w:sz w:val="32"/>
          <w:u w:val="single"/>
        </w:rPr>
        <w:t>hospital.</w:t>
      </w:r>
    </w:p>
    <w:p w14:paraId="320D03C5" w14:textId="77777777" w:rsidR="000851D8" w:rsidRPr="00242CE5" w:rsidRDefault="000851D8" w:rsidP="000851D8">
      <w:pPr>
        <w:jc w:val="center"/>
        <w:rPr>
          <w:rFonts w:eastAsia="Times New Roman" w:cstheme="minorHAnsi"/>
          <w:b/>
          <w:i/>
          <w:color w:val="000000" w:themeColor="text1"/>
          <w:u w:val="single"/>
        </w:rPr>
      </w:pPr>
    </w:p>
    <w:p w14:paraId="0691449C" w14:textId="0E01C228" w:rsidR="00477F2F" w:rsidRPr="00242CE5" w:rsidRDefault="000851D8" w:rsidP="000851D8">
      <w:pPr>
        <w:jc w:val="both"/>
        <w:rPr>
          <w:color w:val="000000" w:themeColor="text1"/>
        </w:rPr>
      </w:pPr>
      <w:r w:rsidRPr="00242CE5">
        <w:rPr>
          <w:color w:val="000000" w:themeColor="text1"/>
        </w:rPr>
        <w:t xml:space="preserve">P. E. Walker, </w:t>
      </w:r>
      <w:r w:rsidR="00670F11" w:rsidRPr="00242CE5">
        <w:rPr>
          <w:color w:val="000000" w:themeColor="text1"/>
        </w:rPr>
        <w:t xml:space="preserve">P. Freeman, </w:t>
      </w:r>
      <w:r w:rsidR="00217202" w:rsidRPr="00242CE5">
        <w:rPr>
          <w:color w:val="000000" w:themeColor="text1"/>
        </w:rPr>
        <w:t>S.R. Monforte</w:t>
      </w:r>
      <w:r w:rsidR="00E0291C" w:rsidRPr="00242CE5">
        <w:rPr>
          <w:color w:val="000000" w:themeColor="text1"/>
        </w:rPr>
        <w:t xml:space="preserve"> </w:t>
      </w:r>
      <w:r w:rsidR="00217202" w:rsidRPr="00242CE5">
        <w:rPr>
          <w:color w:val="000000" w:themeColor="text1"/>
        </w:rPr>
        <w:t>Monteiro</w:t>
      </w:r>
      <w:r w:rsidR="00BF5CD0" w:rsidRPr="00242CE5">
        <w:rPr>
          <w:color w:val="000000" w:themeColor="text1"/>
        </w:rPr>
        <w:t>,</w:t>
      </w:r>
      <w:r w:rsidR="005004BE" w:rsidRPr="00242CE5">
        <w:rPr>
          <w:color w:val="000000" w:themeColor="text1"/>
        </w:rPr>
        <w:t xml:space="preserve"> </w:t>
      </w:r>
      <w:r w:rsidR="00157116" w:rsidRPr="00242CE5">
        <w:rPr>
          <w:color w:val="000000" w:themeColor="text1"/>
        </w:rPr>
        <w:t xml:space="preserve">N. Bexfield, </w:t>
      </w:r>
      <w:r w:rsidR="00217202" w:rsidRPr="00242CE5">
        <w:rPr>
          <w:color w:val="000000" w:themeColor="text1"/>
        </w:rPr>
        <w:t>G. Harris</w:t>
      </w:r>
      <w:r w:rsidR="005004BE" w:rsidRPr="00242CE5">
        <w:rPr>
          <w:color w:val="000000" w:themeColor="text1"/>
        </w:rPr>
        <w:t>,</w:t>
      </w:r>
      <w:r w:rsidR="004C67DC" w:rsidRPr="00242CE5">
        <w:rPr>
          <w:color w:val="000000" w:themeColor="text1"/>
        </w:rPr>
        <w:t xml:space="preserve"> </w:t>
      </w:r>
      <w:r w:rsidR="00217202" w:rsidRPr="00242CE5">
        <w:rPr>
          <w:color w:val="000000" w:themeColor="text1"/>
        </w:rPr>
        <w:t>H. Radke</w:t>
      </w:r>
      <w:r w:rsidR="005004BE" w:rsidRPr="00242CE5">
        <w:rPr>
          <w:color w:val="000000" w:themeColor="text1"/>
        </w:rPr>
        <w:t>,</w:t>
      </w:r>
      <w:r w:rsidRPr="00242CE5">
        <w:rPr>
          <w:color w:val="000000" w:themeColor="text1"/>
        </w:rPr>
        <w:t xml:space="preserve"> </w:t>
      </w:r>
      <w:r w:rsidR="00217202" w:rsidRPr="00242CE5">
        <w:rPr>
          <w:color w:val="000000" w:themeColor="text1"/>
        </w:rPr>
        <w:t xml:space="preserve">L. Alves, </w:t>
      </w:r>
      <w:r w:rsidRPr="00242CE5">
        <w:rPr>
          <w:color w:val="000000" w:themeColor="text1"/>
        </w:rPr>
        <w:t>A. E. Vanhaesebrouck</w:t>
      </w:r>
    </w:p>
    <w:p w14:paraId="3E0BC60B" w14:textId="748235D2" w:rsidR="00C938E6" w:rsidRPr="00242CE5" w:rsidRDefault="00C938E6" w:rsidP="00217202">
      <w:pPr>
        <w:rPr>
          <w:color w:val="000000" w:themeColor="text1"/>
        </w:rPr>
      </w:pPr>
      <w:r w:rsidRPr="00242CE5">
        <w:rPr>
          <w:color w:val="000000" w:themeColor="text1"/>
        </w:rPr>
        <w:t xml:space="preserve">From </w:t>
      </w:r>
      <w:r w:rsidR="00217202" w:rsidRPr="00242CE5">
        <w:rPr>
          <w:color w:val="000000" w:themeColor="text1"/>
        </w:rPr>
        <w:t>the Department of Veterinary Medicine, University of Cambridge, UK.</w:t>
      </w:r>
      <w:r w:rsidRPr="00242CE5">
        <w:rPr>
          <w:color w:val="000000" w:themeColor="text1"/>
        </w:rPr>
        <w:t xml:space="preserve"> </w:t>
      </w:r>
    </w:p>
    <w:p w14:paraId="4257A975" w14:textId="77777777" w:rsidR="00477F2F" w:rsidRPr="00242CE5" w:rsidRDefault="00477F2F" w:rsidP="00217202">
      <w:pPr>
        <w:rPr>
          <w:color w:val="000000" w:themeColor="text1"/>
        </w:rPr>
      </w:pPr>
    </w:p>
    <w:p w14:paraId="4B7BB7AB" w14:textId="207C3EF7" w:rsidR="00217202" w:rsidRPr="00242CE5" w:rsidRDefault="00217202" w:rsidP="00C86C46">
      <w:pPr>
        <w:rPr>
          <w:color w:val="000000" w:themeColor="text1"/>
        </w:rPr>
      </w:pPr>
      <w:r w:rsidRPr="00242CE5">
        <w:rPr>
          <w:color w:val="000000" w:themeColor="text1"/>
          <w:bdr w:val="none" w:sz="0" w:space="0" w:color="auto" w:frame="1"/>
        </w:rPr>
        <w:t xml:space="preserve">Corresponding Author: </w:t>
      </w:r>
      <w:r w:rsidRPr="00242CE5">
        <w:rPr>
          <w:color w:val="000000" w:themeColor="text1"/>
        </w:rPr>
        <w:t>Paige Walker</w:t>
      </w:r>
      <w:r w:rsidR="00C938E6" w:rsidRPr="00242CE5">
        <w:rPr>
          <w:color w:val="000000" w:themeColor="text1"/>
        </w:rPr>
        <w:t>;</w:t>
      </w:r>
      <w:r w:rsidRPr="00242CE5">
        <w:rPr>
          <w:color w:val="000000" w:themeColor="text1"/>
        </w:rPr>
        <w:t xml:space="preserve"> </w:t>
      </w:r>
      <w:r w:rsidR="00C938E6" w:rsidRPr="00242CE5">
        <w:rPr>
          <w:color w:val="000000" w:themeColor="text1"/>
        </w:rPr>
        <w:t xml:space="preserve">current address: </w:t>
      </w:r>
      <w:r w:rsidR="00396C44" w:rsidRPr="00242CE5">
        <w:rPr>
          <w:color w:val="000000" w:themeColor="text1"/>
        </w:rPr>
        <w:t>Hawkedon and Homefield Vets;</w:t>
      </w:r>
      <w:r w:rsidRPr="00242CE5">
        <w:rPr>
          <w:color w:val="000000" w:themeColor="text1"/>
        </w:rPr>
        <w:t xml:space="preserve"> email</w:t>
      </w:r>
      <w:r w:rsidR="00C71C27" w:rsidRPr="00242CE5">
        <w:rPr>
          <w:color w:val="000000" w:themeColor="text1"/>
        </w:rPr>
        <w:t>:</w:t>
      </w:r>
      <w:r w:rsidRPr="00242CE5">
        <w:rPr>
          <w:color w:val="000000" w:themeColor="text1"/>
        </w:rPr>
        <w:t xml:space="preserve"> </w:t>
      </w:r>
      <w:hyperlink r:id="rId8" w:history="1">
        <w:r w:rsidRPr="00242CE5">
          <w:rPr>
            <w:rStyle w:val="Hyperlink"/>
            <w:color w:val="000000" w:themeColor="text1"/>
          </w:rPr>
          <w:t>paigewalker1796@gmail.com</w:t>
        </w:r>
      </w:hyperlink>
      <w:r w:rsidRPr="00242CE5">
        <w:rPr>
          <w:color w:val="000000" w:themeColor="text1"/>
        </w:rPr>
        <w:t>.</w:t>
      </w:r>
    </w:p>
    <w:p w14:paraId="53265279" w14:textId="77777777" w:rsidR="00C86C46" w:rsidRPr="00242CE5" w:rsidRDefault="00C86C46" w:rsidP="000851D8">
      <w:pPr>
        <w:jc w:val="both"/>
        <w:rPr>
          <w:color w:val="000000" w:themeColor="text1"/>
        </w:rPr>
      </w:pPr>
    </w:p>
    <w:p w14:paraId="54FF83EF" w14:textId="056F4321" w:rsidR="000851D8" w:rsidRPr="00242CE5" w:rsidRDefault="00C86C46" w:rsidP="000851D8">
      <w:pPr>
        <w:jc w:val="both"/>
        <w:rPr>
          <w:color w:val="000000" w:themeColor="text1"/>
        </w:rPr>
      </w:pPr>
      <w:r w:rsidRPr="00242CE5">
        <w:rPr>
          <w:color w:val="000000" w:themeColor="text1"/>
        </w:rPr>
        <w:t>Keywords</w:t>
      </w:r>
      <w:r w:rsidR="00C938E6" w:rsidRPr="00242CE5">
        <w:rPr>
          <w:color w:val="000000" w:themeColor="text1"/>
        </w:rPr>
        <w:t xml:space="preserve">: </w:t>
      </w:r>
      <w:r w:rsidR="00F10CD2" w:rsidRPr="00242CE5">
        <w:rPr>
          <w:color w:val="000000" w:themeColor="text1"/>
        </w:rPr>
        <w:t xml:space="preserve">Incorrect </w:t>
      </w:r>
      <w:r w:rsidR="00C938E6" w:rsidRPr="00242CE5">
        <w:rPr>
          <w:color w:val="000000" w:themeColor="text1"/>
        </w:rPr>
        <w:t>referral</w:t>
      </w:r>
      <w:r w:rsidR="00977EAA" w:rsidRPr="00242CE5">
        <w:rPr>
          <w:color w:val="000000" w:themeColor="text1"/>
        </w:rPr>
        <w:t>, lameness</w:t>
      </w:r>
      <w:r w:rsidR="00811768" w:rsidRPr="00242CE5">
        <w:rPr>
          <w:color w:val="000000" w:themeColor="text1"/>
        </w:rPr>
        <w:t>, neurological examination.</w:t>
      </w:r>
    </w:p>
    <w:p w14:paraId="37BAFF6A" w14:textId="76BB5543" w:rsidR="00063B7B" w:rsidRPr="00242CE5" w:rsidRDefault="00217202" w:rsidP="000851D8">
      <w:pPr>
        <w:jc w:val="both"/>
        <w:rPr>
          <w:color w:val="000000" w:themeColor="text1"/>
        </w:rPr>
      </w:pPr>
      <w:r w:rsidRPr="00242CE5">
        <w:rPr>
          <w:color w:val="000000" w:themeColor="text1"/>
        </w:rPr>
        <w:t xml:space="preserve">Word count: </w:t>
      </w:r>
      <w:r w:rsidR="00CA148D" w:rsidRPr="00242CE5">
        <w:rPr>
          <w:color w:val="000000" w:themeColor="text1"/>
        </w:rPr>
        <w:t>2</w:t>
      </w:r>
      <w:r w:rsidR="009F5393" w:rsidRPr="00242CE5">
        <w:rPr>
          <w:color w:val="000000" w:themeColor="text1"/>
        </w:rPr>
        <w:t>825</w:t>
      </w:r>
    </w:p>
    <w:p w14:paraId="5CCF9212" w14:textId="77777777" w:rsidR="00477F2F" w:rsidRPr="00242CE5" w:rsidRDefault="00477F2F" w:rsidP="000851D8">
      <w:pPr>
        <w:jc w:val="both"/>
        <w:rPr>
          <w:color w:val="000000" w:themeColor="text1"/>
        </w:rPr>
      </w:pPr>
    </w:p>
    <w:p w14:paraId="48BB9430" w14:textId="6731B793" w:rsidR="00063B7B" w:rsidRPr="00242CE5" w:rsidRDefault="00063B7B" w:rsidP="000851D8">
      <w:pPr>
        <w:jc w:val="both"/>
        <w:rPr>
          <w:color w:val="000000" w:themeColor="text1"/>
        </w:rPr>
      </w:pPr>
      <w:r w:rsidRPr="00242CE5">
        <w:rPr>
          <w:color w:val="000000" w:themeColor="text1"/>
        </w:rPr>
        <w:t>Author contributions</w:t>
      </w:r>
      <w:r w:rsidR="00477F2F" w:rsidRPr="00242CE5">
        <w:rPr>
          <w:color w:val="000000" w:themeColor="text1"/>
        </w:rPr>
        <w:t>:</w:t>
      </w:r>
    </w:p>
    <w:p w14:paraId="16EDFC5D" w14:textId="51D5566C" w:rsidR="00063B7B" w:rsidRPr="00242CE5" w:rsidRDefault="00063B7B" w:rsidP="000851D8">
      <w:pPr>
        <w:jc w:val="both"/>
        <w:rPr>
          <w:color w:val="000000" w:themeColor="text1"/>
        </w:rPr>
      </w:pPr>
      <w:r w:rsidRPr="00242CE5">
        <w:rPr>
          <w:color w:val="000000" w:themeColor="text1"/>
        </w:rPr>
        <w:t xml:space="preserve">Paige Walker, An Vanhaesebrouck, Paul Freeman, Susana Monforte Monteiro, Georgina Harris, </w:t>
      </w:r>
      <w:r w:rsidR="00234F04" w:rsidRPr="00242CE5">
        <w:rPr>
          <w:color w:val="000000" w:themeColor="text1"/>
        </w:rPr>
        <w:t xml:space="preserve">Nicholas Bexfield, </w:t>
      </w:r>
      <w:r w:rsidRPr="00242CE5">
        <w:rPr>
          <w:color w:val="000000" w:themeColor="text1"/>
        </w:rPr>
        <w:t>Heidi Radke, Lisa Alves</w:t>
      </w:r>
      <w:r w:rsidR="00234F04" w:rsidRPr="00242CE5">
        <w:rPr>
          <w:color w:val="000000" w:themeColor="text1"/>
        </w:rPr>
        <w:t>.</w:t>
      </w:r>
      <w:r w:rsidRPr="00242CE5">
        <w:rPr>
          <w:color w:val="000000" w:themeColor="text1"/>
        </w:rPr>
        <w:t xml:space="preserve"> </w:t>
      </w:r>
    </w:p>
    <w:p w14:paraId="38AE58CE" w14:textId="15C83D0F" w:rsidR="0018287E" w:rsidRPr="00484CA9" w:rsidRDefault="00063B7B" w:rsidP="00484CA9">
      <w:pPr>
        <w:spacing w:before="100" w:beforeAutospacing="1" w:after="100" w:afterAutospacing="1"/>
        <w:rPr>
          <w:rFonts w:ascii="Times New Roman" w:eastAsia="Times New Roman" w:hAnsi="Times New Roman" w:cs="Times New Roman"/>
          <w:color w:val="000000" w:themeColor="text1"/>
          <w:sz w:val="28"/>
        </w:rPr>
      </w:pPr>
      <w:r w:rsidRPr="00242CE5">
        <w:rPr>
          <w:rFonts w:ascii="Calibri" w:eastAsia="Times New Roman" w:hAnsi="Calibri" w:cs="Times New Roman"/>
          <w:color w:val="000000" w:themeColor="text1"/>
          <w:szCs w:val="22"/>
        </w:rPr>
        <w:t>P.W., contributed to the design of the study, collected and analysed data and co-wrote the paper.</w:t>
      </w:r>
      <w:r w:rsidR="00234F04" w:rsidRPr="00242CE5">
        <w:rPr>
          <w:rFonts w:ascii="Calibri" w:eastAsia="Times New Roman" w:hAnsi="Calibri" w:cs="Times New Roman"/>
          <w:color w:val="000000" w:themeColor="text1"/>
          <w:szCs w:val="22"/>
        </w:rPr>
        <w:t xml:space="preserve"> A.V., conceived and supervised the study and co-wrote the paper. P</w:t>
      </w:r>
      <w:r w:rsidRPr="00242CE5">
        <w:rPr>
          <w:rFonts w:ascii="Calibri" w:eastAsia="Times New Roman" w:hAnsi="Calibri" w:cs="Times New Roman"/>
          <w:color w:val="000000" w:themeColor="text1"/>
          <w:szCs w:val="22"/>
        </w:rPr>
        <w:t xml:space="preserve">.F, provided access </w:t>
      </w:r>
      <w:r w:rsidRPr="00242CE5">
        <w:rPr>
          <w:rFonts w:ascii="Calibri" w:eastAsia="Times New Roman" w:hAnsi="Calibri" w:cs="Times New Roman"/>
          <w:color w:val="000000" w:themeColor="text1"/>
          <w:szCs w:val="22"/>
        </w:rPr>
        <w:lastRenderedPageBreak/>
        <w:t>to the data and critical revision of the paper. S.M.</w:t>
      </w:r>
      <w:r w:rsidR="00234F04" w:rsidRPr="00242CE5">
        <w:rPr>
          <w:rFonts w:ascii="Calibri" w:eastAsia="Times New Roman" w:hAnsi="Calibri" w:cs="Times New Roman"/>
          <w:color w:val="000000" w:themeColor="text1"/>
          <w:szCs w:val="22"/>
        </w:rPr>
        <w:t xml:space="preserve">M., G. H., contributed to the drafting of the paper. N.B., </w:t>
      </w:r>
      <w:r w:rsidRPr="00242CE5">
        <w:rPr>
          <w:rFonts w:ascii="Calibri" w:eastAsia="Times New Roman" w:hAnsi="Calibri" w:cs="Times New Roman"/>
          <w:color w:val="000000" w:themeColor="text1"/>
          <w:szCs w:val="22"/>
        </w:rPr>
        <w:t>H.R., L.A., provided critical revision of the paper</w:t>
      </w:r>
      <w:r w:rsidR="00234F04" w:rsidRPr="00242CE5">
        <w:rPr>
          <w:rFonts w:ascii="Calibri" w:eastAsia="Times New Roman" w:hAnsi="Calibri" w:cs="Times New Roman"/>
          <w:color w:val="000000" w:themeColor="text1"/>
          <w:szCs w:val="22"/>
        </w:rPr>
        <w:t>. P.W. and A.V. are responsible for the overall content as guarantors.</w:t>
      </w:r>
      <w:r w:rsidR="0018287E" w:rsidRPr="00242CE5">
        <w:rPr>
          <w:color w:val="000000" w:themeColor="text1"/>
        </w:rPr>
        <w:br w:type="page"/>
      </w:r>
    </w:p>
    <w:p w14:paraId="1391A43D" w14:textId="77777777" w:rsidR="0018287E" w:rsidRPr="00242CE5" w:rsidRDefault="0018287E" w:rsidP="0018287E">
      <w:pPr>
        <w:jc w:val="both"/>
        <w:rPr>
          <w:b/>
          <w:color w:val="000000" w:themeColor="text1"/>
          <w:sz w:val="26"/>
          <w:szCs w:val="26"/>
          <w:u w:val="single"/>
        </w:rPr>
      </w:pPr>
      <w:r w:rsidRPr="00242CE5">
        <w:rPr>
          <w:b/>
          <w:color w:val="000000" w:themeColor="text1"/>
          <w:sz w:val="26"/>
          <w:szCs w:val="26"/>
        </w:rPr>
        <w:lastRenderedPageBreak/>
        <w:t>ABSTRACT</w:t>
      </w:r>
    </w:p>
    <w:p w14:paraId="555683FD" w14:textId="77777777" w:rsidR="0018287E" w:rsidRPr="00242CE5" w:rsidRDefault="0018287E" w:rsidP="0018287E">
      <w:pPr>
        <w:jc w:val="both"/>
        <w:rPr>
          <w:rFonts w:eastAsia="Times New Roman" w:cstheme="minorHAnsi"/>
          <w:color w:val="000000" w:themeColor="text1"/>
        </w:rPr>
      </w:pPr>
      <w:r w:rsidRPr="00242CE5">
        <w:rPr>
          <w:rFonts w:eastAsia="Times New Roman" w:cstheme="minorHAnsi"/>
          <w:b/>
          <w:color w:val="000000" w:themeColor="text1"/>
        </w:rPr>
        <w:t xml:space="preserve">Background: </w:t>
      </w:r>
      <w:r w:rsidRPr="00242CE5">
        <w:rPr>
          <w:rFonts w:eastAsia="Times New Roman" w:cstheme="minorHAnsi"/>
          <w:color w:val="000000" w:themeColor="text1"/>
        </w:rPr>
        <w:t>Clinicians observe that cats and dogs referred to neurology services often do not have an underlying neurological disorder. There has been no analysis of the frequency or categorisation of these neurological mimics.</w:t>
      </w:r>
      <w:r w:rsidRPr="00242CE5">
        <w:rPr>
          <w:rFonts w:cstheme="minorHAnsi"/>
          <w:color w:val="000000" w:themeColor="text1"/>
        </w:rPr>
        <w:t xml:space="preserve"> </w:t>
      </w:r>
    </w:p>
    <w:p w14:paraId="731253DA" w14:textId="3609B2DF" w:rsidR="0018287E" w:rsidRPr="00242CE5" w:rsidRDefault="0018287E" w:rsidP="0018287E">
      <w:pPr>
        <w:jc w:val="both"/>
        <w:rPr>
          <w:rFonts w:eastAsia="Times New Roman" w:cstheme="minorHAnsi"/>
          <w:color w:val="000000" w:themeColor="text1"/>
          <w:szCs w:val="18"/>
        </w:rPr>
      </w:pPr>
      <w:r w:rsidRPr="00242CE5">
        <w:rPr>
          <w:rFonts w:eastAsia="Times New Roman" w:cstheme="minorHAnsi"/>
          <w:b/>
          <w:color w:val="000000" w:themeColor="text1"/>
          <w:szCs w:val="18"/>
        </w:rPr>
        <w:t>Methods:</w:t>
      </w:r>
      <w:r w:rsidRPr="00242CE5">
        <w:rPr>
          <w:rFonts w:eastAsia="Times New Roman" w:cstheme="minorHAnsi"/>
          <w:color w:val="000000" w:themeColor="text1"/>
          <w:szCs w:val="18"/>
        </w:rPr>
        <w:t xml:space="preserve"> Retrospective study</w:t>
      </w:r>
      <w:r w:rsidR="00AB0290" w:rsidRPr="00242CE5">
        <w:rPr>
          <w:rFonts w:eastAsia="Times New Roman" w:cstheme="minorHAnsi"/>
          <w:color w:val="000000" w:themeColor="text1"/>
          <w:szCs w:val="18"/>
        </w:rPr>
        <w:t xml:space="preserve"> of 520 cases</w:t>
      </w:r>
      <w:r w:rsidRPr="00242CE5">
        <w:rPr>
          <w:rFonts w:eastAsia="Times New Roman" w:cstheme="minorHAnsi"/>
          <w:color w:val="000000" w:themeColor="text1"/>
          <w:szCs w:val="18"/>
        </w:rPr>
        <w:t xml:space="preserve">. Data on signalment, presenting clinical signs, neurological examination </w:t>
      </w:r>
      <w:r w:rsidR="005C480B" w:rsidRPr="00242CE5">
        <w:rPr>
          <w:rFonts w:eastAsia="Times New Roman" w:cstheme="minorHAnsi"/>
          <w:color w:val="000000" w:themeColor="text1"/>
          <w:szCs w:val="18"/>
        </w:rPr>
        <w:t xml:space="preserve">findings </w:t>
      </w:r>
      <w:r w:rsidRPr="00242CE5">
        <w:rPr>
          <w:rFonts w:eastAsia="Times New Roman" w:cstheme="minorHAnsi"/>
          <w:color w:val="000000" w:themeColor="text1"/>
          <w:szCs w:val="18"/>
        </w:rPr>
        <w:t xml:space="preserve">and final diagnosis was collected. Final diagnoses were classified as primary neurological, non-neurological in origin but with neurological clinical manifestation, </w:t>
      </w:r>
      <w:r w:rsidR="005C480B" w:rsidRPr="00242CE5">
        <w:rPr>
          <w:rFonts w:eastAsia="Times New Roman" w:cstheme="minorHAnsi"/>
          <w:color w:val="000000" w:themeColor="text1"/>
          <w:szCs w:val="18"/>
        </w:rPr>
        <w:t xml:space="preserve">completely non-neurological (neurological mimics) </w:t>
      </w:r>
      <w:r w:rsidRPr="00242CE5">
        <w:rPr>
          <w:rFonts w:eastAsia="Times New Roman" w:cstheme="minorHAnsi"/>
          <w:color w:val="000000" w:themeColor="text1"/>
          <w:szCs w:val="18"/>
        </w:rPr>
        <w:t xml:space="preserve">or undiagnosed. Presenting clinical signs and neurological examination results were compared between neurological mimics and primary neurological cases using Chi-square or Fischer exact test. </w:t>
      </w:r>
      <w:r w:rsidRPr="00242CE5">
        <w:rPr>
          <w:rFonts w:eastAsia="Times New Roman" w:cstheme="minorHAnsi"/>
          <w:color w:val="000000" w:themeColor="text1"/>
        </w:rPr>
        <w:t>Relative risk was calculated for significant associations.</w:t>
      </w:r>
    </w:p>
    <w:p w14:paraId="2127D552" w14:textId="1EBF8F33" w:rsidR="0018287E" w:rsidRPr="00242CE5" w:rsidRDefault="0018287E" w:rsidP="0018287E">
      <w:pPr>
        <w:jc w:val="both"/>
        <w:rPr>
          <w:color w:val="000000" w:themeColor="text1"/>
        </w:rPr>
      </w:pPr>
      <w:r w:rsidRPr="00242CE5">
        <w:rPr>
          <w:rFonts w:eastAsia="Times New Roman" w:cstheme="minorHAnsi"/>
          <w:b/>
          <w:color w:val="000000" w:themeColor="text1"/>
          <w:szCs w:val="18"/>
        </w:rPr>
        <w:t xml:space="preserve">Results: </w:t>
      </w:r>
      <w:r w:rsidRPr="00242CE5">
        <w:rPr>
          <w:color w:val="000000" w:themeColor="text1"/>
        </w:rPr>
        <w:t xml:space="preserve">74% were primary neurological conditions, 8% neurological mimics, 3% non-neurological with neurological manifestation and 15% undiagnosed. An animal referred for lameness was five </w:t>
      </w:r>
      <w:r w:rsidR="00626635" w:rsidRPr="00242CE5">
        <w:rPr>
          <w:color w:val="000000" w:themeColor="text1"/>
        </w:rPr>
        <w:t xml:space="preserve">approximately </w:t>
      </w:r>
      <w:r w:rsidRPr="00242CE5">
        <w:rPr>
          <w:color w:val="000000" w:themeColor="text1"/>
        </w:rPr>
        <w:t xml:space="preserve">times more likely to be diagnosed as a neurological mimic than as a primary neurological disorder (Relative Risk, RR = </w:t>
      </w:r>
      <w:r w:rsidR="006C54CA" w:rsidRPr="00242CE5">
        <w:rPr>
          <w:color w:val="000000" w:themeColor="text1"/>
        </w:rPr>
        <w:t>5.4</w:t>
      </w:r>
      <w:r w:rsidR="007B0C9E">
        <w:rPr>
          <w:color w:val="000000" w:themeColor="text1"/>
        </w:rPr>
        <w:t>2</w:t>
      </w:r>
      <w:r w:rsidRPr="00242CE5">
        <w:rPr>
          <w:color w:val="000000" w:themeColor="text1"/>
        </w:rPr>
        <w:t xml:space="preserve">, P </w:t>
      </w:r>
      <w:r w:rsidRPr="00242CE5">
        <w:rPr>
          <w:rFonts w:eastAsia="Times New Roman" w:cstheme="minorHAnsi"/>
          <w:color w:val="000000" w:themeColor="text1"/>
        </w:rPr>
        <w:t xml:space="preserve">&lt; </w:t>
      </w:r>
      <w:r w:rsidRPr="00242CE5">
        <w:rPr>
          <w:color w:val="000000" w:themeColor="text1"/>
        </w:rPr>
        <w:t>0.001). Cases with a normal neurological examination were approximately 15 times more likely to be a neurological mimic (RR=14.</w:t>
      </w:r>
      <w:r w:rsidR="007B0C9E">
        <w:rPr>
          <w:color w:val="000000" w:themeColor="text1"/>
        </w:rPr>
        <w:t>97</w:t>
      </w:r>
      <w:r w:rsidRPr="00242CE5">
        <w:rPr>
          <w:color w:val="000000" w:themeColor="text1"/>
        </w:rPr>
        <w:t xml:space="preserve">, P </w:t>
      </w:r>
      <w:r w:rsidRPr="00242CE5">
        <w:rPr>
          <w:rFonts w:eastAsia="Times New Roman" w:cstheme="minorHAnsi"/>
          <w:color w:val="000000" w:themeColor="text1"/>
        </w:rPr>
        <w:t>&lt; 0.001)</w:t>
      </w:r>
      <w:r w:rsidRPr="00242CE5">
        <w:rPr>
          <w:color w:val="000000" w:themeColor="text1"/>
        </w:rPr>
        <w:t xml:space="preserve">. </w:t>
      </w:r>
    </w:p>
    <w:p w14:paraId="3A2E9381" w14:textId="09B263FF" w:rsidR="00C86C46" w:rsidRPr="00484CA9" w:rsidRDefault="0018287E" w:rsidP="00484CA9">
      <w:pPr>
        <w:jc w:val="both"/>
        <w:rPr>
          <w:b/>
          <w:color w:val="000000" w:themeColor="text1"/>
          <w:u w:val="single"/>
        </w:rPr>
      </w:pPr>
      <w:r w:rsidRPr="00242CE5">
        <w:rPr>
          <w:rFonts w:eastAsia="Times New Roman" w:cstheme="minorHAnsi"/>
          <w:b/>
          <w:color w:val="000000" w:themeColor="text1"/>
          <w:szCs w:val="18"/>
        </w:rPr>
        <w:t>Conclusion:</w:t>
      </w:r>
      <w:r w:rsidRPr="00242CE5">
        <w:rPr>
          <w:color w:val="000000" w:themeColor="text1"/>
        </w:rPr>
        <w:t xml:space="preserve"> Thorough examination with consideration of alternative diagnoses is important when a neurological condition is suspected in an animal that presents with lameness or normal neurological examination.</w:t>
      </w:r>
      <w:r w:rsidR="00C86C46" w:rsidRPr="00242CE5">
        <w:rPr>
          <w:rFonts w:eastAsia="Times New Roman" w:cstheme="minorHAnsi"/>
          <w:b/>
          <w:color w:val="000000" w:themeColor="text1"/>
          <w:szCs w:val="18"/>
        </w:rPr>
        <w:br w:type="page"/>
      </w:r>
    </w:p>
    <w:p w14:paraId="2C0B1E1D" w14:textId="5994BD4A" w:rsidR="000851D8" w:rsidRPr="00242CE5" w:rsidRDefault="000851D8" w:rsidP="000851D8">
      <w:pPr>
        <w:jc w:val="both"/>
        <w:rPr>
          <w:rFonts w:eastAsia="Times New Roman" w:cstheme="minorHAnsi"/>
          <w:color w:val="000000" w:themeColor="text1"/>
          <w:sz w:val="26"/>
          <w:szCs w:val="26"/>
        </w:rPr>
      </w:pPr>
      <w:r w:rsidRPr="00242CE5">
        <w:rPr>
          <w:rFonts w:eastAsia="Times New Roman" w:cstheme="minorHAnsi"/>
          <w:b/>
          <w:color w:val="000000" w:themeColor="text1"/>
          <w:sz w:val="26"/>
          <w:szCs w:val="26"/>
        </w:rPr>
        <w:lastRenderedPageBreak/>
        <w:t>INTRODUCTION</w:t>
      </w:r>
    </w:p>
    <w:p w14:paraId="1E41BB4F" w14:textId="644D839F" w:rsidR="00EA0CF4" w:rsidRPr="00242CE5" w:rsidRDefault="000851D8" w:rsidP="000851D8">
      <w:pPr>
        <w:jc w:val="both"/>
        <w:rPr>
          <w:rFonts w:eastAsia="Times New Roman" w:cstheme="minorHAnsi"/>
          <w:color w:val="000000" w:themeColor="text1"/>
        </w:rPr>
      </w:pPr>
      <w:r w:rsidRPr="00242CE5">
        <w:rPr>
          <w:rFonts w:eastAsia="Times New Roman" w:cstheme="minorHAnsi"/>
          <w:color w:val="000000" w:themeColor="text1"/>
        </w:rPr>
        <w:t>In human medicine</w:t>
      </w:r>
      <w:r w:rsidR="005004BE" w:rsidRPr="00242CE5">
        <w:rPr>
          <w:rFonts w:eastAsia="Times New Roman" w:cstheme="minorHAnsi"/>
          <w:color w:val="000000" w:themeColor="text1"/>
        </w:rPr>
        <w:t>,</w:t>
      </w:r>
      <w:r w:rsidRPr="00242CE5">
        <w:rPr>
          <w:rFonts w:eastAsia="Times New Roman" w:cstheme="minorHAnsi"/>
          <w:color w:val="000000" w:themeColor="text1"/>
        </w:rPr>
        <w:t xml:space="preserve"> the problem of </w:t>
      </w:r>
      <w:r w:rsidR="00EA0CF4" w:rsidRPr="00242CE5">
        <w:rPr>
          <w:rFonts w:eastAsia="Times New Roman" w:cstheme="minorHAnsi"/>
          <w:color w:val="000000" w:themeColor="text1"/>
        </w:rPr>
        <w:t xml:space="preserve">incorrect hospital </w:t>
      </w:r>
      <w:r w:rsidRPr="00242CE5">
        <w:rPr>
          <w:rFonts w:eastAsia="Times New Roman" w:cstheme="minorHAnsi"/>
          <w:color w:val="000000" w:themeColor="text1"/>
        </w:rPr>
        <w:t>referral has been recognised</w:t>
      </w:r>
      <w:r w:rsidR="00864EF6" w:rsidRPr="00242CE5">
        <w:rPr>
          <w:rFonts w:eastAsia="Times New Roman" w:cstheme="minorHAnsi"/>
          <w:color w:val="000000" w:themeColor="text1"/>
        </w:rPr>
        <w:t>; f</w:t>
      </w:r>
      <w:r w:rsidR="00C53F95" w:rsidRPr="00242CE5">
        <w:rPr>
          <w:rFonts w:eastAsia="Times New Roman" w:cstheme="minorHAnsi"/>
          <w:color w:val="000000" w:themeColor="text1"/>
        </w:rPr>
        <w:t xml:space="preserve">or </w:t>
      </w:r>
      <w:r w:rsidR="00BE7367" w:rsidRPr="00242CE5">
        <w:rPr>
          <w:rFonts w:eastAsia="Times New Roman" w:cstheme="minorHAnsi"/>
          <w:color w:val="000000" w:themeColor="text1"/>
        </w:rPr>
        <w:t>instance,</w:t>
      </w:r>
      <w:r w:rsidR="00C53F95" w:rsidRPr="00242CE5">
        <w:rPr>
          <w:rFonts w:eastAsia="Times New Roman" w:cstheme="minorHAnsi"/>
          <w:color w:val="000000" w:themeColor="text1"/>
        </w:rPr>
        <w:t xml:space="preserve"> in one</w:t>
      </w:r>
      <w:r w:rsidRPr="00242CE5">
        <w:rPr>
          <w:rFonts w:eastAsia="Times New Roman" w:cstheme="minorHAnsi"/>
          <w:color w:val="000000" w:themeColor="text1"/>
        </w:rPr>
        <w:t xml:space="preserve"> study </w:t>
      </w:r>
      <w:r w:rsidRPr="00242CE5">
        <w:rPr>
          <w:color w:val="000000" w:themeColor="text1"/>
        </w:rPr>
        <w:t>4% of patients had been referred</w:t>
      </w:r>
      <w:r w:rsidR="00F10CD2" w:rsidRPr="00242CE5">
        <w:rPr>
          <w:color w:val="000000" w:themeColor="text1"/>
        </w:rPr>
        <w:t xml:space="preserve"> by their general practitioner</w:t>
      </w:r>
      <w:r w:rsidRPr="00242CE5">
        <w:rPr>
          <w:color w:val="000000" w:themeColor="text1"/>
        </w:rPr>
        <w:t xml:space="preserve"> to an inappropriate </w:t>
      </w:r>
      <w:r w:rsidR="005004BE" w:rsidRPr="00242CE5">
        <w:rPr>
          <w:color w:val="000000" w:themeColor="text1"/>
        </w:rPr>
        <w:t xml:space="preserve">hospital </w:t>
      </w:r>
      <w:r w:rsidRPr="00242CE5">
        <w:rPr>
          <w:color w:val="000000" w:themeColor="text1"/>
        </w:rPr>
        <w:t>specialty [1</w:t>
      </w:r>
      <w:r w:rsidR="00EA0CF4" w:rsidRPr="00242CE5">
        <w:rPr>
          <w:color w:val="000000" w:themeColor="text1"/>
        </w:rPr>
        <w:t xml:space="preserve">]. </w:t>
      </w:r>
      <w:r w:rsidR="00EA0CF4" w:rsidRPr="00242CE5">
        <w:rPr>
          <w:rFonts w:eastAsia="Times New Roman" w:cstheme="minorHAnsi"/>
          <w:color w:val="000000" w:themeColor="text1"/>
        </w:rPr>
        <w:t xml:space="preserve"> Anecdotally, it has been observed within the neurology service at a veterinary referral teaching hospital that</w:t>
      </w:r>
      <w:r w:rsidR="008C08E7" w:rsidRPr="00242CE5">
        <w:rPr>
          <w:rFonts w:eastAsia="Times New Roman" w:cstheme="minorHAnsi"/>
          <w:color w:val="000000" w:themeColor="text1"/>
        </w:rPr>
        <w:t>,</w:t>
      </w:r>
      <w:r w:rsidR="00EA0CF4" w:rsidRPr="00242CE5">
        <w:rPr>
          <w:rFonts w:eastAsia="Times New Roman" w:cstheme="minorHAnsi"/>
          <w:color w:val="000000" w:themeColor="text1"/>
        </w:rPr>
        <w:t xml:space="preserve"> relatively frequently</w:t>
      </w:r>
      <w:r w:rsidR="008C08E7" w:rsidRPr="00242CE5">
        <w:rPr>
          <w:rFonts w:eastAsia="Times New Roman" w:cstheme="minorHAnsi"/>
          <w:color w:val="000000" w:themeColor="text1"/>
        </w:rPr>
        <w:t>,</w:t>
      </w:r>
      <w:r w:rsidR="00EA0CF4" w:rsidRPr="00242CE5">
        <w:rPr>
          <w:rFonts w:eastAsia="Times New Roman" w:cstheme="minorHAnsi"/>
          <w:color w:val="000000" w:themeColor="text1"/>
        </w:rPr>
        <w:t xml:space="preserve"> </w:t>
      </w:r>
      <w:r w:rsidR="005C480B" w:rsidRPr="00242CE5">
        <w:rPr>
          <w:rFonts w:eastAsia="Times New Roman" w:cstheme="minorHAnsi"/>
          <w:color w:val="000000" w:themeColor="text1"/>
        </w:rPr>
        <w:t>dogs and cats</w:t>
      </w:r>
      <w:r w:rsidR="00EA0CF4" w:rsidRPr="00242CE5">
        <w:rPr>
          <w:rFonts w:eastAsia="Times New Roman" w:cstheme="minorHAnsi"/>
          <w:color w:val="000000" w:themeColor="text1"/>
        </w:rPr>
        <w:t xml:space="preserve"> seen for initial consultations do not have a neurological condition, and then are transferred to another service</w:t>
      </w:r>
      <w:r w:rsidR="00864EF6" w:rsidRPr="00242CE5">
        <w:rPr>
          <w:rFonts w:eastAsia="Times New Roman" w:cstheme="minorHAnsi"/>
          <w:color w:val="000000" w:themeColor="text1"/>
        </w:rPr>
        <w:t>.</w:t>
      </w:r>
      <w:r w:rsidR="00EA0CF4" w:rsidRPr="00242CE5">
        <w:rPr>
          <w:rFonts w:eastAsia="Times New Roman" w:cstheme="minorHAnsi"/>
          <w:color w:val="000000" w:themeColor="text1"/>
        </w:rPr>
        <w:t xml:space="preserve"> </w:t>
      </w:r>
      <w:r w:rsidR="00864EF6" w:rsidRPr="00242CE5">
        <w:rPr>
          <w:rFonts w:eastAsia="Times New Roman" w:cstheme="minorHAnsi"/>
          <w:color w:val="000000" w:themeColor="text1"/>
        </w:rPr>
        <w:t>S</w:t>
      </w:r>
      <w:r w:rsidR="00EA0CF4" w:rsidRPr="00242CE5">
        <w:rPr>
          <w:rFonts w:eastAsia="Times New Roman" w:cstheme="minorHAnsi"/>
          <w:color w:val="000000" w:themeColor="text1"/>
        </w:rPr>
        <w:t xml:space="preserve">o incorrect referral also exists in veterinary medicine. </w:t>
      </w:r>
    </w:p>
    <w:p w14:paraId="72A9C7A9" w14:textId="3ADD4D5D" w:rsidR="00623248" w:rsidRPr="00242CE5" w:rsidRDefault="001C12D3" w:rsidP="000851D8">
      <w:pPr>
        <w:jc w:val="both"/>
        <w:rPr>
          <w:color w:val="000000" w:themeColor="text1"/>
        </w:rPr>
      </w:pPr>
      <w:r w:rsidRPr="00242CE5">
        <w:rPr>
          <w:rFonts w:eastAsia="Times New Roman" w:cstheme="minorHAnsi"/>
          <w:color w:val="000000" w:themeColor="text1"/>
        </w:rPr>
        <w:t>In</w:t>
      </w:r>
      <w:r w:rsidR="00EA0CF4" w:rsidRPr="00242CE5">
        <w:rPr>
          <w:rFonts w:eastAsia="Times New Roman" w:cstheme="minorHAnsi"/>
          <w:color w:val="000000" w:themeColor="text1"/>
        </w:rPr>
        <w:t xml:space="preserve"> both human and veterinary </w:t>
      </w:r>
      <w:r w:rsidRPr="00242CE5">
        <w:rPr>
          <w:rFonts w:eastAsia="Times New Roman" w:cstheme="minorHAnsi"/>
          <w:color w:val="000000" w:themeColor="text1"/>
        </w:rPr>
        <w:t>medicine, conditions mimicking specific neurological conditions have been studied</w:t>
      </w:r>
      <w:r w:rsidR="00EA0CF4" w:rsidRPr="00242CE5">
        <w:rPr>
          <w:rFonts w:eastAsia="Times New Roman" w:cstheme="minorHAnsi"/>
          <w:color w:val="000000" w:themeColor="text1"/>
        </w:rPr>
        <w:t xml:space="preserve"> [</w:t>
      </w:r>
      <w:r w:rsidR="002A3513" w:rsidRPr="00242CE5">
        <w:rPr>
          <w:rFonts w:eastAsia="Times New Roman" w:cstheme="minorHAnsi"/>
          <w:color w:val="000000" w:themeColor="text1"/>
        </w:rPr>
        <w:t>2</w:t>
      </w:r>
      <w:r w:rsidR="00EA0CF4" w:rsidRPr="00242CE5">
        <w:rPr>
          <w:rFonts w:eastAsia="Times New Roman" w:cstheme="minorHAnsi"/>
          <w:color w:val="000000" w:themeColor="text1"/>
        </w:rPr>
        <w:t>-</w:t>
      </w:r>
      <w:r w:rsidR="002A3513" w:rsidRPr="00242CE5">
        <w:rPr>
          <w:rFonts w:eastAsia="Times New Roman" w:cstheme="minorHAnsi"/>
          <w:color w:val="000000" w:themeColor="text1"/>
        </w:rPr>
        <w:t>5</w:t>
      </w:r>
      <w:r w:rsidR="00EA0CF4" w:rsidRPr="00242CE5">
        <w:rPr>
          <w:rFonts w:eastAsia="Times New Roman" w:cstheme="minorHAnsi"/>
          <w:color w:val="000000" w:themeColor="text1"/>
        </w:rPr>
        <w:t>]</w:t>
      </w:r>
      <w:r w:rsidRPr="00242CE5">
        <w:rPr>
          <w:rFonts w:eastAsia="Times New Roman" w:cstheme="minorHAnsi"/>
          <w:color w:val="000000" w:themeColor="text1"/>
        </w:rPr>
        <w:t xml:space="preserve">. </w:t>
      </w:r>
      <w:r w:rsidR="00EA0CF4" w:rsidRPr="00242CE5">
        <w:rPr>
          <w:rFonts w:eastAsia="Times New Roman" w:cstheme="minorHAnsi"/>
          <w:color w:val="000000" w:themeColor="text1"/>
        </w:rPr>
        <w:t>Examples within veterinary medicine</w:t>
      </w:r>
      <w:r w:rsidR="005C480B" w:rsidRPr="00242CE5">
        <w:rPr>
          <w:rFonts w:eastAsia="Times New Roman" w:cstheme="minorHAnsi"/>
          <w:color w:val="000000" w:themeColor="text1"/>
        </w:rPr>
        <w:t>,</w:t>
      </w:r>
      <w:r w:rsidR="00EA0CF4" w:rsidRPr="00242CE5">
        <w:rPr>
          <w:rFonts w:eastAsia="Times New Roman" w:cstheme="minorHAnsi"/>
          <w:color w:val="000000" w:themeColor="text1"/>
        </w:rPr>
        <w:t xml:space="preserve"> includ</w:t>
      </w:r>
      <w:r w:rsidR="00F04461" w:rsidRPr="00242CE5">
        <w:rPr>
          <w:rFonts w:eastAsia="Times New Roman" w:cstheme="minorHAnsi"/>
          <w:color w:val="000000" w:themeColor="text1"/>
        </w:rPr>
        <w:t>ing</w:t>
      </w:r>
      <w:r w:rsidRPr="00242CE5">
        <w:rPr>
          <w:rFonts w:eastAsia="Times New Roman" w:cstheme="minorHAnsi"/>
          <w:color w:val="000000" w:themeColor="text1"/>
        </w:rPr>
        <w:t xml:space="preserve"> </w:t>
      </w:r>
      <w:r w:rsidRPr="00242CE5">
        <w:rPr>
          <w:color w:val="000000" w:themeColor="text1"/>
        </w:rPr>
        <w:t>disorders mimicking intervertebral disc disease [</w:t>
      </w:r>
      <w:r w:rsidR="002A3513" w:rsidRPr="00242CE5">
        <w:rPr>
          <w:color w:val="000000" w:themeColor="text1"/>
        </w:rPr>
        <w:t>6</w:t>
      </w:r>
      <w:r w:rsidRPr="00242CE5">
        <w:rPr>
          <w:color w:val="000000" w:themeColor="text1"/>
        </w:rPr>
        <w:t xml:space="preserve">], </w:t>
      </w:r>
      <w:r w:rsidR="005C480B" w:rsidRPr="00242CE5">
        <w:rPr>
          <w:color w:val="000000" w:themeColor="text1"/>
        </w:rPr>
        <w:t xml:space="preserve">epileptic </w:t>
      </w:r>
      <w:r w:rsidRPr="00242CE5">
        <w:rPr>
          <w:color w:val="000000" w:themeColor="text1"/>
        </w:rPr>
        <w:t>seizures [</w:t>
      </w:r>
      <w:r w:rsidR="002A3513" w:rsidRPr="00242CE5">
        <w:rPr>
          <w:color w:val="000000" w:themeColor="text1"/>
        </w:rPr>
        <w:t>7</w:t>
      </w:r>
      <w:r w:rsidRPr="00242CE5">
        <w:rPr>
          <w:color w:val="000000" w:themeColor="text1"/>
        </w:rPr>
        <w:t xml:space="preserve">] </w:t>
      </w:r>
      <w:r w:rsidR="00EA0CF4" w:rsidRPr="00242CE5">
        <w:rPr>
          <w:color w:val="000000" w:themeColor="text1"/>
        </w:rPr>
        <w:t xml:space="preserve">and </w:t>
      </w:r>
      <w:r w:rsidRPr="00242CE5">
        <w:rPr>
          <w:color w:val="000000" w:themeColor="text1"/>
        </w:rPr>
        <w:t>transient ischaemic attacks</w:t>
      </w:r>
      <w:r w:rsidR="005C480B" w:rsidRPr="00242CE5">
        <w:rPr>
          <w:color w:val="000000" w:themeColor="text1"/>
        </w:rPr>
        <w:t xml:space="preserve"> [8], </w:t>
      </w:r>
      <w:r w:rsidRPr="00242CE5">
        <w:rPr>
          <w:color w:val="000000" w:themeColor="text1"/>
        </w:rPr>
        <w:t>have been investigated.</w:t>
      </w:r>
      <w:r w:rsidRPr="00242CE5">
        <w:rPr>
          <w:rFonts w:cstheme="minorHAnsi"/>
          <w:color w:val="000000" w:themeColor="text1"/>
        </w:rPr>
        <w:t xml:space="preserve"> </w:t>
      </w:r>
      <w:r w:rsidR="00EA0CF4" w:rsidRPr="00242CE5">
        <w:rPr>
          <w:rFonts w:eastAsia="Times New Roman" w:cstheme="minorHAnsi"/>
          <w:color w:val="000000" w:themeColor="text1"/>
        </w:rPr>
        <w:t>However</w:t>
      </w:r>
      <w:r w:rsidR="00083B84" w:rsidRPr="00242CE5">
        <w:rPr>
          <w:rFonts w:eastAsia="Times New Roman" w:cstheme="minorHAnsi"/>
          <w:color w:val="000000" w:themeColor="text1"/>
        </w:rPr>
        <w:t xml:space="preserve">, </w:t>
      </w:r>
      <w:r w:rsidR="00083B84" w:rsidRPr="00242CE5">
        <w:rPr>
          <w:color w:val="000000" w:themeColor="text1"/>
        </w:rPr>
        <w:t>information regarding</w:t>
      </w:r>
      <w:r w:rsidR="00623248" w:rsidRPr="00242CE5">
        <w:rPr>
          <w:rFonts w:eastAsia="Times New Roman" w:cstheme="minorHAnsi"/>
          <w:color w:val="000000" w:themeColor="text1"/>
        </w:rPr>
        <w:t xml:space="preserve"> </w:t>
      </w:r>
      <w:r w:rsidR="00083B84" w:rsidRPr="00242CE5">
        <w:rPr>
          <w:rFonts w:eastAsia="Times New Roman" w:cstheme="minorHAnsi"/>
          <w:color w:val="000000" w:themeColor="text1"/>
        </w:rPr>
        <w:t>conditions that can mimic neurological conditions</w:t>
      </w:r>
      <w:r w:rsidRPr="00242CE5">
        <w:rPr>
          <w:rFonts w:eastAsia="Times New Roman" w:cstheme="minorHAnsi"/>
          <w:color w:val="000000" w:themeColor="text1"/>
        </w:rPr>
        <w:t xml:space="preserve"> in general </w:t>
      </w:r>
      <w:r w:rsidR="00623248" w:rsidRPr="00242CE5">
        <w:rPr>
          <w:rFonts w:eastAsia="Times New Roman" w:cstheme="minorHAnsi"/>
          <w:color w:val="000000" w:themeColor="text1"/>
        </w:rPr>
        <w:t>is lacking</w:t>
      </w:r>
      <w:r w:rsidR="000851D8" w:rsidRPr="00242CE5">
        <w:rPr>
          <w:rFonts w:cstheme="minorHAnsi"/>
          <w:color w:val="000000" w:themeColor="text1"/>
        </w:rPr>
        <w:t xml:space="preserve">. </w:t>
      </w:r>
      <w:r w:rsidR="00A45A4B" w:rsidRPr="00242CE5">
        <w:rPr>
          <w:color w:val="000000" w:themeColor="text1"/>
        </w:rPr>
        <w:t xml:space="preserve">The authors believe it </w:t>
      </w:r>
      <w:r w:rsidR="00083B84" w:rsidRPr="00242CE5">
        <w:rPr>
          <w:color w:val="000000" w:themeColor="text1"/>
        </w:rPr>
        <w:t xml:space="preserve">is important to study the incidence and characteristics of </w:t>
      </w:r>
      <w:r w:rsidRPr="00242CE5">
        <w:rPr>
          <w:color w:val="000000" w:themeColor="text1"/>
        </w:rPr>
        <w:t xml:space="preserve">these neurological </w:t>
      </w:r>
      <w:r w:rsidR="00623248" w:rsidRPr="00242CE5">
        <w:rPr>
          <w:color w:val="000000" w:themeColor="text1"/>
        </w:rPr>
        <w:t>mimics</w:t>
      </w:r>
      <w:r w:rsidR="008012DB" w:rsidRPr="00242CE5">
        <w:rPr>
          <w:color w:val="000000" w:themeColor="text1"/>
        </w:rPr>
        <w:t xml:space="preserve"> </w:t>
      </w:r>
      <w:r w:rsidR="005004BE" w:rsidRPr="00242CE5">
        <w:rPr>
          <w:color w:val="000000" w:themeColor="text1"/>
        </w:rPr>
        <w:t>as</w:t>
      </w:r>
      <w:r w:rsidR="00623248" w:rsidRPr="00242CE5">
        <w:rPr>
          <w:color w:val="000000" w:themeColor="text1"/>
        </w:rPr>
        <w:t xml:space="preserve"> </w:t>
      </w:r>
      <w:r w:rsidRPr="00242CE5">
        <w:rPr>
          <w:color w:val="000000" w:themeColor="text1"/>
        </w:rPr>
        <w:t xml:space="preserve">correct recognition and referral </w:t>
      </w:r>
      <w:r w:rsidR="00083B84" w:rsidRPr="00242CE5">
        <w:rPr>
          <w:color w:val="000000" w:themeColor="text1"/>
        </w:rPr>
        <w:t>may</w:t>
      </w:r>
      <w:r w:rsidR="00623248" w:rsidRPr="00242CE5">
        <w:rPr>
          <w:color w:val="000000" w:themeColor="text1"/>
        </w:rPr>
        <w:t xml:space="preserve"> </w:t>
      </w:r>
      <w:r w:rsidRPr="00242CE5">
        <w:rPr>
          <w:color w:val="000000" w:themeColor="text1"/>
        </w:rPr>
        <w:t>speed up</w:t>
      </w:r>
      <w:r w:rsidR="00623248" w:rsidRPr="00242CE5">
        <w:rPr>
          <w:color w:val="000000" w:themeColor="text1"/>
        </w:rPr>
        <w:t xml:space="preserve"> </w:t>
      </w:r>
      <w:r w:rsidRPr="00242CE5">
        <w:rPr>
          <w:color w:val="000000" w:themeColor="text1"/>
        </w:rPr>
        <w:t xml:space="preserve">and target diagnostic tests </w:t>
      </w:r>
      <w:r w:rsidR="00623248" w:rsidRPr="00242CE5">
        <w:rPr>
          <w:color w:val="000000" w:themeColor="text1"/>
        </w:rPr>
        <w:t>and</w:t>
      </w:r>
      <w:r w:rsidR="00083B84" w:rsidRPr="00242CE5">
        <w:rPr>
          <w:color w:val="000000" w:themeColor="text1"/>
        </w:rPr>
        <w:t xml:space="preserve"> </w:t>
      </w:r>
      <w:r w:rsidR="00B9143C" w:rsidRPr="00242CE5">
        <w:rPr>
          <w:color w:val="000000" w:themeColor="text1"/>
        </w:rPr>
        <w:t>management</w:t>
      </w:r>
      <w:r w:rsidR="00AF1FED" w:rsidRPr="00242CE5">
        <w:rPr>
          <w:color w:val="000000" w:themeColor="text1"/>
        </w:rPr>
        <w:t>,</w:t>
      </w:r>
      <w:r w:rsidR="00623248" w:rsidRPr="00242CE5">
        <w:rPr>
          <w:color w:val="000000" w:themeColor="text1"/>
        </w:rPr>
        <w:t xml:space="preserve"> and </w:t>
      </w:r>
      <w:r w:rsidR="00083B84" w:rsidRPr="00242CE5">
        <w:rPr>
          <w:color w:val="000000" w:themeColor="text1"/>
        </w:rPr>
        <w:t xml:space="preserve">might </w:t>
      </w:r>
      <w:r w:rsidRPr="00242CE5">
        <w:rPr>
          <w:color w:val="000000" w:themeColor="text1"/>
        </w:rPr>
        <w:t xml:space="preserve">result in </w:t>
      </w:r>
      <w:r w:rsidR="00741909" w:rsidRPr="00242CE5">
        <w:rPr>
          <w:color w:val="000000" w:themeColor="text1"/>
        </w:rPr>
        <w:t>fewer</w:t>
      </w:r>
      <w:r w:rsidRPr="00242CE5">
        <w:rPr>
          <w:color w:val="000000" w:themeColor="text1"/>
        </w:rPr>
        <w:t xml:space="preserve"> costs</w:t>
      </w:r>
      <w:r w:rsidR="00AF1FED" w:rsidRPr="00242CE5">
        <w:rPr>
          <w:color w:val="000000" w:themeColor="text1"/>
        </w:rPr>
        <w:t xml:space="preserve"> for clients. This could improve the efficiency of </w:t>
      </w:r>
      <w:r w:rsidR="00B9143C" w:rsidRPr="00242CE5">
        <w:rPr>
          <w:color w:val="000000" w:themeColor="text1"/>
        </w:rPr>
        <w:t xml:space="preserve">the </w:t>
      </w:r>
      <w:r w:rsidR="00AF1FED" w:rsidRPr="00242CE5">
        <w:rPr>
          <w:color w:val="000000" w:themeColor="text1"/>
        </w:rPr>
        <w:t xml:space="preserve">referral </w:t>
      </w:r>
      <w:r w:rsidR="00B9143C" w:rsidRPr="00242CE5">
        <w:rPr>
          <w:color w:val="000000" w:themeColor="text1"/>
        </w:rPr>
        <w:t xml:space="preserve">process </w:t>
      </w:r>
      <w:r w:rsidR="00AF1FED" w:rsidRPr="00242CE5">
        <w:rPr>
          <w:color w:val="000000" w:themeColor="text1"/>
        </w:rPr>
        <w:t xml:space="preserve">and </w:t>
      </w:r>
      <w:r w:rsidR="00B9143C" w:rsidRPr="00242CE5">
        <w:rPr>
          <w:color w:val="000000" w:themeColor="text1"/>
        </w:rPr>
        <w:t>patient management</w:t>
      </w:r>
      <w:r w:rsidR="00AF1FED" w:rsidRPr="00242CE5">
        <w:rPr>
          <w:color w:val="000000" w:themeColor="text1"/>
        </w:rPr>
        <w:t>.</w:t>
      </w:r>
    </w:p>
    <w:p w14:paraId="044A04AE" w14:textId="1AB0600D" w:rsidR="000851D8" w:rsidRPr="00242CE5" w:rsidRDefault="000851D8" w:rsidP="000851D8">
      <w:pPr>
        <w:jc w:val="both"/>
        <w:rPr>
          <w:rFonts w:eastAsia="Times New Roman" w:cstheme="minorHAnsi"/>
          <w:color w:val="000000" w:themeColor="text1"/>
        </w:rPr>
      </w:pPr>
      <w:r w:rsidRPr="00242CE5">
        <w:rPr>
          <w:color w:val="000000" w:themeColor="text1"/>
        </w:rPr>
        <w:t>Th</w:t>
      </w:r>
      <w:r w:rsidR="00B9143C" w:rsidRPr="00242CE5">
        <w:rPr>
          <w:color w:val="000000" w:themeColor="text1"/>
        </w:rPr>
        <w:t xml:space="preserve">e overall aim of this study </w:t>
      </w:r>
      <w:r w:rsidRPr="00242CE5">
        <w:rPr>
          <w:color w:val="000000" w:themeColor="text1"/>
        </w:rPr>
        <w:t>was to investigate the frequency</w:t>
      </w:r>
      <w:r w:rsidR="00864EF6" w:rsidRPr="00242CE5">
        <w:rPr>
          <w:color w:val="000000" w:themeColor="text1"/>
        </w:rPr>
        <w:t>, aetiology</w:t>
      </w:r>
      <w:r w:rsidRPr="00242CE5">
        <w:rPr>
          <w:color w:val="000000" w:themeColor="text1"/>
        </w:rPr>
        <w:t xml:space="preserve"> and </w:t>
      </w:r>
      <w:r w:rsidR="00083B84" w:rsidRPr="00242CE5">
        <w:rPr>
          <w:color w:val="000000" w:themeColor="text1"/>
        </w:rPr>
        <w:t>clinical</w:t>
      </w:r>
      <w:r w:rsidR="00864EF6" w:rsidRPr="00242CE5">
        <w:rPr>
          <w:color w:val="000000" w:themeColor="text1"/>
        </w:rPr>
        <w:t xml:space="preserve"> </w:t>
      </w:r>
      <w:r w:rsidR="00083B84" w:rsidRPr="00242CE5">
        <w:rPr>
          <w:color w:val="000000" w:themeColor="text1"/>
        </w:rPr>
        <w:t xml:space="preserve">characteristics </w:t>
      </w:r>
      <w:r w:rsidRPr="00242CE5">
        <w:rPr>
          <w:color w:val="000000" w:themeColor="text1"/>
        </w:rPr>
        <w:t xml:space="preserve">of neurological mimics in </w:t>
      </w:r>
      <w:r w:rsidR="005C480B" w:rsidRPr="00242CE5">
        <w:rPr>
          <w:color w:val="000000" w:themeColor="text1"/>
        </w:rPr>
        <w:t>small animal</w:t>
      </w:r>
      <w:r w:rsidRPr="00242CE5">
        <w:rPr>
          <w:color w:val="000000" w:themeColor="text1"/>
        </w:rPr>
        <w:t xml:space="preserve"> medicine. </w:t>
      </w:r>
      <w:r w:rsidR="00B9143C" w:rsidRPr="00242CE5">
        <w:rPr>
          <w:color w:val="000000" w:themeColor="text1"/>
        </w:rPr>
        <w:t xml:space="preserve">Specific aims were </w:t>
      </w:r>
      <w:r w:rsidRPr="00242CE5">
        <w:rPr>
          <w:color w:val="000000" w:themeColor="text1"/>
        </w:rPr>
        <w:t>to quantify how often these presentations occur</w:t>
      </w:r>
      <w:r w:rsidR="005C480B" w:rsidRPr="00242CE5">
        <w:rPr>
          <w:color w:val="000000" w:themeColor="text1"/>
        </w:rPr>
        <w:t xml:space="preserve"> </w:t>
      </w:r>
      <w:r w:rsidRPr="00242CE5">
        <w:rPr>
          <w:color w:val="000000" w:themeColor="text1"/>
        </w:rPr>
        <w:t>and to provide information on which particular cases are prone to be neurological mimics</w:t>
      </w:r>
      <w:r w:rsidR="00B9143C" w:rsidRPr="00242CE5">
        <w:rPr>
          <w:color w:val="000000" w:themeColor="text1"/>
        </w:rPr>
        <w:t xml:space="preserve">. </w:t>
      </w:r>
    </w:p>
    <w:p w14:paraId="26A240C2" w14:textId="77777777" w:rsidR="000851D8" w:rsidRPr="00242CE5" w:rsidRDefault="000851D8" w:rsidP="000851D8">
      <w:pPr>
        <w:jc w:val="both"/>
        <w:rPr>
          <w:rFonts w:eastAsia="Times New Roman" w:cstheme="minorHAnsi"/>
          <w:color w:val="000000" w:themeColor="text1"/>
        </w:rPr>
      </w:pPr>
    </w:p>
    <w:p w14:paraId="399B1922" w14:textId="77777777" w:rsidR="000851D8" w:rsidRPr="00242CE5" w:rsidRDefault="000851D8" w:rsidP="000851D8">
      <w:pPr>
        <w:jc w:val="both"/>
        <w:rPr>
          <w:rFonts w:eastAsia="Times New Roman" w:cstheme="minorHAnsi"/>
          <w:b/>
          <w:color w:val="000000" w:themeColor="text1"/>
          <w:sz w:val="26"/>
          <w:szCs w:val="26"/>
        </w:rPr>
      </w:pPr>
      <w:r w:rsidRPr="00242CE5">
        <w:rPr>
          <w:rFonts w:eastAsia="Times New Roman" w:cstheme="minorHAnsi"/>
          <w:b/>
          <w:color w:val="000000" w:themeColor="text1"/>
          <w:sz w:val="26"/>
          <w:szCs w:val="26"/>
        </w:rPr>
        <w:t>METHODS</w:t>
      </w:r>
    </w:p>
    <w:p w14:paraId="0E201235" w14:textId="77777777" w:rsidR="000851D8" w:rsidRPr="00242CE5" w:rsidRDefault="000851D8" w:rsidP="000851D8">
      <w:pPr>
        <w:jc w:val="both"/>
        <w:rPr>
          <w:rFonts w:eastAsia="Times New Roman" w:cstheme="minorHAnsi"/>
          <w:b/>
          <w:color w:val="000000" w:themeColor="text1"/>
          <w:sz w:val="26"/>
          <w:szCs w:val="26"/>
        </w:rPr>
      </w:pPr>
      <w:r w:rsidRPr="00242CE5">
        <w:rPr>
          <w:rFonts w:eastAsia="Times New Roman" w:cstheme="minorHAnsi"/>
          <w:b/>
          <w:color w:val="000000" w:themeColor="text1"/>
          <w:sz w:val="26"/>
          <w:szCs w:val="26"/>
        </w:rPr>
        <w:lastRenderedPageBreak/>
        <w:t>Data collection of cases</w:t>
      </w:r>
    </w:p>
    <w:p w14:paraId="7F674175" w14:textId="059C1DC1" w:rsidR="000851D8" w:rsidRPr="00242CE5" w:rsidRDefault="004C67DC" w:rsidP="000851D8">
      <w:pPr>
        <w:jc w:val="both"/>
        <w:rPr>
          <w:rFonts w:eastAsia="Times New Roman" w:cstheme="minorHAnsi"/>
          <w:color w:val="000000" w:themeColor="text1"/>
        </w:rPr>
      </w:pPr>
      <w:r w:rsidRPr="00242CE5">
        <w:rPr>
          <w:rFonts w:cstheme="minorHAnsi"/>
          <w:color w:val="000000" w:themeColor="text1"/>
          <w:lang w:val="en-US"/>
        </w:rPr>
        <w:t xml:space="preserve">The appointment list of all </w:t>
      </w:r>
      <w:r w:rsidR="000851D8" w:rsidRPr="00242CE5">
        <w:rPr>
          <w:rFonts w:cstheme="minorHAnsi"/>
          <w:color w:val="000000" w:themeColor="text1"/>
          <w:lang w:val="en-US"/>
        </w:rPr>
        <w:t>dogs and cats that presented to the Queen’s Veterinary School Hospital</w:t>
      </w:r>
      <w:r w:rsidR="00B9143C" w:rsidRPr="00242CE5">
        <w:rPr>
          <w:rFonts w:cstheme="minorHAnsi"/>
          <w:color w:val="000000" w:themeColor="text1"/>
          <w:lang w:val="en-US"/>
        </w:rPr>
        <w:t xml:space="preserve"> (QVSH), University of Cambridge</w:t>
      </w:r>
      <w:r w:rsidR="005C480B" w:rsidRPr="00242CE5">
        <w:rPr>
          <w:rFonts w:cstheme="minorHAnsi"/>
          <w:color w:val="000000" w:themeColor="text1"/>
          <w:lang w:val="en-US"/>
        </w:rPr>
        <w:t>,</w:t>
      </w:r>
      <w:r w:rsidR="000851D8" w:rsidRPr="00242CE5">
        <w:rPr>
          <w:rFonts w:cstheme="minorHAnsi"/>
          <w:color w:val="000000" w:themeColor="text1"/>
          <w:lang w:val="en-US"/>
        </w:rPr>
        <w:t xml:space="preserve"> between 2017 and 2018 for a</w:t>
      </w:r>
      <w:r w:rsidR="00864EF6" w:rsidRPr="00242CE5">
        <w:rPr>
          <w:rFonts w:cstheme="minorHAnsi"/>
          <w:color w:val="000000" w:themeColor="text1"/>
          <w:lang w:val="en-US"/>
        </w:rPr>
        <w:t xml:space="preserve"> first referral to the neurology service</w:t>
      </w:r>
      <w:r w:rsidR="000851D8" w:rsidRPr="00242CE5">
        <w:rPr>
          <w:rFonts w:cstheme="minorHAnsi"/>
          <w:color w:val="000000" w:themeColor="text1"/>
          <w:lang w:val="en-US"/>
        </w:rPr>
        <w:t xml:space="preserve"> </w:t>
      </w:r>
      <w:r w:rsidRPr="00242CE5">
        <w:rPr>
          <w:rFonts w:cstheme="minorHAnsi"/>
          <w:color w:val="000000" w:themeColor="text1"/>
          <w:lang w:val="en-US"/>
        </w:rPr>
        <w:t xml:space="preserve">was acquired </w:t>
      </w:r>
      <w:r w:rsidR="000851D8" w:rsidRPr="00242CE5">
        <w:rPr>
          <w:rFonts w:cstheme="minorHAnsi"/>
          <w:color w:val="000000" w:themeColor="text1"/>
          <w:lang w:val="en-US"/>
        </w:rPr>
        <w:t>from the hospital records.</w:t>
      </w:r>
      <w:r w:rsidR="00864EF6" w:rsidRPr="00242CE5">
        <w:rPr>
          <w:rFonts w:cstheme="minorHAnsi"/>
          <w:color w:val="000000" w:themeColor="text1"/>
          <w:lang w:val="en-US"/>
        </w:rPr>
        <w:t xml:space="preserve"> </w:t>
      </w:r>
      <w:r w:rsidRPr="00242CE5">
        <w:rPr>
          <w:rFonts w:cstheme="minorHAnsi"/>
          <w:color w:val="000000" w:themeColor="text1"/>
          <w:lang w:val="en-US"/>
        </w:rPr>
        <w:t>The medical records of these cases were then retrieved</w:t>
      </w:r>
      <w:r w:rsidR="00BE7367" w:rsidRPr="00242CE5">
        <w:rPr>
          <w:rFonts w:cstheme="minorHAnsi"/>
          <w:color w:val="000000" w:themeColor="text1"/>
          <w:lang w:val="en-US"/>
        </w:rPr>
        <w:t xml:space="preserve"> and t</w:t>
      </w:r>
      <w:r w:rsidR="000851D8" w:rsidRPr="00242CE5">
        <w:rPr>
          <w:rFonts w:eastAsia="Times New Roman" w:cstheme="minorHAnsi"/>
          <w:color w:val="000000" w:themeColor="text1"/>
        </w:rPr>
        <w:t>he following data was recorded from the patient files: age, sex, breed,</w:t>
      </w:r>
      <w:r w:rsidR="000851D8" w:rsidRPr="00242CE5">
        <w:rPr>
          <w:rFonts w:cstheme="minorHAnsi"/>
          <w:color w:val="000000" w:themeColor="text1"/>
          <w:lang w:val="en-US"/>
        </w:rPr>
        <w:t xml:space="preserve"> </w:t>
      </w:r>
      <w:r w:rsidR="000851D8" w:rsidRPr="00242CE5">
        <w:rPr>
          <w:rFonts w:eastAsia="Times New Roman" w:cstheme="minorHAnsi"/>
          <w:color w:val="000000" w:themeColor="text1"/>
        </w:rPr>
        <w:t>presenting clinical signs, neurological exam</w:t>
      </w:r>
      <w:r w:rsidR="00623248" w:rsidRPr="00242CE5">
        <w:rPr>
          <w:rFonts w:eastAsia="Times New Roman" w:cstheme="minorHAnsi"/>
          <w:color w:val="000000" w:themeColor="text1"/>
        </w:rPr>
        <w:t>ination</w:t>
      </w:r>
      <w:r w:rsidR="005C480B" w:rsidRPr="00242CE5">
        <w:rPr>
          <w:rFonts w:eastAsia="Times New Roman" w:cstheme="minorHAnsi"/>
          <w:color w:val="000000" w:themeColor="text1"/>
        </w:rPr>
        <w:t xml:space="preserve"> findings</w:t>
      </w:r>
      <w:r w:rsidR="000851D8" w:rsidRPr="00242CE5">
        <w:rPr>
          <w:rFonts w:eastAsia="Times New Roman" w:cstheme="minorHAnsi"/>
          <w:color w:val="000000" w:themeColor="text1"/>
        </w:rPr>
        <w:t xml:space="preserve"> and final diagnosis</w:t>
      </w:r>
      <w:r w:rsidR="000851D8" w:rsidRPr="00242CE5">
        <w:rPr>
          <w:rFonts w:cstheme="minorHAnsi"/>
          <w:color w:val="000000" w:themeColor="text1"/>
          <w:lang w:val="en-US"/>
        </w:rPr>
        <w:t xml:space="preserve">. </w:t>
      </w:r>
      <w:r w:rsidR="000851D8" w:rsidRPr="00242CE5">
        <w:rPr>
          <w:rFonts w:eastAsia="Times New Roman" w:cstheme="minorHAnsi"/>
          <w:color w:val="000000" w:themeColor="text1"/>
        </w:rPr>
        <w:t>The presenting clinical signs were those defined by the referring veterinarian as the main complaints at the time of referral. The neurological exam</w:t>
      </w:r>
      <w:r w:rsidR="00623248" w:rsidRPr="00242CE5">
        <w:rPr>
          <w:rFonts w:eastAsia="Times New Roman" w:cstheme="minorHAnsi"/>
          <w:color w:val="000000" w:themeColor="text1"/>
        </w:rPr>
        <w:t>ination</w:t>
      </w:r>
      <w:r w:rsidR="000851D8" w:rsidRPr="00242CE5">
        <w:rPr>
          <w:rFonts w:eastAsia="Times New Roman" w:cstheme="minorHAnsi"/>
          <w:color w:val="000000" w:themeColor="text1"/>
        </w:rPr>
        <w:t xml:space="preserve"> result was recorded as ‘normal’ or ‘abnormal’ based on the </w:t>
      </w:r>
      <w:r w:rsidR="00BE7367" w:rsidRPr="00242CE5">
        <w:rPr>
          <w:rFonts w:eastAsia="Times New Roman" w:cstheme="minorHAnsi"/>
          <w:color w:val="000000" w:themeColor="text1"/>
        </w:rPr>
        <w:t xml:space="preserve">QVSH </w:t>
      </w:r>
      <w:r w:rsidR="000851D8" w:rsidRPr="00242CE5">
        <w:rPr>
          <w:rFonts w:eastAsia="Times New Roman" w:cstheme="minorHAnsi"/>
          <w:color w:val="000000" w:themeColor="text1"/>
        </w:rPr>
        <w:t xml:space="preserve">neurologist’s assessment of all aspects of a regular neurological examination: </w:t>
      </w:r>
      <w:r w:rsidR="005C480B" w:rsidRPr="00242CE5">
        <w:rPr>
          <w:rFonts w:eastAsia="Times New Roman" w:cstheme="minorHAnsi"/>
          <w:color w:val="000000" w:themeColor="text1"/>
        </w:rPr>
        <w:t xml:space="preserve">the evaluation of the animal’s </w:t>
      </w:r>
      <w:r w:rsidR="000851D8" w:rsidRPr="00242CE5">
        <w:rPr>
          <w:color w:val="000000" w:themeColor="text1"/>
          <w:lang w:val="en-US"/>
        </w:rPr>
        <w:t>mentation</w:t>
      </w:r>
      <w:r w:rsidR="005C480B" w:rsidRPr="00242CE5">
        <w:rPr>
          <w:color w:val="000000" w:themeColor="text1"/>
          <w:lang w:val="en-US"/>
        </w:rPr>
        <w:t xml:space="preserve">, </w:t>
      </w:r>
      <w:r w:rsidR="000851D8" w:rsidRPr="00242CE5">
        <w:rPr>
          <w:color w:val="000000" w:themeColor="text1"/>
          <w:lang w:val="en-US"/>
        </w:rPr>
        <w:t>behavio</w:t>
      </w:r>
      <w:r w:rsidR="005C480B" w:rsidRPr="00242CE5">
        <w:rPr>
          <w:color w:val="000000" w:themeColor="text1"/>
          <w:lang w:val="en-US"/>
        </w:rPr>
        <w:t>u</w:t>
      </w:r>
      <w:r w:rsidR="000851D8" w:rsidRPr="00242CE5">
        <w:rPr>
          <w:color w:val="000000" w:themeColor="text1"/>
          <w:lang w:val="en-US"/>
        </w:rPr>
        <w:t>r</w:t>
      </w:r>
      <w:r w:rsidR="000851D8" w:rsidRPr="00242CE5">
        <w:rPr>
          <w:rFonts w:eastAsia="Times New Roman" w:cstheme="minorHAnsi"/>
          <w:color w:val="000000" w:themeColor="text1"/>
        </w:rPr>
        <w:t xml:space="preserve">, </w:t>
      </w:r>
      <w:r w:rsidR="000851D8" w:rsidRPr="00242CE5">
        <w:rPr>
          <w:color w:val="000000" w:themeColor="text1"/>
          <w:lang w:val="en-US"/>
        </w:rPr>
        <w:t>posture</w:t>
      </w:r>
      <w:r w:rsidR="005C480B" w:rsidRPr="00242CE5">
        <w:rPr>
          <w:color w:val="000000" w:themeColor="text1"/>
          <w:lang w:val="en-US"/>
        </w:rPr>
        <w:t xml:space="preserve">, </w:t>
      </w:r>
      <w:r w:rsidR="000851D8" w:rsidRPr="00242CE5">
        <w:rPr>
          <w:color w:val="000000" w:themeColor="text1"/>
          <w:lang w:val="en-US"/>
        </w:rPr>
        <w:t>gait, postural reactions, spinal reflexes</w:t>
      </w:r>
      <w:r w:rsidR="000851D8" w:rsidRPr="00242CE5">
        <w:rPr>
          <w:rFonts w:eastAsia="Times New Roman" w:cstheme="minorHAnsi"/>
          <w:color w:val="000000" w:themeColor="text1"/>
        </w:rPr>
        <w:t xml:space="preserve">, </w:t>
      </w:r>
      <w:r w:rsidR="000851D8" w:rsidRPr="00242CE5">
        <w:rPr>
          <w:color w:val="000000" w:themeColor="text1"/>
          <w:lang w:val="en-US"/>
        </w:rPr>
        <w:t>cranial nerves</w:t>
      </w:r>
      <w:r w:rsidR="005C480B" w:rsidRPr="00242CE5">
        <w:rPr>
          <w:color w:val="000000" w:themeColor="text1"/>
        </w:rPr>
        <w:t xml:space="preserve"> as well as </w:t>
      </w:r>
      <w:r w:rsidR="000851D8" w:rsidRPr="00242CE5">
        <w:rPr>
          <w:color w:val="000000" w:themeColor="text1"/>
          <w:lang w:val="en-US"/>
        </w:rPr>
        <w:t>palpation.</w:t>
      </w:r>
      <w:r w:rsidR="000851D8" w:rsidRPr="00242CE5">
        <w:rPr>
          <w:rFonts w:eastAsia="Times New Roman" w:cstheme="minorHAnsi"/>
          <w:color w:val="000000" w:themeColor="text1"/>
        </w:rPr>
        <w:t xml:space="preserve"> </w:t>
      </w:r>
      <w:r w:rsidR="008D52ED" w:rsidRPr="00242CE5">
        <w:rPr>
          <w:rFonts w:eastAsia="Times New Roman" w:cstheme="minorHAnsi"/>
          <w:color w:val="000000" w:themeColor="text1"/>
        </w:rPr>
        <w:t xml:space="preserve">Each case was seen </w:t>
      </w:r>
      <w:r w:rsidR="00396DAD" w:rsidRPr="00242CE5">
        <w:rPr>
          <w:rFonts w:eastAsia="Times New Roman" w:cstheme="minorHAnsi"/>
          <w:color w:val="000000" w:themeColor="text1"/>
        </w:rPr>
        <w:t>under the supervision of</w:t>
      </w:r>
      <w:r w:rsidR="008D52ED" w:rsidRPr="00242CE5">
        <w:rPr>
          <w:rFonts w:eastAsia="Times New Roman" w:cstheme="minorHAnsi"/>
          <w:color w:val="000000" w:themeColor="text1"/>
        </w:rPr>
        <w:t xml:space="preserve"> a board-certified neurologist.</w:t>
      </w:r>
      <w:r w:rsidR="002E37AF" w:rsidRPr="00242CE5">
        <w:rPr>
          <w:rFonts w:eastAsia="Times New Roman" w:cstheme="minorHAnsi"/>
          <w:color w:val="000000" w:themeColor="text1"/>
        </w:rPr>
        <w:t xml:space="preserve"> </w:t>
      </w:r>
    </w:p>
    <w:p w14:paraId="3D67DD12" w14:textId="77777777" w:rsidR="00AF1FED" w:rsidRPr="00242CE5" w:rsidRDefault="00AF1FED" w:rsidP="000851D8">
      <w:pPr>
        <w:jc w:val="both"/>
        <w:rPr>
          <w:rFonts w:eastAsia="Times New Roman" w:cstheme="minorHAnsi"/>
          <w:color w:val="000000" w:themeColor="text1"/>
        </w:rPr>
      </w:pPr>
    </w:p>
    <w:p w14:paraId="37472D46" w14:textId="77777777" w:rsidR="000851D8" w:rsidRPr="00242CE5" w:rsidRDefault="000851D8" w:rsidP="000851D8">
      <w:pPr>
        <w:jc w:val="both"/>
        <w:rPr>
          <w:rFonts w:eastAsia="Times New Roman" w:cstheme="minorHAnsi"/>
          <w:b/>
          <w:color w:val="000000" w:themeColor="text1"/>
        </w:rPr>
      </w:pPr>
      <w:r w:rsidRPr="00242CE5">
        <w:rPr>
          <w:rFonts w:eastAsia="Times New Roman" w:cstheme="minorHAnsi"/>
          <w:b/>
          <w:color w:val="000000" w:themeColor="text1"/>
        </w:rPr>
        <w:t>Classification of cases</w:t>
      </w:r>
    </w:p>
    <w:p w14:paraId="40A0B55D" w14:textId="6C131481" w:rsidR="000851D8" w:rsidRPr="00242CE5" w:rsidRDefault="000851D8" w:rsidP="000851D8">
      <w:pPr>
        <w:jc w:val="both"/>
        <w:rPr>
          <w:rFonts w:eastAsia="Times New Roman" w:cstheme="minorHAnsi"/>
          <w:color w:val="000000" w:themeColor="text1"/>
        </w:rPr>
      </w:pPr>
      <w:r w:rsidRPr="00242CE5">
        <w:rPr>
          <w:rFonts w:eastAsia="Times New Roman" w:cstheme="minorHAnsi"/>
          <w:color w:val="000000" w:themeColor="text1"/>
        </w:rPr>
        <w:t xml:space="preserve">The final diagnosis </w:t>
      </w:r>
      <w:r w:rsidR="00864EF6" w:rsidRPr="00242CE5">
        <w:rPr>
          <w:rFonts w:eastAsia="Times New Roman" w:cstheme="minorHAnsi"/>
          <w:color w:val="000000" w:themeColor="text1"/>
        </w:rPr>
        <w:t>stated i</w:t>
      </w:r>
      <w:r w:rsidRPr="00242CE5">
        <w:rPr>
          <w:rFonts w:eastAsia="Times New Roman" w:cstheme="minorHAnsi"/>
          <w:color w:val="000000" w:themeColor="text1"/>
        </w:rPr>
        <w:t>n the</w:t>
      </w:r>
      <w:r w:rsidR="00864EF6" w:rsidRPr="00242CE5">
        <w:rPr>
          <w:rFonts w:eastAsia="Times New Roman" w:cstheme="minorHAnsi"/>
          <w:color w:val="000000" w:themeColor="text1"/>
        </w:rPr>
        <w:t xml:space="preserve"> report to the referring veterinary surgeon</w:t>
      </w:r>
      <w:r w:rsidRPr="00242CE5">
        <w:rPr>
          <w:rFonts w:eastAsia="Times New Roman" w:cstheme="minorHAnsi"/>
          <w:color w:val="000000" w:themeColor="text1"/>
        </w:rPr>
        <w:t xml:space="preserve"> was used to classify conditions as (1) primary neurological, (2) non-neurological in origin but with neurological clinical manifestation, (3) non-neurological in origin or in clinical manifestation</w:t>
      </w:r>
      <w:r w:rsidR="005C480B" w:rsidRPr="00242CE5">
        <w:rPr>
          <w:rFonts w:eastAsia="Times New Roman" w:cstheme="minorHAnsi"/>
          <w:color w:val="000000" w:themeColor="text1"/>
        </w:rPr>
        <w:t xml:space="preserve"> (</w:t>
      </w:r>
      <w:r w:rsidRPr="00242CE5">
        <w:rPr>
          <w:rFonts w:eastAsia="Times New Roman" w:cstheme="minorHAnsi"/>
          <w:color w:val="000000" w:themeColor="text1"/>
        </w:rPr>
        <w:t>neurological mimics</w:t>
      </w:r>
      <w:r w:rsidR="005C480B" w:rsidRPr="00242CE5">
        <w:rPr>
          <w:rFonts w:eastAsia="Times New Roman" w:cstheme="minorHAnsi"/>
          <w:color w:val="000000" w:themeColor="text1"/>
        </w:rPr>
        <w:t>)</w:t>
      </w:r>
      <w:r w:rsidRPr="00242CE5">
        <w:rPr>
          <w:rFonts w:eastAsia="Times New Roman" w:cstheme="minorHAnsi"/>
          <w:color w:val="000000" w:themeColor="text1"/>
        </w:rPr>
        <w:t xml:space="preserve"> and (4) undiagnosed. The first category</w:t>
      </w:r>
      <w:r w:rsidR="005C480B" w:rsidRPr="00242CE5">
        <w:rPr>
          <w:rFonts w:eastAsia="Times New Roman" w:cstheme="minorHAnsi"/>
          <w:color w:val="000000" w:themeColor="text1"/>
        </w:rPr>
        <w:t xml:space="preserve"> (</w:t>
      </w:r>
      <w:r w:rsidRPr="00242CE5">
        <w:rPr>
          <w:rFonts w:eastAsia="Times New Roman" w:cstheme="minorHAnsi"/>
          <w:color w:val="000000" w:themeColor="text1"/>
          <w:szCs w:val="18"/>
        </w:rPr>
        <w:t>primary neurological conditions</w:t>
      </w:r>
      <w:r w:rsidR="005C480B" w:rsidRPr="00242CE5">
        <w:rPr>
          <w:rFonts w:eastAsia="Times New Roman" w:cstheme="minorHAnsi"/>
          <w:color w:val="000000" w:themeColor="text1"/>
          <w:szCs w:val="18"/>
        </w:rPr>
        <w:t>)</w:t>
      </w:r>
      <w:r w:rsidRPr="00242CE5">
        <w:rPr>
          <w:rFonts w:eastAsia="Times New Roman" w:cstheme="minorHAnsi"/>
          <w:color w:val="000000" w:themeColor="text1"/>
          <w:szCs w:val="18"/>
        </w:rPr>
        <w:t>, were defined as any disease originating from the nervous system itself, including both central and peripheral nervous system</w:t>
      </w:r>
      <w:r w:rsidR="005C480B" w:rsidRPr="00242CE5">
        <w:rPr>
          <w:rFonts w:eastAsia="Times New Roman" w:cstheme="minorHAnsi"/>
          <w:color w:val="000000" w:themeColor="text1"/>
          <w:szCs w:val="18"/>
        </w:rPr>
        <w:t>s</w:t>
      </w:r>
      <w:r w:rsidRPr="00242CE5">
        <w:rPr>
          <w:rFonts w:eastAsia="Times New Roman" w:cstheme="minorHAnsi"/>
          <w:color w:val="000000" w:themeColor="text1"/>
          <w:szCs w:val="18"/>
        </w:rPr>
        <w:t xml:space="preserve">. If multiple underlying problems occurred simultaneously, one of which was neurological in origin, the case was categorised as primary neurological, as it was considered referred to the </w:t>
      </w:r>
      <w:r w:rsidRPr="00242CE5">
        <w:rPr>
          <w:rFonts w:eastAsia="Times New Roman" w:cstheme="minorHAnsi"/>
          <w:color w:val="000000" w:themeColor="text1"/>
          <w:szCs w:val="18"/>
        </w:rPr>
        <w:lastRenderedPageBreak/>
        <w:t>correct department.</w:t>
      </w:r>
      <w:r w:rsidR="002235A4" w:rsidRPr="00242CE5">
        <w:rPr>
          <w:rFonts w:eastAsia="Times New Roman" w:cstheme="minorHAnsi"/>
          <w:color w:val="000000" w:themeColor="text1"/>
          <w:szCs w:val="18"/>
        </w:rPr>
        <w:t xml:space="preserve"> </w:t>
      </w:r>
      <w:r w:rsidRPr="00242CE5">
        <w:rPr>
          <w:rFonts w:eastAsia="Times New Roman" w:cstheme="minorHAnsi"/>
          <w:color w:val="000000" w:themeColor="text1"/>
          <w:szCs w:val="18"/>
        </w:rPr>
        <w:t>The second category included cases that had a neurological clinical manifestation</w:t>
      </w:r>
      <w:r w:rsidR="002E37AF" w:rsidRPr="00242CE5">
        <w:rPr>
          <w:rFonts w:eastAsia="Times New Roman" w:cstheme="minorHAnsi"/>
          <w:color w:val="000000" w:themeColor="text1"/>
          <w:szCs w:val="18"/>
        </w:rPr>
        <w:t>,</w:t>
      </w:r>
      <w:r w:rsidRPr="00242CE5">
        <w:rPr>
          <w:rFonts w:eastAsia="Times New Roman" w:cstheme="minorHAnsi"/>
          <w:color w:val="000000" w:themeColor="text1"/>
          <w:szCs w:val="18"/>
        </w:rPr>
        <w:t xml:space="preserve"> but the origin of the disorder was not within the nervous system</w:t>
      </w:r>
      <w:r w:rsidR="005C480B" w:rsidRPr="00242CE5">
        <w:rPr>
          <w:rFonts w:eastAsia="Times New Roman" w:cstheme="minorHAnsi"/>
          <w:color w:val="000000" w:themeColor="text1"/>
          <w:szCs w:val="18"/>
        </w:rPr>
        <w:t>;</w:t>
      </w:r>
      <w:r w:rsidR="008D52ED" w:rsidRPr="00242CE5">
        <w:rPr>
          <w:rFonts w:eastAsia="Times New Roman" w:cstheme="minorHAnsi"/>
          <w:color w:val="000000" w:themeColor="text1"/>
          <w:szCs w:val="18"/>
        </w:rPr>
        <w:t xml:space="preserve"> f</w:t>
      </w:r>
      <w:r w:rsidRPr="00242CE5">
        <w:rPr>
          <w:rFonts w:eastAsia="Times New Roman" w:cstheme="minorHAnsi"/>
          <w:color w:val="000000" w:themeColor="text1"/>
          <w:szCs w:val="18"/>
        </w:rPr>
        <w:t xml:space="preserve">or example, portosystemic shunt resulting in </w:t>
      </w:r>
      <w:r w:rsidR="002E37AF" w:rsidRPr="00242CE5">
        <w:rPr>
          <w:rFonts w:eastAsia="Times New Roman" w:cstheme="minorHAnsi"/>
          <w:color w:val="000000" w:themeColor="text1"/>
          <w:szCs w:val="18"/>
        </w:rPr>
        <w:t xml:space="preserve">signs of hepatic </w:t>
      </w:r>
      <w:r w:rsidRPr="00242CE5">
        <w:rPr>
          <w:rFonts w:eastAsia="Times New Roman" w:cstheme="minorHAnsi"/>
          <w:color w:val="000000" w:themeColor="text1"/>
          <w:szCs w:val="18"/>
        </w:rPr>
        <w:t>encephalopath</w:t>
      </w:r>
      <w:r w:rsidR="002E37AF" w:rsidRPr="00242CE5">
        <w:rPr>
          <w:rFonts w:eastAsia="Times New Roman" w:cstheme="minorHAnsi"/>
          <w:color w:val="000000" w:themeColor="text1"/>
          <w:szCs w:val="18"/>
        </w:rPr>
        <w:t>y</w:t>
      </w:r>
      <w:r w:rsidRPr="00242CE5">
        <w:rPr>
          <w:rFonts w:eastAsia="Times New Roman" w:cstheme="minorHAnsi"/>
          <w:color w:val="000000" w:themeColor="text1"/>
        </w:rPr>
        <w:t>.</w:t>
      </w:r>
      <w:r w:rsidRPr="00242CE5">
        <w:rPr>
          <w:rFonts w:eastAsia="Times New Roman" w:cstheme="minorHAnsi"/>
          <w:color w:val="000000" w:themeColor="text1"/>
          <w:szCs w:val="18"/>
        </w:rPr>
        <w:t xml:space="preserve"> The third category did not involve the </w:t>
      </w:r>
      <w:r w:rsidR="005C480B" w:rsidRPr="00242CE5">
        <w:rPr>
          <w:rFonts w:eastAsia="Times New Roman" w:cstheme="minorHAnsi"/>
          <w:color w:val="000000" w:themeColor="text1"/>
          <w:szCs w:val="18"/>
        </w:rPr>
        <w:t>nervous</w:t>
      </w:r>
      <w:r w:rsidRPr="00242CE5">
        <w:rPr>
          <w:rFonts w:eastAsia="Times New Roman" w:cstheme="minorHAnsi"/>
          <w:color w:val="000000" w:themeColor="text1"/>
          <w:szCs w:val="18"/>
        </w:rPr>
        <w:t xml:space="preserve"> system, </w:t>
      </w:r>
      <w:r w:rsidR="002E37AF" w:rsidRPr="00242CE5">
        <w:rPr>
          <w:rFonts w:eastAsia="Times New Roman" w:cstheme="minorHAnsi"/>
          <w:color w:val="000000" w:themeColor="text1"/>
          <w:szCs w:val="18"/>
        </w:rPr>
        <w:t xml:space="preserve">with these </w:t>
      </w:r>
      <w:r w:rsidR="003C642A" w:rsidRPr="00242CE5">
        <w:rPr>
          <w:rFonts w:eastAsia="Times New Roman" w:cstheme="minorHAnsi"/>
          <w:color w:val="000000" w:themeColor="text1"/>
          <w:szCs w:val="18"/>
        </w:rPr>
        <w:t>referred</w:t>
      </w:r>
      <w:r w:rsidR="002E37AF" w:rsidRPr="00242CE5">
        <w:rPr>
          <w:rFonts w:eastAsia="Times New Roman" w:cstheme="minorHAnsi"/>
          <w:color w:val="000000" w:themeColor="text1"/>
          <w:szCs w:val="18"/>
        </w:rPr>
        <w:t xml:space="preserve"> to as </w:t>
      </w:r>
      <w:r w:rsidRPr="00242CE5">
        <w:rPr>
          <w:rFonts w:eastAsia="Times New Roman" w:cstheme="minorHAnsi"/>
          <w:color w:val="000000" w:themeColor="text1"/>
          <w:szCs w:val="18"/>
        </w:rPr>
        <w:t>neurological mimics: for example, when the final diagnosis was an orthopaedic disease.</w:t>
      </w:r>
      <w:r w:rsidR="00864EF6" w:rsidRPr="00242CE5">
        <w:rPr>
          <w:rFonts w:eastAsia="Times New Roman" w:cstheme="minorHAnsi"/>
          <w:color w:val="000000" w:themeColor="text1"/>
          <w:szCs w:val="18"/>
        </w:rPr>
        <w:t xml:space="preserve"> All neurological mimics were internally referred </w:t>
      </w:r>
      <w:r w:rsidR="004C67DC" w:rsidRPr="00242CE5">
        <w:rPr>
          <w:rFonts w:eastAsia="Times New Roman" w:cstheme="minorHAnsi"/>
          <w:color w:val="000000" w:themeColor="text1"/>
          <w:szCs w:val="18"/>
        </w:rPr>
        <w:t xml:space="preserve">from neurology </w:t>
      </w:r>
      <w:r w:rsidR="00864EF6" w:rsidRPr="00242CE5">
        <w:rPr>
          <w:rFonts w:eastAsia="Times New Roman" w:cstheme="minorHAnsi"/>
          <w:color w:val="000000" w:themeColor="text1"/>
          <w:szCs w:val="18"/>
        </w:rPr>
        <w:t>to another hospital service.</w:t>
      </w:r>
      <w:r w:rsidRPr="00242CE5">
        <w:rPr>
          <w:rFonts w:eastAsia="Times New Roman" w:cstheme="minorHAnsi"/>
          <w:color w:val="000000" w:themeColor="text1"/>
          <w:szCs w:val="18"/>
        </w:rPr>
        <w:t xml:space="preserve"> Finally, if a definitive diagnosis was not reached, cases were categorised as ‘undiagnosed’.</w:t>
      </w:r>
      <w:r w:rsidRPr="00242CE5">
        <w:rPr>
          <w:rFonts w:eastAsia="Times New Roman" w:cstheme="minorHAnsi"/>
          <w:color w:val="000000" w:themeColor="text1"/>
        </w:rPr>
        <w:t xml:space="preserve"> </w:t>
      </w:r>
      <w:r w:rsidRPr="00242CE5">
        <w:rPr>
          <w:color w:val="000000" w:themeColor="text1"/>
        </w:rPr>
        <w:t xml:space="preserve">This consisted of cases for which no cause of clinical signs could be identified, as well as those with a suspected cause but no definitive diagnosis due to limited investigations or lack of follow-up data.  </w:t>
      </w:r>
      <w:r w:rsidR="00234F04" w:rsidRPr="00242CE5">
        <w:rPr>
          <w:color w:val="000000" w:themeColor="text1"/>
        </w:rPr>
        <w:t xml:space="preserve">By defining categories as such, and placing suspected diagnoses within the undiagnosed category, bias towards whether a condition was classed as neurological or non-neurological was avoided. </w:t>
      </w:r>
      <w:r w:rsidRPr="00242CE5">
        <w:rPr>
          <w:rFonts w:eastAsia="Times New Roman" w:cstheme="minorHAnsi"/>
          <w:color w:val="000000" w:themeColor="text1"/>
        </w:rPr>
        <w:t>The percentage of each category per total number of cases seen by the neurology department was calculated.</w:t>
      </w:r>
    </w:p>
    <w:p w14:paraId="743C5F7B" w14:textId="77777777" w:rsidR="00AF1FED" w:rsidRPr="00242CE5" w:rsidRDefault="00AF1FED" w:rsidP="000851D8">
      <w:pPr>
        <w:jc w:val="both"/>
        <w:rPr>
          <w:rFonts w:eastAsia="Times New Roman" w:cstheme="minorHAnsi"/>
          <w:color w:val="000000" w:themeColor="text1"/>
        </w:rPr>
      </w:pPr>
    </w:p>
    <w:p w14:paraId="705A8FF1" w14:textId="77777777" w:rsidR="000851D8" w:rsidRPr="00242CE5" w:rsidRDefault="000851D8" w:rsidP="000851D8">
      <w:pPr>
        <w:jc w:val="both"/>
        <w:rPr>
          <w:rFonts w:eastAsia="Times New Roman" w:cstheme="minorHAnsi"/>
          <w:b/>
          <w:color w:val="000000" w:themeColor="text1"/>
        </w:rPr>
      </w:pPr>
      <w:r w:rsidRPr="00242CE5">
        <w:rPr>
          <w:rFonts w:eastAsia="Times New Roman" w:cstheme="minorHAnsi"/>
          <w:b/>
          <w:color w:val="000000" w:themeColor="text1"/>
        </w:rPr>
        <w:t>Statistical analysis</w:t>
      </w:r>
    </w:p>
    <w:p w14:paraId="5D51049D" w14:textId="39405AC2" w:rsidR="000851D8" w:rsidRPr="00242CE5" w:rsidRDefault="00AC5560" w:rsidP="000851D8">
      <w:pPr>
        <w:jc w:val="both"/>
        <w:rPr>
          <w:color w:val="000000" w:themeColor="text1"/>
        </w:rPr>
      </w:pPr>
      <w:r w:rsidRPr="00242CE5">
        <w:rPr>
          <w:color w:val="000000" w:themeColor="text1"/>
        </w:rPr>
        <w:t xml:space="preserve">For statistical analysis, we compared primary neurological cases with neurological mimics, omitting non-neurological conditions with neurological clinical manifestation, with the aim to obtain a clear-cut distinction between true primary neurological cases and true non-neurological conditions, without the confusion of the overlap group. </w:t>
      </w:r>
      <w:r w:rsidR="000851D8" w:rsidRPr="00242CE5">
        <w:rPr>
          <w:color w:val="000000" w:themeColor="text1"/>
        </w:rPr>
        <w:t xml:space="preserve">For categorical statistical comparisons, either </w:t>
      </w:r>
      <w:r w:rsidR="000851D8" w:rsidRPr="00242CE5">
        <w:rPr>
          <w:rFonts w:eastAsia="Times New Roman" w:cstheme="minorHAnsi"/>
          <w:color w:val="000000" w:themeColor="text1"/>
        </w:rPr>
        <w:t xml:space="preserve">the Chi-square test (for those with expected values of &gt;5) or Fisher’s exact test (for those with values </w:t>
      </w:r>
      <w:r w:rsidR="000851D8" w:rsidRPr="00242CE5">
        <w:rPr>
          <w:rFonts w:eastAsia="Times New Roman" w:cstheme="minorHAnsi"/>
          <w:color w:val="000000" w:themeColor="text1"/>
        </w:rPr>
        <w:sym w:font="Symbol" w:char="F0A3"/>
      </w:r>
      <w:r w:rsidR="000851D8" w:rsidRPr="00242CE5">
        <w:rPr>
          <w:rFonts w:eastAsia="Times New Roman" w:cstheme="minorHAnsi"/>
          <w:color w:val="000000" w:themeColor="text1"/>
        </w:rPr>
        <w:t xml:space="preserve"> 5) [</w:t>
      </w:r>
      <w:r w:rsidR="00061443" w:rsidRPr="00242CE5">
        <w:rPr>
          <w:rFonts w:eastAsia="Times New Roman" w:cstheme="minorHAnsi"/>
          <w:color w:val="000000" w:themeColor="text1"/>
        </w:rPr>
        <w:t>9</w:t>
      </w:r>
      <w:r w:rsidR="000851D8" w:rsidRPr="00242CE5">
        <w:rPr>
          <w:rFonts w:eastAsia="Times New Roman" w:cstheme="minorHAnsi"/>
          <w:color w:val="000000" w:themeColor="text1"/>
        </w:rPr>
        <w:t>]</w:t>
      </w:r>
      <w:r w:rsidR="0030689B" w:rsidRPr="00242CE5">
        <w:rPr>
          <w:rFonts w:eastAsia="Times New Roman" w:cstheme="minorHAnsi"/>
          <w:color w:val="000000" w:themeColor="text1"/>
        </w:rPr>
        <w:t xml:space="preserve"> was used</w:t>
      </w:r>
      <w:r w:rsidR="000851D8" w:rsidRPr="00242CE5">
        <w:rPr>
          <w:rFonts w:eastAsia="Times New Roman" w:cstheme="minorHAnsi"/>
          <w:color w:val="000000" w:themeColor="text1"/>
        </w:rPr>
        <w:t>. P-values less than 0.05 were considered significant. When multiple factors were analysed, a Bonferoni’s correction to the P-value was applied [</w:t>
      </w:r>
      <w:r w:rsidR="00061443" w:rsidRPr="00242CE5">
        <w:rPr>
          <w:rFonts w:eastAsia="Times New Roman" w:cstheme="minorHAnsi"/>
          <w:color w:val="000000" w:themeColor="text1"/>
        </w:rPr>
        <w:t>10</w:t>
      </w:r>
      <w:r w:rsidR="000851D8" w:rsidRPr="00242CE5">
        <w:rPr>
          <w:rFonts w:eastAsia="Times New Roman" w:cstheme="minorHAnsi"/>
          <w:color w:val="000000" w:themeColor="text1"/>
        </w:rPr>
        <w:t xml:space="preserve">]. Odd’s </w:t>
      </w:r>
      <w:r w:rsidR="0093634F" w:rsidRPr="00242CE5">
        <w:rPr>
          <w:rFonts w:eastAsia="Times New Roman" w:cstheme="minorHAnsi"/>
          <w:color w:val="000000" w:themeColor="text1"/>
        </w:rPr>
        <w:t>r</w:t>
      </w:r>
      <w:r w:rsidR="000851D8" w:rsidRPr="00242CE5">
        <w:rPr>
          <w:rFonts w:eastAsia="Times New Roman" w:cstheme="minorHAnsi"/>
          <w:color w:val="000000" w:themeColor="text1"/>
        </w:rPr>
        <w:t xml:space="preserve">atio and </w:t>
      </w:r>
      <w:r w:rsidR="0093634F" w:rsidRPr="00242CE5">
        <w:rPr>
          <w:rFonts w:eastAsia="Times New Roman" w:cstheme="minorHAnsi"/>
          <w:color w:val="000000" w:themeColor="text1"/>
        </w:rPr>
        <w:lastRenderedPageBreak/>
        <w:t>r</w:t>
      </w:r>
      <w:r w:rsidR="000851D8" w:rsidRPr="00242CE5">
        <w:rPr>
          <w:rFonts w:eastAsia="Times New Roman" w:cstheme="minorHAnsi"/>
          <w:color w:val="000000" w:themeColor="text1"/>
        </w:rPr>
        <w:t xml:space="preserve">elative </w:t>
      </w:r>
      <w:r w:rsidR="0093634F" w:rsidRPr="00242CE5">
        <w:rPr>
          <w:rFonts w:eastAsia="Times New Roman" w:cstheme="minorHAnsi"/>
          <w:color w:val="000000" w:themeColor="text1"/>
        </w:rPr>
        <w:t>r</w:t>
      </w:r>
      <w:r w:rsidR="000851D8" w:rsidRPr="00242CE5">
        <w:rPr>
          <w:rFonts w:eastAsia="Times New Roman" w:cstheme="minorHAnsi"/>
          <w:color w:val="000000" w:themeColor="text1"/>
        </w:rPr>
        <w:t>isk</w:t>
      </w:r>
      <w:r w:rsidR="00C965F5" w:rsidRPr="00242CE5">
        <w:rPr>
          <w:rFonts w:eastAsia="Times New Roman" w:cstheme="minorHAnsi"/>
          <w:color w:val="000000" w:themeColor="text1"/>
        </w:rPr>
        <w:t xml:space="preserve"> ratio,</w:t>
      </w:r>
      <w:r w:rsidR="000851D8" w:rsidRPr="00242CE5">
        <w:rPr>
          <w:rFonts w:eastAsia="Times New Roman" w:cstheme="minorHAnsi"/>
          <w:color w:val="000000" w:themeColor="text1"/>
        </w:rPr>
        <w:t xml:space="preserve"> </w:t>
      </w:r>
      <w:r w:rsidR="00EA0CF4" w:rsidRPr="00242CE5">
        <w:rPr>
          <w:rFonts w:eastAsia="Times New Roman" w:cstheme="minorHAnsi"/>
          <w:color w:val="000000" w:themeColor="text1"/>
        </w:rPr>
        <w:t>with confidence intervals</w:t>
      </w:r>
      <w:r w:rsidR="00C965F5" w:rsidRPr="00242CE5">
        <w:rPr>
          <w:rFonts w:eastAsia="Times New Roman" w:cstheme="minorHAnsi"/>
          <w:color w:val="000000" w:themeColor="text1"/>
        </w:rPr>
        <w:t>,</w:t>
      </w:r>
      <w:r w:rsidR="00EA0CF4" w:rsidRPr="00242CE5">
        <w:rPr>
          <w:rFonts w:eastAsia="Times New Roman" w:cstheme="minorHAnsi"/>
          <w:color w:val="000000" w:themeColor="text1"/>
        </w:rPr>
        <w:t xml:space="preserve"> </w:t>
      </w:r>
      <w:r w:rsidR="000851D8" w:rsidRPr="00242CE5">
        <w:rPr>
          <w:rFonts w:eastAsia="Times New Roman" w:cstheme="minorHAnsi"/>
          <w:color w:val="000000" w:themeColor="text1"/>
        </w:rPr>
        <w:t xml:space="preserve">were calculated where significant associations were found. MATLAB </w:t>
      </w:r>
      <w:r w:rsidR="004C67DC" w:rsidRPr="00242CE5">
        <w:rPr>
          <w:rFonts w:eastAsia="Times New Roman" w:cstheme="minorHAnsi"/>
          <w:color w:val="000000" w:themeColor="text1"/>
        </w:rPr>
        <w:t xml:space="preserve">ver. </w:t>
      </w:r>
      <w:r w:rsidR="000851D8" w:rsidRPr="00242CE5">
        <w:rPr>
          <w:rFonts w:eastAsia="Times New Roman" w:cstheme="minorHAnsi"/>
          <w:color w:val="000000" w:themeColor="text1"/>
        </w:rPr>
        <w:t>R2020a was used to create figures.</w:t>
      </w:r>
    </w:p>
    <w:p w14:paraId="082AE2D1" w14:textId="77777777" w:rsidR="000851D8" w:rsidRPr="00242CE5" w:rsidRDefault="000851D8" w:rsidP="000851D8">
      <w:pPr>
        <w:jc w:val="both"/>
        <w:rPr>
          <w:color w:val="000000" w:themeColor="text1"/>
        </w:rPr>
      </w:pPr>
    </w:p>
    <w:p w14:paraId="704C0EFD" w14:textId="77777777" w:rsidR="000851D8" w:rsidRPr="00242CE5" w:rsidRDefault="000851D8" w:rsidP="000851D8">
      <w:pPr>
        <w:jc w:val="both"/>
        <w:rPr>
          <w:b/>
          <w:color w:val="000000" w:themeColor="text1"/>
          <w:sz w:val="26"/>
          <w:szCs w:val="26"/>
        </w:rPr>
      </w:pPr>
      <w:r w:rsidRPr="00242CE5">
        <w:rPr>
          <w:b/>
          <w:color w:val="000000" w:themeColor="text1"/>
          <w:sz w:val="26"/>
          <w:szCs w:val="26"/>
        </w:rPr>
        <w:t>RESULTS</w:t>
      </w:r>
    </w:p>
    <w:p w14:paraId="30E8006A" w14:textId="77777777" w:rsidR="000851D8" w:rsidRPr="00242CE5" w:rsidRDefault="000851D8" w:rsidP="000851D8">
      <w:pPr>
        <w:jc w:val="both"/>
        <w:rPr>
          <w:b/>
          <w:color w:val="000000" w:themeColor="text1"/>
          <w:sz w:val="26"/>
          <w:szCs w:val="26"/>
        </w:rPr>
      </w:pPr>
      <w:r w:rsidRPr="00242CE5">
        <w:rPr>
          <w:b/>
          <w:color w:val="000000" w:themeColor="text1"/>
          <w:sz w:val="26"/>
          <w:szCs w:val="26"/>
        </w:rPr>
        <w:t>Cases</w:t>
      </w:r>
    </w:p>
    <w:p w14:paraId="01AED26E" w14:textId="021BFB9A" w:rsidR="00864EF6" w:rsidRPr="00242CE5" w:rsidRDefault="000851D8" w:rsidP="000851D8">
      <w:pPr>
        <w:jc w:val="both"/>
        <w:rPr>
          <w:color w:val="000000" w:themeColor="text1"/>
        </w:rPr>
      </w:pPr>
      <w:r w:rsidRPr="00242CE5">
        <w:rPr>
          <w:bCs/>
          <w:color w:val="000000" w:themeColor="text1"/>
        </w:rPr>
        <w:t xml:space="preserve">Data </w:t>
      </w:r>
      <w:r w:rsidR="0030689B" w:rsidRPr="00242CE5">
        <w:rPr>
          <w:bCs/>
          <w:color w:val="000000" w:themeColor="text1"/>
        </w:rPr>
        <w:t>of</w:t>
      </w:r>
      <w:r w:rsidRPr="00242CE5">
        <w:rPr>
          <w:bCs/>
          <w:color w:val="000000" w:themeColor="text1"/>
        </w:rPr>
        <w:t xml:space="preserve"> 520</w:t>
      </w:r>
      <w:r w:rsidRPr="00242CE5">
        <w:rPr>
          <w:color w:val="000000" w:themeColor="text1"/>
        </w:rPr>
        <w:t xml:space="preserve"> cases referr</w:t>
      </w:r>
      <w:r w:rsidR="00790192" w:rsidRPr="00242CE5">
        <w:rPr>
          <w:color w:val="000000" w:themeColor="text1"/>
        </w:rPr>
        <w:t>ed to the neurology service at</w:t>
      </w:r>
      <w:r w:rsidRPr="00242CE5">
        <w:rPr>
          <w:color w:val="000000" w:themeColor="text1"/>
        </w:rPr>
        <w:t xml:space="preserve"> the </w:t>
      </w:r>
      <w:r w:rsidR="0030689B" w:rsidRPr="00242CE5">
        <w:rPr>
          <w:color w:val="000000" w:themeColor="text1"/>
        </w:rPr>
        <w:t>QVSH</w:t>
      </w:r>
      <w:r w:rsidRPr="00242CE5">
        <w:rPr>
          <w:color w:val="000000" w:themeColor="text1"/>
        </w:rPr>
        <w:t xml:space="preserve"> between 2017 and 2018</w:t>
      </w:r>
      <w:r w:rsidR="005004BE" w:rsidRPr="00242CE5">
        <w:rPr>
          <w:color w:val="000000" w:themeColor="text1"/>
        </w:rPr>
        <w:t xml:space="preserve"> was available</w:t>
      </w:r>
      <w:r w:rsidRPr="00242CE5">
        <w:rPr>
          <w:color w:val="000000" w:themeColor="text1"/>
        </w:rPr>
        <w:t xml:space="preserve">. </w:t>
      </w:r>
      <w:r w:rsidR="00C105C4" w:rsidRPr="00242CE5">
        <w:rPr>
          <w:color w:val="000000" w:themeColor="text1"/>
        </w:rPr>
        <w:t xml:space="preserve">Thirty-seven </w:t>
      </w:r>
      <w:r w:rsidRPr="00242CE5">
        <w:rPr>
          <w:color w:val="000000" w:themeColor="text1"/>
        </w:rPr>
        <w:t xml:space="preserve">cats </w:t>
      </w:r>
      <w:r w:rsidR="005C480B" w:rsidRPr="00242CE5">
        <w:rPr>
          <w:color w:val="000000" w:themeColor="text1"/>
        </w:rPr>
        <w:t xml:space="preserve">of </w:t>
      </w:r>
      <w:r w:rsidR="00C105C4" w:rsidRPr="00242CE5">
        <w:rPr>
          <w:color w:val="000000" w:themeColor="text1"/>
        </w:rPr>
        <w:t>11</w:t>
      </w:r>
      <w:r w:rsidR="005C480B" w:rsidRPr="00242CE5">
        <w:rPr>
          <w:color w:val="000000" w:themeColor="text1"/>
        </w:rPr>
        <w:t xml:space="preserve"> breeds </w:t>
      </w:r>
      <w:r w:rsidR="00864EF6" w:rsidRPr="00242CE5">
        <w:rPr>
          <w:color w:val="000000" w:themeColor="text1"/>
        </w:rPr>
        <w:t>(1</w:t>
      </w:r>
      <w:r w:rsidR="00C105C4" w:rsidRPr="00242CE5">
        <w:rPr>
          <w:color w:val="000000" w:themeColor="text1"/>
        </w:rPr>
        <w:t>5</w:t>
      </w:r>
      <w:r w:rsidR="00864EF6" w:rsidRPr="00242CE5">
        <w:rPr>
          <w:color w:val="000000" w:themeColor="text1"/>
        </w:rPr>
        <w:t xml:space="preserve"> female and </w:t>
      </w:r>
      <w:r w:rsidR="00C105C4" w:rsidRPr="00242CE5">
        <w:rPr>
          <w:color w:val="000000" w:themeColor="text1"/>
        </w:rPr>
        <w:t xml:space="preserve">22 </w:t>
      </w:r>
      <w:r w:rsidR="00864EF6" w:rsidRPr="00242CE5">
        <w:rPr>
          <w:color w:val="000000" w:themeColor="text1"/>
        </w:rPr>
        <w:t xml:space="preserve">male) </w:t>
      </w:r>
      <w:r w:rsidRPr="00242CE5">
        <w:rPr>
          <w:color w:val="000000" w:themeColor="text1"/>
        </w:rPr>
        <w:t>and 4</w:t>
      </w:r>
      <w:r w:rsidR="008941CA">
        <w:rPr>
          <w:color w:val="000000" w:themeColor="text1"/>
        </w:rPr>
        <w:t>83</w:t>
      </w:r>
      <w:r w:rsidRPr="00242CE5">
        <w:rPr>
          <w:color w:val="000000" w:themeColor="text1"/>
        </w:rPr>
        <w:t xml:space="preserve"> dogs of 50 breeds</w:t>
      </w:r>
      <w:r w:rsidR="00864EF6" w:rsidRPr="00242CE5">
        <w:rPr>
          <w:color w:val="000000" w:themeColor="text1"/>
        </w:rPr>
        <w:t xml:space="preserve"> (202 female and 2</w:t>
      </w:r>
      <w:r w:rsidR="008941CA">
        <w:rPr>
          <w:color w:val="000000" w:themeColor="text1"/>
        </w:rPr>
        <w:t>81</w:t>
      </w:r>
      <w:r w:rsidR="00864EF6" w:rsidRPr="00242CE5">
        <w:rPr>
          <w:color w:val="000000" w:themeColor="text1"/>
        </w:rPr>
        <w:t xml:space="preserve"> male)</w:t>
      </w:r>
      <w:r w:rsidRPr="00242CE5">
        <w:rPr>
          <w:color w:val="000000" w:themeColor="text1"/>
        </w:rPr>
        <w:t xml:space="preserve"> between the ages of 12 weeks and 15 years </w:t>
      </w:r>
      <w:r w:rsidR="00BE7367" w:rsidRPr="00242CE5">
        <w:rPr>
          <w:color w:val="000000" w:themeColor="text1"/>
        </w:rPr>
        <w:t xml:space="preserve">old </w:t>
      </w:r>
      <w:r w:rsidRPr="00242CE5">
        <w:rPr>
          <w:color w:val="000000" w:themeColor="text1"/>
        </w:rPr>
        <w:t>were seen</w:t>
      </w:r>
      <w:r w:rsidR="00864EF6" w:rsidRPr="00242CE5">
        <w:rPr>
          <w:color w:val="000000" w:themeColor="text1"/>
        </w:rPr>
        <w:t xml:space="preserve">, with a median age of </w:t>
      </w:r>
      <w:r w:rsidR="004C67DC" w:rsidRPr="00242CE5">
        <w:rPr>
          <w:color w:val="000000" w:themeColor="text1"/>
        </w:rPr>
        <w:t>eight years</w:t>
      </w:r>
      <w:r w:rsidR="00BE7367" w:rsidRPr="00242CE5">
        <w:rPr>
          <w:color w:val="000000" w:themeColor="text1"/>
        </w:rPr>
        <w:t xml:space="preserve"> old</w:t>
      </w:r>
      <w:r w:rsidR="00864EF6" w:rsidRPr="00242CE5">
        <w:rPr>
          <w:color w:val="000000" w:themeColor="text1"/>
        </w:rPr>
        <w:t xml:space="preserve"> for cats, and </w:t>
      </w:r>
      <w:r w:rsidR="004C67DC" w:rsidRPr="00242CE5">
        <w:rPr>
          <w:color w:val="000000" w:themeColor="text1"/>
        </w:rPr>
        <w:t>six years</w:t>
      </w:r>
      <w:r w:rsidR="00864EF6" w:rsidRPr="00242CE5">
        <w:rPr>
          <w:color w:val="000000" w:themeColor="text1"/>
        </w:rPr>
        <w:t xml:space="preserve"> </w:t>
      </w:r>
      <w:r w:rsidR="00BE7367" w:rsidRPr="00242CE5">
        <w:rPr>
          <w:color w:val="000000" w:themeColor="text1"/>
        </w:rPr>
        <w:t xml:space="preserve">old </w:t>
      </w:r>
      <w:r w:rsidR="00864EF6" w:rsidRPr="00242CE5">
        <w:rPr>
          <w:color w:val="000000" w:themeColor="text1"/>
        </w:rPr>
        <w:t xml:space="preserve">for dogs. </w:t>
      </w:r>
    </w:p>
    <w:p w14:paraId="11AA0FB6" w14:textId="77777777" w:rsidR="00864EF6" w:rsidRPr="00242CE5" w:rsidRDefault="00864EF6" w:rsidP="000851D8">
      <w:pPr>
        <w:jc w:val="both"/>
        <w:rPr>
          <w:color w:val="000000" w:themeColor="text1"/>
        </w:rPr>
      </w:pPr>
    </w:p>
    <w:p w14:paraId="63D19413" w14:textId="1FF65149" w:rsidR="000851D8" w:rsidRPr="00242CE5" w:rsidRDefault="000851D8" w:rsidP="000851D8">
      <w:pPr>
        <w:jc w:val="both"/>
        <w:rPr>
          <w:b/>
          <w:color w:val="000000" w:themeColor="text1"/>
        </w:rPr>
      </w:pPr>
      <w:r w:rsidRPr="00242CE5">
        <w:rPr>
          <w:b/>
          <w:color w:val="000000" w:themeColor="text1"/>
        </w:rPr>
        <w:t>Case classification</w:t>
      </w:r>
    </w:p>
    <w:p w14:paraId="7A542BEE" w14:textId="7C866F16" w:rsidR="0030689B" w:rsidRPr="00242CE5" w:rsidRDefault="00C965F5" w:rsidP="000851D8">
      <w:pPr>
        <w:jc w:val="both"/>
        <w:rPr>
          <w:color w:val="000000" w:themeColor="text1"/>
        </w:rPr>
      </w:pPr>
      <w:r w:rsidRPr="00242CE5">
        <w:rPr>
          <w:color w:val="000000" w:themeColor="text1"/>
        </w:rPr>
        <w:t xml:space="preserve">Primary neurological conditions accounted for </w:t>
      </w:r>
      <w:r w:rsidR="000851D8" w:rsidRPr="00242CE5">
        <w:rPr>
          <w:color w:val="000000" w:themeColor="text1"/>
        </w:rPr>
        <w:t>74%</w:t>
      </w:r>
      <w:r w:rsidRPr="00242CE5">
        <w:rPr>
          <w:color w:val="000000" w:themeColor="text1"/>
        </w:rPr>
        <w:t xml:space="preserve"> (</w:t>
      </w:r>
      <w:r w:rsidR="0030689B" w:rsidRPr="00242CE5">
        <w:rPr>
          <w:color w:val="000000" w:themeColor="text1"/>
        </w:rPr>
        <w:t>n=386</w:t>
      </w:r>
      <w:r w:rsidR="005C480B" w:rsidRPr="00242CE5">
        <w:rPr>
          <w:color w:val="000000" w:themeColor="text1"/>
        </w:rPr>
        <w:t xml:space="preserve">, </w:t>
      </w:r>
      <w:r w:rsidR="00C105C4" w:rsidRPr="00242CE5">
        <w:rPr>
          <w:color w:val="000000" w:themeColor="text1"/>
        </w:rPr>
        <w:t>23 cats, 363 dogs</w:t>
      </w:r>
      <w:r w:rsidR="0030689B" w:rsidRPr="00242CE5">
        <w:rPr>
          <w:color w:val="000000" w:themeColor="text1"/>
        </w:rPr>
        <w:t xml:space="preserve">) </w:t>
      </w:r>
      <w:r w:rsidRPr="00242CE5">
        <w:rPr>
          <w:color w:val="000000" w:themeColor="text1"/>
        </w:rPr>
        <w:t>of cases</w:t>
      </w:r>
      <w:r w:rsidR="00864EF6" w:rsidRPr="00242CE5">
        <w:rPr>
          <w:color w:val="000000" w:themeColor="text1"/>
        </w:rPr>
        <w:t>, 3</w:t>
      </w:r>
      <w:r w:rsidR="005C480B" w:rsidRPr="00242CE5">
        <w:rPr>
          <w:color w:val="000000" w:themeColor="text1"/>
        </w:rPr>
        <w:t>%</w:t>
      </w:r>
      <w:r w:rsidR="000851D8" w:rsidRPr="00242CE5">
        <w:rPr>
          <w:color w:val="000000" w:themeColor="text1"/>
        </w:rPr>
        <w:t xml:space="preserve"> (n=16</w:t>
      </w:r>
      <w:r w:rsidR="00C105C4" w:rsidRPr="00242CE5">
        <w:rPr>
          <w:color w:val="000000" w:themeColor="text1"/>
        </w:rPr>
        <w:t>, 4 cats, 12 dogs</w:t>
      </w:r>
      <w:r w:rsidR="000851D8" w:rsidRPr="00242CE5">
        <w:rPr>
          <w:color w:val="000000" w:themeColor="text1"/>
        </w:rPr>
        <w:t>)</w:t>
      </w:r>
      <w:r w:rsidRPr="00242CE5">
        <w:rPr>
          <w:color w:val="000000" w:themeColor="text1"/>
        </w:rPr>
        <w:t xml:space="preserve"> of cases</w:t>
      </w:r>
      <w:r w:rsidR="000851D8" w:rsidRPr="00242CE5">
        <w:rPr>
          <w:color w:val="000000" w:themeColor="text1"/>
        </w:rPr>
        <w:t xml:space="preserve"> were non-neurological in origin but with neurological </w:t>
      </w:r>
      <w:r w:rsidR="005004BE" w:rsidRPr="00242CE5">
        <w:rPr>
          <w:color w:val="000000" w:themeColor="text1"/>
        </w:rPr>
        <w:t>clinical manifestation</w:t>
      </w:r>
      <w:r w:rsidR="00A45A4B" w:rsidRPr="00242CE5">
        <w:rPr>
          <w:color w:val="000000" w:themeColor="text1"/>
        </w:rPr>
        <w:t xml:space="preserve">, and </w:t>
      </w:r>
      <w:r w:rsidR="000851D8" w:rsidRPr="00242CE5">
        <w:rPr>
          <w:color w:val="000000" w:themeColor="text1"/>
        </w:rPr>
        <w:t>8% (n=42</w:t>
      </w:r>
      <w:r w:rsidR="00C105C4" w:rsidRPr="00242CE5">
        <w:rPr>
          <w:color w:val="000000" w:themeColor="text1"/>
        </w:rPr>
        <w:t>, 3 cats, 39 dogs</w:t>
      </w:r>
      <w:r w:rsidR="000851D8" w:rsidRPr="00242CE5">
        <w:rPr>
          <w:color w:val="000000" w:themeColor="text1"/>
        </w:rPr>
        <w:t xml:space="preserve">) were considered neurological mimics. </w:t>
      </w:r>
      <w:r w:rsidRPr="00242CE5">
        <w:rPr>
          <w:color w:val="000000" w:themeColor="text1"/>
        </w:rPr>
        <w:t xml:space="preserve">A final diagnosis was not reached in </w:t>
      </w:r>
      <w:r w:rsidR="000851D8" w:rsidRPr="00242CE5">
        <w:rPr>
          <w:color w:val="000000" w:themeColor="text1"/>
        </w:rPr>
        <w:t>1</w:t>
      </w:r>
      <w:r w:rsidR="009E7303">
        <w:rPr>
          <w:color w:val="000000" w:themeColor="text1"/>
        </w:rPr>
        <w:t>5</w:t>
      </w:r>
      <w:r w:rsidR="000851D8" w:rsidRPr="00242CE5">
        <w:rPr>
          <w:color w:val="000000" w:themeColor="text1"/>
        </w:rPr>
        <w:t xml:space="preserve">% </w:t>
      </w:r>
      <w:r w:rsidRPr="00242CE5">
        <w:rPr>
          <w:color w:val="000000" w:themeColor="text1"/>
        </w:rPr>
        <w:t>(</w:t>
      </w:r>
      <w:r w:rsidR="0030689B" w:rsidRPr="00242CE5">
        <w:rPr>
          <w:color w:val="000000" w:themeColor="text1"/>
        </w:rPr>
        <w:t>n=76</w:t>
      </w:r>
      <w:r w:rsidR="00C105C4" w:rsidRPr="00242CE5">
        <w:rPr>
          <w:color w:val="000000" w:themeColor="text1"/>
        </w:rPr>
        <w:t>, 7 cats, 69 dogs</w:t>
      </w:r>
      <w:r w:rsidR="0030689B" w:rsidRPr="00242CE5">
        <w:rPr>
          <w:color w:val="000000" w:themeColor="text1"/>
        </w:rPr>
        <w:t>)</w:t>
      </w:r>
      <w:r w:rsidRPr="00242CE5">
        <w:rPr>
          <w:color w:val="000000" w:themeColor="text1"/>
        </w:rPr>
        <w:t xml:space="preserve"> of cases.</w:t>
      </w:r>
      <w:r w:rsidR="00A45A4B" w:rsidRPr="00242CE5">
        <w:rPr>
          <w:color w:val="000000" w:themeColor="text1"/>
        </w:rPr>
        <w:t xml:space="preserve"> </w:t>
      </w:r>
    </w:p>
    <w:p w14:paraId="65454671" w14:textId="77777777" w:rsidR="00AF1FED" w:rsidRPr="00242CE5" w:rsidRDefault="00AF1FED" w:rsidP="000851D8">
      <w:pPr>
        <w:jc w:val="both"/>
        <w:rPr>
          <w:color w:val="000000" w:themeColor="text1"/>
        </w:rPr>
      </w:pPr>
    </w:p>
    <w:p w14:paraId="458A8147" w14:textId="06D0976D" w:rsidR="0030689B" w:rsidRPr="00242CE5" w:rsidRDefault="0030689B" w:rsidP="000851D8">
      <w:pPr>
        <w:jc w:val="both"/>
        <w:rPr>
          <w:b/>
          <w:color w:val="000000" w:themeColor="text1"/>
        </w:rPr>
      </w:pPr>
      <w:r w:rsidRPr="00242CE5">
        <w:rPr>
          <w:b/>
          <w:color w:val="000000" w:themeColor="text1"/>
        </w:rPr>
        <w:t>Final diagnos</w:t>
      </w:r>
      <w:r w:rsidR="00BE7367" w:rsidRPr="00242CE5">
        <w:rPr>
          <w:b/>
          <w:color w:val="000000" w:themeColor="text1"/>
        </w:rPr>
        <w:t>e</w:t>
      </w:r>
      <w:r w:rsidRPr="00242CE5">
        <w:rPr>
          <w:b/>
          <w:color w:val="000000" w:themeColor="text1"/>
        </w:rPr>
        <w:t xml:space="preserve">s of non-neurological </w:t>
      </w:r>
      <w:r w:rsidR="008D52ED" w:rsidRPr="00242CE5">
        <w:rPr>
          <w:b/>
          <w:color w:val="000000" w:themeColor="text1"/>
        </w:rPr>
        <w:t xml:space="preserve">cases </w:t>
      </w:r>
      <w:r w:rsidRPr="00242CE5">
        <w:rPr>
          <w:b/>
          <w:color w:val="000000" w:themeColor="text1"/>
        </w:rPr>
        <w:t xml:space="preserve">with neurological </w:t>
      </w:r>
      <w:r w:rsidR="005004BE" w:rsidRPr="00242CE5">
        <w:rPr>
          <w:b/>
          <w:color w:val="000000" w:themeColor="text1"/>
        </w:rPr>
        <w:t xml:space="preserve">clinical </w:t>
      </w:r>
      <w:r w:rsidRPr="00242CE5">
        <w:rPr>
          <w:b/>
          <w:color w:val="000000" w:themeColor="text1"/>
        </w:rPr>
        <w:t xml:space="preserve">manifestation </w:t>
      </w:r>
    </w:p>
    <w:p w14:paraId="3ADF7A2C" w14:textId="520E7ECC" w:rsidR="00864EF6" w:rsidRPr="00242CE5" w:rsidRDefault="000851D8" w:rsidP="000851D8">
      <w:pPr>
        <w:jc w:val="both"/>
        <w:rPr>
          <w:color w:val="000000" w:themeColor="text1"/>
        </w:rPr>
      </w:pPr>
      <w:r w:rsidRPr="00242CE5">
        <w:rPr>
          <w:color w:val="000000" w:themeColor="text1"/>
        </w:rPr>
        <w:t xml:space="preserve">The final diagnoses for cases categorised as non-neurological with neurological </w:t>
      </w:r>
      <w:r w:rsidR="0030689B" w:rsidRPr="00242CE5">
        <w:rPr>
          <w:color w:val="000000" w:themeColor="text1"/>
        </w:rPr>
        <w:t>clinical manifestation</w:t>
      </w:r>
      <w:r w:rsidRPr="00242CE5">
        <w:rPr>
          <w:color w:val="000000" w:themeColor="text1"/>
        </w:rPr>
        <w:t xml:space="preserve"> </w:t>
      </w:r>
      <w:r w:rsidR="002C34DF" w:rsidRPr="00242CE5">
        <w:rPr>
          <w:color w:val="000000" w:themeColor="text1"/>
        </w:rPr>
        <w:t>consisted of</w:t>
      </w:r>
      <w:r w:rsidRPr="00242CE5">
        <w:rPr>
          <w:color w:val="000000" w:themeColor="text1"/>
        </w:rPr>
        <w:t xml:space="preserve"> otitis media/interna (3</w:t>
      </w:r>
      <w:r w:rsidR="00864EF6" w:rsidRPr="00242CE5">
        <w:rPr>
          <w:color w:val="000000" w:themeColor="text1"/>
        </w:rPr>
        <w:t>1</w:t>
      </w:r>
      <w:r w:rsidRPr="00242CE5">
        <w:rPr>
          <w:color w:val="000000" w:themeColor="text1"/>
        </w:rPr>
        <w:t>%, n=</w:t>
      </w:r>
      <w:r w:rsidR="00864EF6" w:rsidRPr="00242CE5">
        <w:rPr>
          <w:color w:val="000000" w:themeColor="text1"/>
        </w:rPr>
        <w:t>5</w:t>
      </w:r>
      <w:r w:rsidR="00C105C4" w:rsidRPr="00242CE5">
        <w:rPr>
          <w:color w:val="000000" w:themeColor="text1"/>
        </w:rPr>
        <w:t>, 1 cat, 4 dogs</w:t>
      </w:r>
      <w:r w:rsidRPr="00242CE5">
        <w:rPr>
          <w:color w:val="000000" w:themeColor="text1"/>
        </w:rPr>
        <w:t>)</w:t>
      </w:r>
      <w:r w:rsidR="00AF1FED" w:rsidRPr="00242CE5">
        <w:rPr>
          <w:color w:val="000000" w:themeColor="text1"/>
        </w:rPr>
        <w:t xml:space="preserve"> presenting with </w:t>
      </w:r>
      <w:r w:rsidR="00AF1FED" w:rsidRPr="00242CE5">
        <w:rPr>
          <w:color w:val="000000" w:themeColor="text1"/>
        </w:rPr>
        <w:lastRenderedPageBreak/>
        <w:t>vestibular signs</w:t>
      </w:r>
      <w:r w:rsidR="00C105C4" w:rsidRPr="00242CE5">
        <w:rPr>
          <w:color w:val="000000" w:themeColor="text1"/>
        </w:rPr>
        <w:t xml:space="preserve">, </w:t>
      </w:r>
      <w:r w:rsidRPr="00242CE5">
        <w:rPr>
          <w:color w:val="000000" w:themeColor="text1"/>
        </w:rPr>
        <w:t>portosystemic shunt (1</w:t>
      </w:r>
      <w:r w:rsidR="00864EF6" w:rsidRPr="00242CE5">
        <w:rPr>
          <w:color w:val="000000" w:themeColor="text1"/>
        </w:rPr>
        <w:t>9</w:t>
      </w:r>
      <w:r w:rsidRPr="00242CE5">
        <w:rPr>
          <w:color w:val="000000" w:themeColor="text1"/>
        </w:rPr>
        <w:t>%, n=3</w:t>
      </w:r>
      <w:r w:rsidR="00C105C4" w:rsidRPr="00242CE5">
        <w:rPr>
          <w:color w:val="000000" w:themeColor="text1"/>
        </w:rPr>
        <w:t>, 3 dogs</w:t>
      </w:r>
      <w:r w:rsidRPr="00242CE5">
        <w:rPr>
          <w:color w:val="000000" w:themeColor="text1"/>
        </w:rPr>
        <w:t>)</w:t>
      </w:r>
      <w:r w:rsidR="00AF1FED" w:rsidRPr="00242CE5">
        <w:rPr>
          <w:color w:val="000000" w:themeColor="text1"/>
        </w:rPr>
        <w:t xml:space="preserve"> presenting with </w:t>
      </w:r>
      <w:r w:rsidR="00864EF6" w:rsidRPr="00242CE5">
        <w:rPr>
          <w:color w:val="000000" w:themeColor="text1"/>
        </w:rPr>
        <w:t xml:space="preserve">signs of hepatic </w:t>
      </w:r>
      <w:r w:rsidR="00AF1FED" w:rsidRPr="00242CE5">
        <w:rPr>
          <w:color w:val="000000" w:themeColor="text1"/>
        </w:rPr>
        <w:t>encephalopathy</w:t>
      </w:r>
      <w:r w:rsidR="00864EF6" w:rsidRPr="00242CE5">
        <w:rPr>
          <w:color w:val="000000" w:themeColor="text1"/>
        </w:rPr>
        <w:t xml:space="preserve"> (such as </w:t>
      </w:r>
      <w:r w:rsidR="00C105C4" w:rsidRPr="00242CE5">
        <w:rPr>
          <w:color w:val="000000" w:themeColor="text1"/>
        </w:rPr>
        <w:t xml:space="preserve">epileptic </w:t>
      </w:r>
      <w:r w:rsidR="00864EF6" w:rsidRPr="00242CE5">
        <w:rPr>
          <w:color w:val="000000" w:themeColor="text1"/>
        </w:rPr>
        <w:t>seizures)</w:t>
      </w:r>
      <w:r w:rsidR="00C105C4" w:rsidRPr="00242CE5">
        <w:rPr>
          <w:color w:val="000000" w:themeColor="text1"/>
        </w:rPr>
        <w:t>,</w:t>
      </w:r>
      <w:r w:rsidRPr="00242CE5">
        <w:rPr>
          <w:color w:val="000000" w:themeColor="text1"/>
        </w:rPr>
        <w:t xml:space="preserve"> insulinoma (1</w:t>
      </w:r>
      <w:r w:rsidR="00864EF6" w:rsidRPr="00242CE5">
        <w:rPr>
          <w:color w:val="000000" w:themeColor="text1"/>
        </w:rPr>
        <w:t>3</w:t>
      </w:r>
      <w:r w:rsidRPr="00242CE5">
        <w:rPr>
          <w:color w:val="000000" w:themeColor="text1"/>
        </w:rPr>
        <w:t>%, n=2</w:t>
      </w:r>
      <w:r w:rsidR="00C105C4" w:rsidRPr="00242CE5">
        <w:rPr>
          <w:color w:val="000000" w:themeColor="text1"/>
        </w:rPr>
        <w:t>, 1 cat, 1 dog</w:t>
      </w:r>
      <w:r w:rsidRPr="00242CE5">
        <w:rPr>
          <w:color w:val="000000" w:themeColor="text1"/>
        </w:rPr>
        <w:t xml:space="preserve">), </w:t>
      </w:r>
      <w:r w:rsidR="00864EF6" w:rsidRPr="00242CE5">
        <w:rPr>
          <w:color w:val="000000" w:themeColor="text1"/>
        </w:rPr>
        <w:t>intoxication (13%, n=2</w:t>
      </w:r>
      <w:r w:rsidR="00C105C4" w:rsidRPr="00242CE5">
        <w:rPr>
          <w:color w:val="000000" w:themeColor="text1"/>
        </w:rPr>
        <w:t>, 2 dogs</w:t>
      </w:r>
      <w:r w:rsidR="00864EF6" w:rsidRPr="00242CE5">
        <w:rPr>
          <w:color w:val="000000" w:themeColor="text1"/>
        </w:rPr>
        <w:t>)</w:t>
      </w:r>
      <w:r w:rsidR="00C105C4" w:rsidRPr="00242CE5">
        <w:rPr>
          <w:color w:val="000000" w:themeColor="text1"/>
        </w:rPr>
        <w:t xml:space="preserve"> and </w:t>
      </w:r>
      <w:r w:rsidRPr="00242CE5">
        <w:rPr>
          <w:color w:val="000000" w:themeColor="text1"/>
        </w:rPr>
        <w:t>thiamine deficiency (6%, n=1</w:t>
      </w:r>
      <w:r w:rsidR="00C105C4" w:rsidRPr="00242CE5">
        <w:rPr>
          <w:color w:val="000000" w:themeColor="text1"/>
        </w:rPr>
        <w:t>, 1 cat</w:t>
      </w:r>
      <w:r w:rsidRPr="00242CE5">
        <w:rPr>
          <w:color w:val="000000" w:themeColor="text1"/>
        </w:rPr>
        <w:t>)</w:t>
      </w:r>
      <w:r w:rsidR="00AF1FED" w:rsidRPr="00242CE5">
        <w:rPr>
          <w:color w:val="000000" w:themeColor="text1"/>
        </w:rPr>
        <w:t xml:space="preserve"> </w:t>
      </w:r>
      <w:r w:rsidR="00C105C4" w:rsidRPr="00242CE5">
        <w:rPr>
          <w:color w:val="000000" w:themeColor="text1"/>
        </w:rPr>
        <w:t xml:space="preserve">all </w:t>
      </w:r>
      <w:r w:rsidR="00AF1FED" w:rsidRPr="00242CE5">
        <w:rPr>
          <w:color w:val="000000" w:themeColor="text1"/>
        </w:rPr>
        <w:t xml:space="preserve">presenting with </w:t>
      </w:r>
      <w:r w:rsidR="00C105C4" w:rsidRPr="00242CE5">
        <w:rPr>
          <w:color w:val="000000" w:themeColor="text1"/>
        </w:rPr>
        <w:t xml:space="preserve">an </w:t>
      </w:r>
      <w:r w:rsidR="00864EF6" w:rsidRPr="00242CE5">
        <w:rPr>
          <w:color w:val="000000" w:themeColor="text1"/>
        </w:rPr>
        <w:t>‘</w:t>
      </w:r>
      <w:r w:rsidR="00AF1FED" w:rsidRPr="00242CE5">
        <w:rPr>
          <w:color w:val="000000" w:themeColor="text1"/>
        </w:rPr>
        <w:t>abnormal behaviour</w:t>
      </w:r>
      <w:r w:rsidR="00864EF6" w:rsidRPr="00242CE5">
        <w:rPr>
          <w:color w:val="000000" w:themeColor="text1"/>
        </w:rPr>
        <w:t>’</w:t>
      </w:r>
      <w:r w:rsidR="00C105C4" w:rsidRPr="00242CE5">
        <w:rPr>
          <w:color w:val="000000" w:themeColor="text1"/>
        </w:rPr>
        <w:t xml:space="preserve">, </w:t>
      </w:r>
      <w:r w:rsidRPr="00242CE5">
        <w:rPr>
          <w:color w:val="000000" w:themeColor="text1"/>
        </w:rPr>
        <w:t xml:space="preserve">hyperthyroidism </w:t>
      </w:r>
      <w:r w:rsidR="00F04461" w:rsidRPr="00242CE5">
        <w:rPr>
          <w:color w:val="000000" w:themeColor="text1"/>
        </w:rPr>
        <w:t>suspected of predisposing to</w:t>
      </w:r>
      <w:r w:rsidR="00741909" w:rsidRPr="00242CE5">
        <w:rPr>
          <w:color w:val="000000" w:themeColor="text1"/>
        </w:rPr>
        <w:t xml:space="preserve"> ischaemic myelopathy</w:t>
      </w:r>
      <w:r w:rsidR="00AF1FED" w:rsidRPr="00242CE5">
        <w:rPr>
          <w:color w:val="000000" w:themeColor="text1"/>
        </w:rPr>
        <w:t xml:space="preserve"> (</w:t>
      </w:r>
      <w:r w:rsidRPr="00242CE5">
        <w:rPr>
          <w:color w:val="000000" w:themeColor="text1"/>
        </w:rPr>
        <w:t>6%, n=1</w:t>
      </w:r>
      <w:r w:rsidR="00C105C4" w:rsidRPr="00242CE5">
        <w:rPr>
          <w:color w:val="000000" w:themeColor="text1"/>
        </w:rPr>
        <w:t>, 1 cat</w:t>
      </w:r>
      <w:r w:rsidRPr="00242CE5">
        <w:rPr>
          <w:color w:val="000000" w:themeColor="text1"/>
        </w:rPr>
        <w:t>)</w:t>
      </w:r>
      <w:r w:rsidR="00AF1FED" w:rsidRPr="00242CE5">
        <w:rPr>
          <w:color w:val="000000" w:themeColor="text1"/>
        </w:rPr>
        <w:t xml:space="preserve"> presenting with paresis</w:t>
      </w:r>
      <w:r w:rsidR="00C105C4" w:rsidRPr="00242CE5">
        <w:rPr>
          <w:color w:val="000000" w:themeColor="text1"/>
        </w:rPr>
        <w:t>,</w:t>
      </w:r>
      <w:r w:rsidRPr="00242CE5">
        <w:rPr>
          <w:color w:val="000000" w:themeColor="text1"/>
        </w:rPr>
        <w:t xml:space="preserve"> </w:t>
      </w:r>
      <w:r w:rsidR="00864EF6" w:rsidRPr="00242CE5">
        <w:rPr>
          <w:color w:val="000000" w:themeColor="text1"/>
        </w:rPr>
        <w:t xml:space="preserve">chronic </w:t>
      </w:r>
      <w:r w:rsidRPr="00242CE5">
        <w:rPr>
          <w:color w:val="000000" w:themeColor="text1"/>
        </w:rPr>
        <w:t>kidney disease</w:t>
      </w:r>
      <w:r w:rsidR="00AF1FED" w:rsidRPr="00242CE5">
        <w:rPr>
          <w:color w:val="000000" w:themeColor="text1"/>
        </w:rPr>
        <w:t xml:space="preserve"> causing uraemia</w:t>
      </w:r>
      <w:r w:rsidR="0030689B" w:rsidRPr="00242CE5">
        <w:rPr>
          <w:color w:val="000000" w:themeColor="text1"/>
        </w:rPr>
        <w:t xml:space="preserve"> </w:t>
      </w:r>
      <w:r w:rsidRPr="00242CE5">
        <w:rPr>
          <w:color w:val="000000" w:themeColor="text1"/>
        </w:rPr>
        <w:t>(6%, n=1</w:t>
      </w:r>
      <w:r w:rsidR="00C105C4" w:rsidRPr="00242CE5">
        <w:rPr>
          <w:color w:val="000000" w:themeColor="text1"/>
        </w:rPr>
        <w:t>, 1 dog</w:t>
      </w:r>
      <w:r w:rsidRPr="00242CE5">
        <w:rPr>
          <w:color w:val="000000" w:themeColor="text1"/>
        </w:rPr>
        <w:t>)</w:t>
      </w:r>
      <w:r w:rsidR="00AF1FED" w:rsidRPr="00242CE5">
        <w:rPr>
          <w:color w:val="000000" w:themeColor="text1"/>
        </w:rPr>
        <w:t xml:space="preserve"> presenting with limb weakness </w:t>
      </w:r>
      <w:r w:rsidRPr="00242CE5">
        <w:rPr>
          <w:color w:val="000000" w:themeColor="text1"/>
        </w:rPr>
        <w:t>and haemangiosarcoma of the mandible</w:t>
      </w:r>
      <w:r w:rsidR="00A56B26" w:rsidRPr="00242CE5">
        <w:rPr>
          <w:color w:val="000000" w:themeColor="text1"/>
        </w:rPr>
        <w:t xml:space="preserve"> </w:t>
      </w:r>
      <w:r w:rsidR="00BE7367" w:rsidRPr="00242CE5">
        <w:rPr>
          <w:color w:val="000000" w:themeColor="text1"/>
        </w:rPr>
        <w:t>(6% n=1</w:t>
      </w:r>
      <w:r w:rsidR="00C105C4" w:rsidRPr="00242CE5">
        <w:rPr>
          <w:color w:val="000000" w:themeColor="text1"/>
        </w:rPr>
        <w:t>, 1 dog</w:t>
      </w:r>
      <w:r w:rsidR="00BE7367" w:rsidRPr="00242CE5">
        <w:rPr>
          <w:color w:val="000000" w:themeColor="text1"/>
        </w:rPr>
        <w:t>)</w:t>
      </w:r>
      <w:r w:rsidRPr="00242CE5">
        <w:rPr>
          <w:color w:val="000000" w:themeColor="text1"/>
        </w:rPr>
        <w:t xml:space="preserve"> presenting with Horner’s syndrome. </w:t>
      </w:r>
    </w:p>
    <w:p w14:paraId="4836BBE6" w14:textId="77777777" w:rsidR="00864EF6" w:rsidRPr="00242CE5" w:rsidRDefault="00864EF6" w:rsidP="000851D8">
      <w:pPr>
        <w:jc w:val="both"/>
        <w:rPr>
          <w:color w:val="000000" w:themeColor="text1"/>
        </w:rPr>
      </w:pPr>
    </w:p>
    <w:p w14:paraId="1D293ED9" w14:textId="28BF9F4A" w:rsidR="000851D8" w:rsidRPr="00242CE5" w:rsidRDefault="000851D8" w:rsidP="000851D8">
      <w:pPr>
        <w:jc w:val="both"/>
        <w:rPr>
          <w:b/>
          <w:color w:val="000000" w:themeColor="text1"/>
        </w:rPr>
      </w:pPr>
      <w:r w:rsidRPr="00242CE5">
        <w:rPr>
          <w:b/>
          <w:color w:val="000000" w:themeColor="text1"/>
        </w:rPr>
        <w:t>Final diagnos</w:t>
      </w:r>
      <w:r w:rsidR="00996386" w:rsidRPr="00242CE5">
        <w:rPr>
          <w:b/>
          <w:color w:val="000000" w:themeColor="text1"/>
        </w:rPr>
        <w:t>e</w:t>
      </w:r>
      <w:r w:rsidRPr="00242CE5">
        <w:rPr>
          <w:b/>
          <w:color w:val="000000" w:themeColor="text1"/>
        </w:rPr>
        <w:t>s of neurological mimics</w:t>
      </w:r>
    </w:p>
    <w:p w14:paraId="2A4D32FC" w14:textId="471FDB30" w:rsidR="001A68AA" w:rsidRPr="00242CE5" w:rsidRDefault="008D52ED" w:rsidP="000851D8">
      <w:pPr>
        <w:jc w:val="both"/>
        <w:rPr>
          <w:color w:val="000000" w:themeColor="text1"/>
        </w:rPr>
      </w:pPr>
      <w:r w:rsidRPr="00242CE5">
        <w:rPr>
          <w:color w:val="000000" w:themeColor="text1"/>
        </w:rPr>
        <w:t>The final diagnos</w:t>
      </w:r>
      <w:r w:rsidR="00396DAD" w:rsidRPr="00242CE5">
        <w:rPr>
          <w:color w:val="000000" w:themeColor="text1"/>
        </w:rPr>
        <w:t>e</w:t>
      </w:r>
      <w:r w:rsidRPr="00242CE5">
        <w:rPr>
          <w:color w:val="000000" w:themeColor="text1"/>
        </w:rPr>
        <w:t xml:space="preserve">s of neurological mimics </w:t>
      </w:r>
      <w:r w:rsidR="00864EF6" w:rsidRPr="00242CE5">
        <w:rPr>
          <w:color w:val="000000" w:themeColor="text1"/>
        </w:rPr>
        <w:t>were classified based on the department they were internally referred to</w:t>
      </w:r>
      <w:r w:rsidRPr="00242CE5">
        <w:rPr>
          <w:color w:val="000000" w:themeColor="text1"/>
        </w:rPr>
        <w:t xml:space="preserve">. </w:t>
      </w:r>
      <w:r w:rsidR="00C965F5" w:rsidRPr="00242CE5">
        <w:rPr>
          <w:color w:val="000000" w:themeColor="text1"/>
        </w:rPr>
        <w:t>Sixty-seven percent</w:t>
      </w:r>
      <w:r w:rsidR="000851D8" w:rsidRPr="00242CE5">
        <w:rPr>
          <w:color w:val="000000" w:themeColor="text1"/>
        </w:rPr>
        <w:t xml:space="preserve"> </w:t>
      </w:r>
      <w:r w:rsidR="00C965F5" w:rsidRPr="00242CE5">
        <w:rPr>
          <w:color w:val="000000" w:themeColor="text1"/>
        </w:rPr>
        <w:t>(</w:t>
      </w:r>
      <w:r w:rsidR="000851D8" w:rsidRPr="00242CE5">
        <w:rPr>
          <w:color w:val="000000" w:themeColor="text1"/>
        </w:rPr>
        <w:t>n=28</w:t>
      </w:r>
      <w:r w:rsidR="00C105C4" w:rsidRPr="00242CE5">
        <w:rPr>
          <w:color w:val="000000" w:themeColor="text1"/>
        </w:rPr>
        <w:t>, 1 cat, 27 dogs</w:t>
      </w:r>
      <w:r w:rsidR="000851D8" w:rsidRPr="00242CE5">
        <w:rPr>
          <w:color w:val="000000" w:themeColor="text1"/>
        </w:rPr>
        <w:t xml:space="preserve">) were classified as orthopaedic, </w:t>
      </w:r>
      <w:r w:rsidR="00C965F5" w:rsidRPr="00242CE5">
        <w:rPr>
          <w:color w:val="000000" w:themeColor="text1"/>
        </w:rPr>
        <w:t>26% (n=11</w:t>
      </w:r>
      <w:r w:rsidR="00C105C4" w:rsidRPr="00242CE5">
        <w:rPr>
          <w:color w:val="000000" w:themeColor="text1"/>
        </w:rPr>
        <w:t>, 2 cats, 9 dogs</w:t>
      </w:r>
      <w:r w:rsidR="00C965F5" w:rsidRPr="00242CE5">
        <w:rPr>
          <w:color w:val="000000" w:themeColor="text1"/>
        </w:rPr>
        <w:t>)</w:t>
      </w:r>
      <w:r w:rsidR="000851D8" w:rsidRPr="00242CE5">
        <w:rPr>
          <w:color w:val="000000" w:themeColor="text1"/>
        </w:rPr>
        <w:t xml:space="preserve"> </w:t>
      </w:r>
      <w:r w:rsidR="00396DAD" w:rsidRPr="00242CE5">
        <w:rPr>
          <w:color w:val="000000" w:themeColor="text1"/>
        </w:rPr>
        <w:t xml:space="preserve">as </w:t>
      </w:r>
      <w:r w:rsidR="000851D8" w:rsidRPr="00242CE5">
        <w:rPr>
          <w:color w:val="000000" w:themeColor="text1"/>
        </w:rPr>
        <w:t>internal medicine and</w:t>
      </w:r>
      <w:r w:rsidR="00C965F5" w:rsidRPr="00242CE5">
        <w:rPr>
          <w:color w:val="000000" w:themeColor="text1"/>
        </w:rPr>
        <w:t xml:space="preserve"> </w:t>
      </w:r>
      <w:r w:rsidR="00623248" w:rsidRPr="00242CE5">
        <w:rPr>
          <w:color w:val="000000" w:themeColor="text1"/>
        </w:rPr>
        <w:t>7</w:t>
      </w:r>
      <w:r w:rsidR="000851D8" w:rsidRPr="00242CE5">
        <w:rPr>
          <w:color w:val="000000" w:themeColor="text1"/>
        </w:rPr>
        <w:t xml:space="preserve">% </w:t>
      </w:r>
      <w:r w:rsidR="00BE7367" w:rsidRPr="00242CE5">
        <w:rPr>
          <w:color w:val="000000" w:themeColor="text1"/>
        </w:rPr>
        <w:t>(</w:t>
      </w:r>
      <w:r w:rsidR="000851D8" w:rsidRPr="00242CE5">
        <w:rPr>
          <w:color w:val="000000" w:themeColor="text1"/>
        </w:rPr>
        <w:t>n=3</w:t>
      </w:r>
      <w:r w:rsidR="00C105C4" w:rsidRPr="00242CE5">
        <w:rPr>
          <w:color w:val="000000" w:themeColor="text1"/>
        </w:rPr>
        <w:t xml:space="preserve"> dogs</w:t>
      </w:r>
      <w:r w:rsidR="000851D8" w:rsidRPr="00242CE5">
        <w:rPr>
          <w:color w:val="000000" w:themeColor="text1"/>
        </w:rPr>
        <w:t>) as ophthalmological conditions</w:t>
      </w:r>
      <w:r w:rsidR="00396DAD" w:rsidRPr="00242CE5">
        <w:rPr>
          <w:color w:val="000000" w:themeColor="text1"/>
        </w:rPr>
        <w:t xml:space="preserve">. </w:t>
      </w:r>
      <w:r w:rsidR="000851D8" w:rsidRPr="00242CE5">
        <w:rPr>
          <w:color w:val="000000" w:themeColor="text1"/>
        </w:rPr>
        <w:t>The main orthopaedic diseases found include</w:t>
      </w:r>
      <w:r w:rsidR="00396DAD" w:rsidRPr="00242CE5">
        <w:rPr>
          <w:color w:val="000000" w:themeColor="text1"/>
        </w:rPr>
        <w:t>d</w:t>
      </w:r>
      <w:r w:rsidR="000851D8" w:rsidRPr="00242CE5">
        <w:rPr>
          <w:color w:val="000000" w:themeColor="text1"/>
        </w:rPr>
        <w:t xml:space="preserve"> cruciate ligament </w:t>
      </w:r>
      <w:r w:rsidR="00F04461" w:rsidRPr="00242CE5">
        <w:rPr>
          <w:color w:val="000000" w:themeColor="text1"/>
        </w:rPr>
        <w:t>disease</w:t>
      </w:r>
      <w:r w:rsidR="000851D8" w:rsidRPr="00242CE5">
        <w:rPr>
          <w:color w:val="000000" w:themeColor="text1"/>
        </w:rPr>
        <w:t xml:space="preserve"> (</w:t>
      </w:r>
      <w:r w:rsidR="003E290F" w:rsidRPr="00242CE5">
        <w:rPr>
          <w:color w:val="000000" w:themeColor="text1"/>
        </w:rPr>
        <w:t>32</w:t>
      </w:r>
      <w:r w:rsidR="00BD4DB0" w:rsidRPr="00242CE5">
        <w:rPr>
          <w:color w:val="000000" w:themeColor="text1"/>
        </w:rPr>
        <w:t>%</w:t>
      </w:r>
      <w:r w:rsidR="0030689B" w:rsidRPr="00242CE5">
        <w:rPr>
          <w:color w:val="000000" w:themeColor="text1"/>
        </w:rPr>
        <w:t>,</w:t>
      </w:r>
      <w:r w:rsidR="000851D8" w:rsidRPr="00242CE5">
        <w:rPr>
          <w:color w:val="000000" w:themeColor="text1"/>
        </w:rPr>
        <w:t xml:space="preserve"> </w:t>
      </w:r>
      <w:r w:rsidR="0030689B" w:rsidRPr="00242CE5">
        <w:rPr>
          <w:color w:val="000000" w:themeColor="text1"/>
        </w:rPr>
        <w:t>n=</w:t>
      </w:r>
      <w:r w:rsidR="003E290F" w:rsidRPr="00242CE5">
        <w:rPr>
          <w:color w:val="000000" w:themeColor="text1"/>
        </w:rPr>
        <w:t>9</w:t>
      </w:r>
      <w:r w:rsidR="00C105C4" w:rsidRPr="00242CE5">
        <w:rPr>
          <w:color w:val="000000" w:themeColor="text1"/>
        </w:rPr>
        <w:t xml:space="preserve"> dogs</w:t>
      </w:r>
      <w:r w:rsidR="003E290F" w:rsidRPr="00242CE5">
        <w:rPr>
          <w:color w:val="000000" w:themeColor="text1"/>
        </w:rPr>
        <w:t>, three with secondary osteoarthritis</w:t>
      </w:r>
      <w:r w:rsidR="0030689B" w:rsidRPr="00242CE5">
        <w:rPr>
          <w:color w:val="000000" w:themeColor="text1"/>
        </w:rPr>
        <w:t xml:space="preserve">), </w:t>
      </w:r>
      <w:r w:rsidR="00623248" w:rsidRPr="00242CE5">
        <w:rPr>
          <w:color w:val="000000" w:themeColor="text1"/>
        </w:rPr>
        <w:t xml:space="preserve">hip dysplasia </w:t>
      </w:r>
      <w:r w:rsidR="000851D8" w:rsidRPr="00242CE5">
        <w:rPr>
          <w:color w:val="000000" w:themeColor="text1"/>
        </w:rPr>
        <w:t>(</w:t>
      </w:r>
      <w:r w:rsidR="00BD4DB0" w:rsidRPr="00242CE5">
        <w:rPr>
          <w:color w:val="000000" w:themeColor="text1"/>
        </w:rPr>
        <w:t>14%</w:t>
      </w:r>
      <w:r w:rsidR="0030689B" w:rsidRPr="00242CE5">
        <w:rPr>
          <w:color w:val="000000" w:themeColor="text1"/>
        </w:rPr>
        <w:t>,</w:t>
      </w:r>
      <w:r w:rsidR="000851D8" w:rsidRPr="00242CE5">
        <w:rPr>
          <w:color w:val="000000" w:themeColor="text1"/>
        </w:rPr>
        <w:t xml:space="preserve"> </w:t>
      </w:r>
      <w:r w:rsidR="0030689B" w:rsidRPr="00242CE5">
        <w:rPr>
          <w:color w:val="000000" w:themeColor="text1"/>
        </w:rPr>
        <w:t>n=4</w:t>
      </w:r>
      <w:r w:rsidR="00C105C4" w:rsidRPr="00242CE5">
        <w:rPr>
          <w:color w:val="000000" w:themeColor="text1"/>
        </w:rPr>
        <w:t xml:space="preserve"> dogs</w:t>
      </w:r>
      <w:r w:rsidR="003E290F" w:rsidRPr="00242CE5">
        <w:rPr>
          <w:color w:val="000000" w:themeColor="text1"/>
        </w:rPr>
        <w:t>, three with secondary osteoarthritis</w:t>
      </w:r>
      <w:r w:rsidR="00E25CD6" w:rsidRPr="00242CE5">
        <w:rPr>
          <w:color w:val="000000" w:themeColor="text1"/>
        </w:rPr>
        <w:t xml:space="preserve">) </w:t>
      </w:r>
      <w:r w:rsidR="000851D8" w:rsidRPr="00242CE5">
        <w:rPr>
          <w:color w:val="000000" w:themeColor="text1"/>
        </w:rPr>
        <w:t xml:space="preserve">and </w:t>
      </w:r>
      <w:r w:rsidR="00623248" w:rsidRPr="00242CE5">
        <w:rPr>
          <w:color w:val="000000" w:themeColor="text1"/>
        </w:rPr>
        <w:t xml:space="preserve">immune-mediated polyarthritis </w:t>
      </w:r>
      <w:r w:rsidR="00C105C4" w:rsidRPr="00242CE5">
        <w:rPr>
          <w:color w:val="000000" w:themeColor="text1"/>
        </w:rPr>
        <w:t xml:space="preserve">(considered an orthopaedic disease rather than an internal medicine condition in this study)  </w:t>
      </w:r>
      <w:r w:rsidR="000851D8" w:rsidRPr="00242CE5">
        <w:rPr>
          <w:color w:val="000000" w:themeColor="text1"/>
        </w:rPr>
        <w:t>(</w:t>
      </w:r>
      <w:r w:rsidR="00BD4DB0" w:rsidRPr="00242CE5">
        <w:rPr>
          <w:color w:val="000000" w:themeColor="text1"/>
        </w:rPr>
        <w:t>14%</w:t>
      </w:r>
      <w:r w:rsidR="0030689B" w:rsidRPr="00242CE5">
        <w:rPr>
          <w:color w:val="000000" w:themeColor="text1"/>
        </w:rPr>
        <w:t>,</w:t>
      </w:r>
      <w:r w:rsidR="000851D8" w:rsidRPr="00242CE5">
        <w:rPr>
          <w:color w:val="000000" w:themeColor="text1"/>
        </w:rPr>
        <w:t xml:space="preserve"> </w:t>
      </w:r>
      <w:r w:rsidR="0030689B" w:rsidRPr="00242CE5">
        <w:rPr>
          <w:color w:val="000000" w:themeColor="text1"/>
        </w:rPr>
        <w:t>n=4</w:t>
      </w:r>
      <w:r w:rsidR="00C105C4" w:rsidRPr="00242CE5">
        <w:rPr>
          <w:color w:val="000000" w:themeColor="text1"/>
        </w:rPr>
        <w:t xml:space="preserve"> dogs</w:t>
      </w:r>
      <w:r w:rsidR="003E290F" w:rsidRPr="00242CE5">
        <w:rPr>
          <w:color w:val="000000" w:themeColor="text1"/>
        </w:rPr>
        <w:t>), degenerative joint disease (14%, n=4) of the shoulder (n=1 dog), tarsus (n=1 cat), carpus (n=1 dog) and generalised (n=2 dogs)</w:t>
      </w:r>
      <w:r w:rsidR="0030689B" w:rsidRPr="00242CE5">
        <w:rPr>
          <w:color w:val="000000" w:themeColor="text1"/>
        </w:rPr>
        <w:t xml:space="preserve">. </w:t>
      </w:r>
      <w:r w:rsidR="00C105C4" w:rsidRPr="00242CE5">
        <w:rPr>
          <w:color w:val="000000" w:themeColor="text1"/>
        </w:rPr>
        <w:t>Others were a bone tumour (n=2 dogs), elbow dysplasia (n=1 dog), a</w:t>
      </w:r>
      <w:r w:rsidR="00192290" w:rsidRPr="00242CE5">
        <w:rPr>
          <w:color w:val="000000" w:themeColor="text1"/>
        </w:rPr>
        <w:t xml:space="preserve"> non-vertebral</w:t>
      </w:r>
      <w:r w:rsidR="00C105C4" w:rsidRPr="00242CE5">
        <w:rPr>
          <w:color w:val="000000" w:themeColor="text1"/>
        </w:rPr>
        <w:t xml:space="preserve"> fracture (n=1 dog</w:t>
      </w:r>
      <w:r w:rsidR="003E290F" w:rsidRPr="00242CE5">
        <w:rPr>
          <w:color w:val="000000" w:themeColor="text1"/>
        </w:rPr>
        <w:t>, with secondary osteoarthritis</w:t>
      </w:r>
      <w:r w:rsidR="00C105C4" w:rsidRPr="00242CE5">
        <w:rPr>
          <w:color w:val="000000" w:themeColor="text1"/>
        </w:rPr>
        <w:t>), osteochondrosis</w:t>
      </w:r>
      <w:r w:rsidR="00192290" w:rsidRPr="00242CE5">
        <w:rPr>
          <w:color w:val="000000" w:themeColor="text1"/>
        </w:rPr>
        <w:t xml:space="preserve"> dissecans</w:t>
      </w:r>
      <w:r w:rsidR="00C105C4" w:rsidRPr="00242CE5">
        <w:rPr>
          <w:color w:val="000000" w:themeColor="text1"/>
        </w:rPr>
        <w:t xml:space="preserve"> (n=1 dog</w:t>
      </w:r>
      <w:r w:rsidR="003E290F" w:rsidRPr="00242CE5">
        <w:rPr>
          <w:color w:val="000000" w:themeColor="text1"/>
        </w:rPr>
        <w:t>, with secondary osteoarthritis</w:t>
      </w:r>
      <w:r w:rsidR="00C105C4" w:rsidRPr="00242CE5">
        <w:rPr>
          <w:color w:val="000000" w:themeColor="text1"/>
        </w:rPr>
        <w:t>), and a tendinopathy (n=1 dog).</w:t>
      </w:r>
      <w:r w:rsidR="00192290" w:rsidRPr="00242CE5">
        <w:rPr>
          <w:color w:val="000000" w:themeColor="text1"/>
        </w:rPr>
        <w:t xml:space="preserve"> </w:t>
      </w:r>
    </w:p>
    <w:p w14:paraId="5B9C4ACB" w14:textId="575596E1" w:rsidR="00E25CD6" w:rsidRPr="00242CE5" w:rsidRDefault="000851D8" w:rsidP="000851D8">
      <w:pPr>
        <w:jc w:val="both"/>
        <w:rPr>
          <w:color w:val="000000" w:themeColor="text1"/>
        </w:rPr>
      </w:pPr>
      <w:r w:rsidRPr="00242CE5">
        <w:rPr>
          <w:color w:val="000000" w:themeColor="text1"/>
        </w:rPr>
        <w:lastRenderedPageBreak/>
        <w:t>The</w:t>
      </w:r>
      <w:r w:rsidR="00C105C4" w:rsidRPr="00242CE5">
        <w:rPr>
          <w:color w:val="000000" w:themeColor="text1"/>
        </w:rPr>
        <w:t xml:space="preserve"> main</w:t>
      </w:r>
      <w:r w:rsidRPr="00242CE5">
        <w:rPr>
          <w:color w:val="000000" w:themeColor="text1"/>
        </w:rPr>
        <w:t xml:space="preserve"> final diagnoses for the internal medicine cases include</w:t>
      </w:r>
      <w:r w:rsidR="00396DAD" w:rsidRPr="00242CE5">
        <w:rPr>
          <w:color w:val="000000" w:themeColor="text1"/>
        </w:rPr>
        <w:t>d</w:t>
      </w:r>
      <w:r w:rsidRPr="00242CE5">
        <w:rPr>
          <w:color w:val="000000" w:themeColor="text1"/>
        </w:rPr>
        <w:t xml:space="preserve"> gastrointestinal diseases </w:t>
      </w:r>
      <w:r w:rsidR="003A22B3" w:rsidRPr="00242CE5">
        <w:rPr>
          <w:color w:val="000000" w:themeColor="text1"/>
        </w:rPr>
        <w:t xml:space="preserve">(36%, n=4:  </w:t>
      </w:r>
      <w:r w:rsidR="00741909" w:rsidRPr="00242CE5">
        <w:rPr>
          <w:color w:val="000000" w:themeColor="text1"/>
        </w:rPr>
        <w:t xml:space="preserve">inflammatory bowel disease </w:t>
      </w:r>
      <w:r w:rsidR="003A22B3" w:rsidRPr="00242CE5">
        <w:rPr>
          <w:color w:val="000000" w:themeColor="text1"/>
        </w:rPr>
        <w:t>n=</w:t>
      </w:r>
      <w:r w:rsidR="00C105C4" w:rsidRPr="00242CE5">
        <w:rPr>
          <w:color w:val="000000" w:themeColor="text1"/>
        </w:rPr>
        <w:t>3 (1 cat, 2 dogs)</w:t>
      </w:r>
      <w:r w:rsidR="003E290F" w:rsidRPr="00242CE5">
        <w:rPr>
          <w:color w:val="000000" w:themeColor="text1"/>
        </w:rPr>
        <w:t xml:space="preserve"> and</w:t>
      </w:r>
      <w:r w:rsidR="00C105C4" w:rsidRPr="00242CE5">
        <w:rPr>
          <w:color w:val="000000" w:themeColor="text1"/>
        </w:rPr>
        <w:t xml:space="preserve"> </w:t>
      </w:r>
      <w:r w:rsidR="00741909" w:rsidRPr="00242CE5">
        <w:rPr>
          <w:color w:val="000000" w:themeColor="text1"/>
        </w:rPr>
        <w:t>protein losing enteropathy</w:t>
      </w:r>
      <w:r w:rsidR="003A22B3" w:rsidRPr="00242CE5">
        <w:rPr>
          <w:color w:val="000000" w:themeColor="text1"/>
        </w:rPr>
        <w:t xml:space="preserve"> n=1</w:t>
      </w:r>
      <w:r w:rsidR="00C105C4" w:rsidRPr="00242CE5">
        <w:rPr>
          <w:color w:val="000000" w:themeColor="text1"/>
        </w:rPr>
        <w:t xml:space="preserve"> dog</w:t>
      </w:r>
      <w:r w:rsidR="00BE7367" w:rsidRPr="00242CE5">
        <w:rPr>
          <w:color w:val="000000" w:themeColor="text1"/>
        </w:rPr>
        <w:t>),</w:t>
      </w:r>
      <w:r w:rsidR="003A22B3" w:rsidRPr="00242CE5">
        <w:rPr>
          <w:color w:val="000000" w:themeColor="text1"/>
        </w:rPr>
        <w:t xml:space="preserve"> </w:t>
      </w:r>
      <w:r w:rsidR="00741909" w:rsidRPr="00242CE5">
        <w:rPr>
          <w:color w:val="000000" w:themeColor="text1"/>
        </w:rPr>
        <w:t xml:space="preserve">immune-mediated </w:t>
      </w:r>
      <w:r w:rsidRPr="00242CE5">
        <w:rPr>
          <w:color w:val="000000" w:themeColor="text1"/>
        </w:rPr>
        <w:t>thrombocytopenia (</w:t>
      </w:r>
      <w:r w:rsidR="00BD4DB0" w:rsidRPr="00242CE5">
        <w:rPr>
          <w:color w:val="000000" w:themeColor="text1"/>
        </w:rPr>
        <w:t>18%</w:t>
      </w:r>
      <w:r w:rsidR="0030689B" w:rsidRPr="00242CE5">
        <w:rPr>
          <w:color w:val="000000" w:themeColor="text1"/>
        </w:rPr>
        <w:t>, n=2</w:t>
      </w:r>
      <w:r w:rsidR="00C105C4" w:rsidRPr="00242CE5">
        <w:rPr>
          <w:color w:val="000000" w:themeColor="text1"/>
        </w:rPr>
        <w:t xml:space="preserve"> dogs</w:t>
      </w:r>
      <w:r w:rsidR="0030689B" w:rsidRPr="00242CE5">
        <w:rPr>
          <w:color w:val="000000" w:themeColor="text1"/>
        </w:rPr>
        <w:t>)</w:t>
      </w:r>
      <w:r w:rsidR="003A22B3" w:rsidRPr="00242CE5">
        <w:rPr>
          <w:color w:val="000000" w:themeColor="text1"/>
        </w:rPr>
        <w:t xml:space="preserve"> and hypoadrenocorticism (18%, n=2</w:t>
      </w:r>
      <w:r w:rsidR="00C105C4" w:rsidRPr="00242CE5">
        <w:rPr>
          <w:color w:val="000000" w:themeColor="text1"/>
        </w:rPr>
        <w:t xml:space="preserve"> dogs</w:t>
      </w:r>
      <w:r w:rsidR="003A22B3" w:rsidRPr="00242CE5">
        <w:rPr>
          <w:color w:val="000000" w:themeColor="text1"/>
        </w:rPr>
        <w:t>)</w:t>
      </w:r>
      <w:r w:rsidR="0030689B" w:rsidRPr="00242CE5">
        <w:rPr>
          <w:color w:val="000000" w:themeColor="text1"/>
        </w:rPr>
        <w:t>.</w:t>
      </w:r>
      <w:r w:rsidR="00C105C4" w:rsidRPr="00242CE5">
        <w:rPr>
          <w:color w:val="000000" w:themeColor="text1"/>
        </w:rPr>
        <w:t xml:space="preserve"> Others were lymphoma (n=1 cat), a heart base mass (n=1 dog), hypothyroidism (n=1 dog) and paraphimosis (n=1 dog).</w:t>
      </w:r>
      <w:r w:rsidR="0030689B" w:rsidRPr="00242CE5">
        <w:rPr>
          <w:color w:val="000000" w:themeColor="text1"/>
        </w:rPr>
        <w:t xml:space="preserve"> </w:t>
      </w:r>
      <w:r w:rsidRPr="00242CE5">
        <w:rPr>
          <w:color w:val="000000" w:themeColor="text1"/>
        </w:rPr>
        <w:t xml:space="preserve">The ophthalmological conditions diagnosed were </w:t>
      </w:r>
      <w:r w:rsidR="00864EF6" w:rsidRPr="00242CE5">
        <w:rPr>
          <w:color w:val="000000" w:themeColor="text1"/>
        </w:rPr>
        <w:t>s</w:t>
      </w:r>
      <w:r w:rsidRPr="00242CE5">
        <w:rPr>
          <w:color w:val="000000" w:themeColor="text1"/>
        </w:rPr>
        <w:t xml:space="preserve">udden </w:t>
      </w:r>
      <w:r w:rsidR="0021157D" w:rsidRPr="00242CE5">
        <w:rPr>
          <w:color w:val="000000" w:themeColor="text1"/>
        </w:rPr>
        <w:t>acquired</w:t>
      </w:r>
      <w:r w:rsidRPr="00242CE5">
        <w:rPr>
          <w:color w:val="000000" w:themeColor="text1"/>
        </w:rPr>
        <w:t xml:space="preserve"> </w:t>
      </w:r>
      <w:r w:rsidR="00864EF6" w:rsidRPr="00242CE5">
        <w:rPr>
          <w:color w:val="000000" w:themeColor="text1"/>
        </w:rPr>
        <w:t>r</w:t>
      </w:r>
      <w:r w:rsidRPr="00242CE5">
        <w:rPr>
          <w:color w:val="000000" w:themeColor="text1"/>
        </w:rPr>
        <w:t xml:space="preserve">etinal </w:t>
      </w:r>
      <w:r w:rsidR="00864EF6" w:rsidRPr="00242CE5">
        <w:rPr>
          <w:color w:val="000000" w:themeColor="text1"/>
        </w:rPr>
        <w:t>d</w:t>
      </w:r>
      <w:r w:rsidRPr="00242CE5">
        <w:rPr>
          <w:color w:val="000000" w:themeColor="text1"/>
        </w:rPr>
        <w:t xml:space="preserve">egeneration </w:t>
      </w:r>
      <w:r w:rsidR="00864EF6" w:rsidRPr="00242CE5">
        <w:rPr>
          <w:color w:val="000000" w:themeColor="text1"/>
        </w:rPr>
        <w:t>s</w:t>
      </w:r>
      <w:r w:rsidRPr="00242CE5">
        <w:rPr>
          <w:color w:val="000000" w:themeColor="text1"/>
        </w:rPr>
        <w:t>yndrome (</w:t>
      </w:r>
      <w:r w:rsidR="00BD4DB0" w:rsidRPr="00242CE5">
        <w:rPr>
          <w:color w:val="000000" w:themeColor="text1"/>
        </w:rPr>
        <w:t>67%</w:t>
      </w:r>
      <w:r w:rsidR="0030689B" w:rsidRPr="00242CE5">
        <w:rPr>
          <w:color w:val="000000" w:themeColor="text1"/>
        </w:rPr>
        <w:t>,</w:t>
      </w:r>
      <w:r w:rsidRPr="00242CE5">
        <w:rPr>
          <w:color w:val="000000" w:themeColor="text1"/>
        </w:rPr>
        <w:t xml:space="preserve"> </w:t>
      </w:r>
      <w:r w:rsidR="0030689B" w:rsidRPr="00242CE5">
        <w:rPr>
          <w:color w:val="000000" w:themeColor="text1"/>
        </w:rPr>
        <w:t>n=2</w:t>
      </w:r>
      <w:r w:rsidR="00C105C4" w:rsidRPr="00242CE5">
        <w:rPr>
          <w:color w:val="000000" w:themeColor="text1"/>
        </w:rPr>
        <w:t xml:space="preserve"> dogs</w:t>
      </w:r>
      <w:r w:rsidR="0030689B" w:rsidRPr="00242CE5">
        <w:rPr>
          <w:color w:val="000000" w:themeColor="text1"/>
        </w:rPr>
        <w:t xml:space="preserve">) </w:t>
      </w:r>
      <w:r w:rsidRPr="00242CE5">
        <w:rPr>
          <w:color w:val="000000" w:themeColor="text1"/>
        </w:rPr>
        <w:t xml:space="preserve">and </w:t>
      </w:r>
      <w:r w:rsidR="00864EF6" w:rsidRPr="00242CE5">
        <w:rPr>
          <w:color w:val="000000" w:themeColor="text1"/>
        </w:rPr>
        <w:t>p</w:t>
      </w:r>
      <w:r w:rsidRPr="00242CE5">
        <w:rPr>
          <w:color w:val="000000" w:themeColor="text1"/>
        </w:rPr>
        <w:t xml:space="preserve">rogressive </w:t>
      </w:r>
      <w:r w:rsidR="00864EF6" w:rsidRPr="00242CE5">
        <w:rPr>
          <w:color w:val="000000" w:themeColor="text1"/>
        </w:rPr>
        <w:t>r</w:t>
      </w:r>
      <w:r w:rsidRPr="00242CE5">
        <w:rPr>
          <w:color w:val="000000" w:themeColor="text1"/>
        </w:rPr>
        <w:t xml:space="preserve">etinal </w:t>
      </w:r>
      <w:r w:rsidR="00864EF6" w:rsidRPr="00242CE5">
        <w:rPr>
          <w:color w:val="000000" w:themeColor="text1"/>
        </w:rPr>
        <w:t>a</w:t>
      </w:r>
      <w:r w:rsidRPr="00242CE5">
        <w:rPr>
          <w:color w:val="000000" w:themeColor="text1"/>
        </w:rPr>
        <w:t>trophy (</w:t>
      </w:r>
      <w:r w:rsidR="00BD4DB0" w:rsidRPr="00242CE5">
        <w:rPr>
          <w:color w:val="000000" w:themeColor="text1"/>
        </w:rPr>
        <w:t>33%</w:t>
      </w:r>
      <w:r w:rsidR="0030689B" w:rsidRPr="00242CE5">
        <w:rPr>
          <w:color w:val="000000" w:themeColor="text1"/>
        </w:rPr>
        <w:t>, n=1</w:t>
      </w:r>
      <w:r w:rsidR="00C105C4" w:rsidRPr="00242CE5">
        <w:rPr>
          <w:color w:val="000000" w:themeColor="text1"/>
        </w:rPr>
        <w:t xml:space="preserve"> dog</w:t>
      </w:r>
      <w:r w:rsidR="0030689B" w:rsidRPr="00242CE5">
        <w:rPr>
          <w:color w:val="000000" w:themeColor="text1"/>
        </w:rPr>
        <w:t>).</w:t>
      </w:r>
      <w:r w:rsidR="00192290" w:rsidRPr="00242CE5">
        <w:rPr>
          <w:color w:val="000000" w:themeColor="text1"/>
        </w:rPr>
        <w:t xml:space="preserve"> Some animals presented with more than one condition.</w:t>
      </w:r>
    </w:p>
    <w:p w14:paraId="41716305" w14:textId="77777777" w:rsidR="00E25CD6" w:rsidRPr="00242CE5" w:rsidRDefault="00E25CD6" w:rsidP="000851D8">
      <w:pPr>
        <w:jc w:val="both"/>
        <w:rPr>
          <w:color w:val="000000" w:themeColor="text1"/>
        </w:rPr>
      </w:pPr>
    </w:p>
    <w:p w14:paraId="4FD496A2" w14:textId="6EFB4F34" w:rsidR="000851D8" w:rsidRPr="00242CE5" w:rsidRDefault="000851D8" w:rsidP="000851D8">
      <w:pPr>
        <w:jc w:val="both"/>
        <w:rPr>
          <w:b/>
          <w:color w:val="000000" w:themeColor="text1"/>
        </w:rPr>
      </w:pPr>
      <w:r w:rsidRPr="00242CE5">
        <w:rPr>
          <w:b/>
          <w:color w:val="000000" w:themeColor="text1"/>
        </w:rPr>
        <w:t xml:space="preserve">Presenting clinical signs </w:t>
      </w:r>
      <w:r w:rsidR="00396DAD" w:rsidRPr="00242CE5">
        <w:rPr>
          <w:b/>
          <w:color w:val="000000" w:themeColor="text1"/>
        </w:rPr>
        <w:t xml:space="preserve">associated with </w:t>
      </w:r>
      <w:r w:rsidRPr="00242CE5">
        <w:rPr>
          <w:b/>
          <w:color w:val="000000" w:themeColor="text1"/>
        </w:rPr>
        <w:t>neurological mimics</w:t>
      </w:r>
    </w:p>
    <w:p w14:paraId="2F74A451" w14:textId="097F1B3C" w:rsidR="00C105C4" w:rsidRPr="00242CE5" w:rsidRDefault="00C105C4" w:rsidP="000851D8">
      <w:pPr>
        <w:jc w:val="both"/>
        <w:rPr>
          <w:color w:val="000000" w:themeColor="text1"/>
        </w:rPr>
      </w:pPr>
      <w:r w:rsidRPr="00242CE5">
        <w:rPr>
          <w:color w:val="000000" w:themeColor="text1"/>
        </w:rPr>
        <w:t>Sixty-four percent (n=18</w:t>
      </w:r>
      <w:r w:rsidR="00192290" w:rsidRPr="00242CE5">
        <w:rPr>
          <w:color w:val="000000" w:themeColor="text1"/>
        </w:rPr>
        <w:t xml:space="preserve"> dogs</w:t>
      </w:r>
      <w:r w:rsidRPr="00242CE5">
        <w:rPr>
          <w:color w:val="000000" w:themeColor="text1"/>
        </w:rPr>
        <w:t>) of neurological mimics classified as orthopaedic presented with lameness. Other presenting clinical signs of these cases included pain (14%, n=4</w:t>
      </w:r>
      <w:r w:rsidR="00192290" w:rsidRPr="00242CE5">
        <w:rPr>
          <w:color w:val="000000" w:themeColor="text1"/>
        </w:rPr>
        <w:t xml:space="preserve"> dogs</w:t>
      </w:r>
      <w:r w:rsidRPr="00242CE5">
        <w:rPr>
          <w:color w:val="000000" w:themeColor="text1"/>
        </w:rPr>
        <w:t>), abnormal gait (1</w:t>
      </w:r>
      <w:r w:rsidR="003E290F" w:rsidRPr="00242CE5">
        <w:rPr>
          <w:color w:val="000000" w:themeColor="text1"/>
        </w:rPr>
        <w:t>1</w:t>
      </w:r>
      <w:r w:rsidRPr="00242CE5">
        <w:rPr>
          <w:color w:val="000000" w:themeColor="text1"/>
        </w:rPr>
        <w:t>%, n=3</w:t>
      </w:r>
      <w:r w:rsidR="00192290" w:rsidRPr="00242CE5">
        <w:rPr>
          <w:color w:val="000000" w:themeColor="text1"/>
        </w:rPr>
        <w:t xml:space="preserve"> dogs</w:t>
      </w:r>
      <w:r w:rsidRPr="00242CE5">
        <w:rPr>
          <w:color w:val="000000" w:themeColor="text1"/>
        </w:rPr>
        <w:t>), paraparesis (7%, n=2</w:t>
      </w:r>
      <w:r w:rsidR="00192290" w:rsidRPr="00242CE5">
        <w:rPr>
          <w:color w:val="000000" w:themeColor="text1"/>
        </w:rPr>
        <w:t xml:space="preserve"> dogs</w:t>
      </w:r>
      <w:r w:rsidRPr="00242CE5">
        <w:rPr>
          <w:color w:val="000000" w:themeColor="text1"/>
        </w:rPr>
        <w:t>), abnormal posture, collapse, lethargy, muscle atrophy, stiffness and weakness (</w:t>
      </w:r>
      <w:r w:rsidR="003E290F" w:rsidRPr="00242CE5">
        <w:rPr>
          <w:color w:val="000000" w:themeColor="text1"/>
        </w:rPr>
        <w:t>4</w:t>
      </w:r>
      <w:r w:rsidRPr="00242CE5">
        <w:rPr>
          <w:color w:val="000000" w:themeColor="text1"/>
        </w:rPr>
        <w:t>% each, n=1 each</w:t>
      </w:r>
      <w:r w:rsidR="00192290" w:rsidRPr="00242CE5">
        <w:rPr>
          <w:color w:val="000000" w:themeColor="text1"/>
        </w:rPr>
        <w:t xml:space="preserve"> dogs</w:t>
      </w:r>
      <w:r w:rsidRPr="00242CE5">
        <w:rPr>
          <w:color w:val="000000" w:themeColor="text1"/>
        </w:rPr>
        <w:t xml:space="preserve">). Some </w:t>
      </w:r>
      <w:r w:rsidR="00192290" w:rsidRPr="00242CE5">
        <w:rPr>
          <w:color w:val="000000" w:themeColor="text1"/>
        </w:rPr>
        <w:t>animals</w:t>
      </w:r>
      <w:r w:rsidRPr="00242CE5">
        <w:rPr>
          <w:color w:val="000000" w:themeColor="text1"/>
        </w:rPr>
        <w:t xml:space="preserve"> presented with multiple clinical signs.</w:t>
      </w:r>
    </w:p>
    <w:p w14:paraId="08827784" w14:textId="1458B4CD" w:rsidR="00196C32" w:rsidRPr="00242CE5" w:rsidRDefault="00304A0C" w:rsidP="000851D8">
      <w:pPr>
        <w:jc w:val="both"/>
        <w:rPr>
          <w:color w:val="000000" w:themeColor="text1"/>
        </w:rPr>
      </w:pPr>
      <w:r w:rsidRPr="00242CE5">
        <w:rPr>
          <w:color w:val="000000" w:themeColor="text1"/>
        </w:rPr>
        <w:t xml:space="preserve">For each orthopaedic diagnosis </w:t>
      </w:r>
      <w:r w:rsidR="003E290F" w:rsidRPr="00242CE5">
        <w:rPr>
          <w:color w:val="000000" w:themeColor="text1"/>
        </w:rPr>
        <w:t xml:space="preserve">with lameness, </w:t>
      </w:r>
      <w:r w:rsidRPr="00242CE5">
        <w:rPr>
          <w:color w:val="000000" w:themeColor="text1"/>
        </w:rPr>
        <w:t>the number of cases with bilateral rather than unilateral lameness was recorded</w:t>
      </w:r>
      <w:r w:rsidR="003E290F" w:rsidRPr="00242CE5">
        <w:rPr>
          <w:color w:val="000000" w:themeColor="text1"/>
        </w:rPr>
        <w:t>.</w:t>
      </w:r>
      <w:r w:rsidRPr="00242CE5">
        <w:rPr>
          <w:color w:val="000000" w:themeColor="text1"/>
        </w:rPr>
        <w:t xml:space="preserve"> </w:t>
      </w:r>
      <w:r w:rsidR="003E290F" w:rsidRPr="00242CE5">
        <w:rPr>
          <w:color w:val="000000" w:themeColor="text1"/>
        </w:rPr>
        <w:t>T</w:t>
      </w:r>
      <w:r w:rsidR="00192290" w:rsidRPr="00242CE5">
        <w:rPr>
          <w:color w:val="000000" w:themeColor="text1"/>
        </w:rPr>
        <w:t xml:space="preserve">wo </w:t>
      </w:r>
      <w:r w:rsidRPr="00242CE5">
        <w:rPr>
          <w:color w:val="000000" w:themeColor="text1"/>
        </w:rPr>
        <w:t>c</w:t>
      </w:r>
      <w:r w:rsidR="001F730E" w:rsidRPr="00242CE5">
        <w:rPr>
          <w:color w:val="000000" w:themeColor="text1"/>
        </w:rPr>
        <w:t>ruciate</w:t>
      </w:r>
      <w:r w:rsidRPr="00242CE5">
        <w:rPr>
          <w:color w:val="000000" w:themeColor="text1"/>
        </w:rPr>
        <w:t xml:space="preserve"> ligament disease </w:t>
      </w:r>
      <w:r w:rsidR="00192290" w:rsidRPr="00242CE5">
        <w:rPr>
          <w:color w:val="000000" w:themeColor="text1"/>
        </w:rPr>
        <w:t>cases</w:t>
      </w:r>
      <w:r w:rsidR="003952DA" w:rsidRPr="00242CE5">
        <w:rPr>
          <w:color w:val="000000" w:themeColor="text1"/>
        </w:rPr>
        <w:t xml:space="preserve"> and</w:t>
      </w:r>
      <w:r w:rsidRPr="00242CE5">
        <w:rPr>
          <w:color w:val="000000" w:themeColor="text1"/>
        </w:rPr>
        <w:t xml:space="preserve"> </w:t>
      </w:r>
      <w:r w:rsidR="00192290" w:rsidRPr="00242CE5">
        <w:rPr>
          <w:color w:val="000000" w:themeColor="text1"/>
        </w:rPr>
        <w:t xml:space="preserve">two </w:t>
      </w:r>
      <w:r w:rsidRPr="00242CE5">
        <w:rPr>
          <w:color w:val="000000" w:themeColor="text1"/>
        </w:rPr>
        <w:t xml:space="preserve">hip dysplasia </w:t>
      </w:r>
      <w:r w:rsidR="00192290" w:rsidRPr="00242CE5">
        <w:rPr>
          <w:color w:val="000000" w:themeColor="text1"/>
        </w:rPr>
        <w:t>cases</w:t>
      </w:r>
      <w:r w:rsidR="003952DA" w:rsidRPr="00242CE5">
        <w:rPr>
          <w:color w:val="000000" w:themeColor="text1"/>
        </w:rPr>
        <w:t xml:space="preserve"> were bilateral</w:t>
      </w:r>
      <w:r w:rsidR="00192290" w:rsidRPr="00242CE5">
        <w:rPr>
          <w:color w:val="000000" w:themeColor="text1"/>
        </w:rPr>
        <w:t xml:space="preserve">, no </w:t>
      </w:r>
      <w:r w:rsidR="00D604F5" w:rsidRPr="00242CE5">
        <w:rPr>
          <w:color w:val="000000" w:themeColor="text1"/>
        </w:rPr>
        <w:t>degenerative joint disease</w:t>
      </w:r>
      <w:r w:rsidR="003E290F" w:rsidRPr="00242CE5">
        <w:rPr>
          <w:color w:val="000000" w:themeColor="text1"/>
        </w:rPr>
        <w:t xml:space="preserve">, </w:t>
      </w:r>
      <w:r w:rsidRPr="00242CE5">
        <w:rPr>
          <w:color w:val="000000" w:themeColor="text1"/>
        </w:rPr>
        <w:t>e</w:t>
      </w:r>
      <w:r w:rsidR="001F730E" w:rsidRPr="00242CE5">
        <w:rPr>
          <w:color w:val="000000" w:themeColor="text1"/>
        </w:rPr>
        <w:t>lbow dysplasia</w:t>
      </w:r>
      <w:r w:rsidR="00192290" w:rsidRPr="00242CE5">
        <w:rPr>
          <w:color w:val="000000" w:themeColor="text1"/>
        </w:rPr>
        <w:t>,</w:t>
      </w:r>
      <w:r w:rsidRPr="00242CE5">
        <w:rPr>
          <w:color w:val="000000" w:themeColor="text1"/>
        </w:rPr>
        <w:t xml:space="preserve"> </w:t>
      </w:r>
      <w:r w:rsidR="00192290" w:rsidRPr="00242CE5">
        <w:rPr>
          <w:color w:val="000000" w:themeColor="text1"/>
        </w:rPr>
        <w:t>osteochondrosis dissecans,</w:t>
      </w:r>
      <w:r w:rsidR="001F730E" w:rsidRPr="00242CE5">
        <w:rPr>
          <w:color w:val="000000" w:themeColor="text1"/>
        </w:rPr>
        <w:t xml:space="preserve"> </w:t>
      </w:r>
      <w:r w:rsidR="00192290" w:rsidRPr="00242CE5">
        <w:rPr>
          <w:color w:val="000000" w:themeColor="text1"/>
        </w:rPr>
        <w:t xml:space="preserve">non-vertebral </w:t>
      </w:r>
      <w:r w:rsidR="001F730E" w:rsidRPr="00242CE5">
        <w:rPr>
          <w:color w:val="000000" w:themeColor="text1"/>
        </w:rPr>
        <w:t>fracture</w:t>
      </w:r>
      <w:r w:rsidR="00192290" w:rsidRPr="00242CE5">
        <w:rPr>
          <w:color w:val="000000" w:themeColor="text1"/>
        </w:rPr>
        <w:t xml:space="preserve"> or </w:t>
      </w:r>
      <w:r w:rsidR="001F730E" w:rsidRPr="00242CE5">
        <w:rPr>
          <w:color w:val="000000" w:themeColor="text1"/>
        </w:rPr>
        <w:t>bone tumour</w:t>
      </w:r>
      <w:r w:rsidR="00192290" w:rsidRPr="00242CE5">
        <w:rPr>
          <w:color w:val="000000" w:themeColor="text1"/>
        </w:rPr>
        <w:t xml:space="preserve"> cases were</w:t>
      </w:r>
      <w:r w:rsidR="003952DA" w:rsidRPr="00242CE5">
        <w:rPr>
          <w:color w:val="000000" w:themeColor="text1"/>
        </w:rPr>
        <w:t xml:space="preserve"> reported as</w:t>
      </w:r>
      <w:r w:rsidR="00192290" w:rsidRPr="00242CE5">
        <w:rPr>
          <w:color w:val="000000" w:themeColor="text1"/>
        </w:rPr>
        <w:t xml:space="preserve"> bilateral</w:t>
      </w:r>
      <w:r w:rsidR="003952DA" w:rsidRPr="00242CE5">
        <w:rPr>
          <w:color w:val="000000" w:themeColor="text1"/>
        </w:rPr>
        <w:t>;</w:t>
      </w:r>
      <w:r w:rsidR="00192290" w:rsidRPr="00242CE5">
        <w:rPr>
          <w:color w:val="000000" w:themeColor="text1"/>
        </w:rPr>
        <w:t xml:space="preserve"> the </w:t>
      </w:r>
      <w:r w:rsidR="001F730E" w:rsidRPr="00242CE5">
        <w:rPr>
          <w:color w:val="000000" w:themeColor="text1"/>
        </w:rPr>
        <w:t xml:space="preserve">tendinopathy </w:t>
      </w:r>
      <w:r w:rsidR="00192290" w:rsidRPr="00242CE5">
        <w:rPr>
          <w:color w:val="000000" w:themeColor="text1"/>
        </w:rPr>
        <w:t>case was unilateral</w:t>
      </w:r>
      <w:r w:rsidR="001F730E" w:rsidRPr="00242CE5">
        <w:rPr>
          <w:color w:val="000000" w:themeColor="text1"/>
        </w:rPr>
        <w:t>.</w:t>
      </w:r>
      <w:r w:rsidR="006C54CA" w:rsidRPr="00242CE5">
        <w:rPr>
          <w:color w:val="000000" w:themeColor="text1"/>
        </w:rPr>
        <w:t xml:space="preserve"> </w:t>
      </w:r>
      <w:r w:rsidR="00063B7B" w:rsidRPr="00242CE5">
        <w:rPr>
          <w:color w:val="000000" w:themeColor="text1"/>
        </w:rPr>
        <w:t xml:space="preserve">As cruciate ligament disease was the most common orthopaedic condition, further details of the cases were investigated </w:t>
      </w:r>
      <w:r w:rsidR="0021157D" w:rsidRPr="00242CE5">
        <w:rPr>
          <w:color w:val="000000" w:themeColor="text1"/>
        </w:rPr>
        <w:t xml:space="preserve">in Supplementary </w:t>
      </w:r>
      <w:r w:rsidR="00063B7B" w:rsidRPr="00242CE5">
        <w:rPr>
          <w:color w:val="000000" w:themeColor="text1"/>
        </w:rPr>
        <w:t>Tabl</w:t>
      </w:r>
      <w:r w:rsidR="00196C32" w:rsidRPr="00242CE5">
        <w:rPr>
          <w:color w:val="000000" w:themeColor="text1"/>
        </w:rPr>
        <w:t xml:space="preserve">e </w:t>
      </w:r>
      <w:r w:rsidR="0021157D" w:rsidRPr="00242CE5">
        <w:rPr>
          <w:color w:val="000000" w:themeColor="text1"/>
        </w:rPr>
        <w:t>1</w:t>
      </w:r>
      <w:r w:rsidR="00196C32" w:rsidRPr="00242CE5">
        <w:rPr>
          <w:color w:val="000000" w:themeColor="text1"/>
        </w:rPr>
        <w:t>.</w:t>
      </w:r>
    </w:p>
    <w:p w14:paraId="4CCCBD2C" w14:textId="1FA5F087" w:rsidR="00C105C4" w:rsidRPr="00242CE5" w:rsidRDefault="000851D8" w:rsidP="000851D8">
      <w:pPr>
        <w:jc w:val="both"/>
        <w:rPr>
          <w:color w:val="000000" w:themeColor="text1"/>
        </w:rPr>
      </w:pPr>
      <w:r w:rsidRPr="00242CE5">
        <w:rPr>
          <w:color w:val="000000" w:themeColor="text1"/>
        </w:rPr>
        <w:lastRenderedPageBreak/>
        <w:t>Internal medicine conditions</w:t>
      </w:r>
      <w:r w:rsidR="00192290" w:rsidRPr="00242CE5">
        <w:rPr>
          <w:color w:val="000000" w:themeColor="text1"/>
        </w:rPr>
        <w:t xml:space="preserve"> presented to the neurology department</w:t>
      </w:r>
      <w:r w:rsidRPr="00242CE5">
        <w:rPr>
          <w:color w:val="000000" w:themeColor="text1"/>
        </w:rPr>
        <w:t xml:space="preserve"> most commonly presented with pain</w:t>
      </w:r>
      <w:r w:rsidR="00C105C4" w:rsidRPr="00242CE5">
        <w:rPr>
          <w:color w:val="000000" w:themeColor="text1"/>
        </w:rPr>
        <w:t xml:space="preserve"> </w:t>
      </w:r>
      <w:r w:rsidRPr="00242CE5">
        <w:rPr>
          <w:color w:val="000000" w:themeColor="text1"/>
        </w:rPr>
        <w:t>(</w:t>
      </w:r>
      <w:r w:rsidR="002C34DF" w:rsidRPr="00242CE5">
        <w:rPr>
          <w:color w:val="000000" w:themeColor="text1"/>
        </w:rPr>
        <w:t>45</w:t>
      </w:r>
      <w:r w:rsidR="0030689B" w:rsidRPr="00242CE5">
        <w:rPr>
          <w:color w:val="000000" w:themeColor="text1"/>
        </w:rPr>
        <w:t>%, n=5</w:t>
      </w:r>
      <w:r w:rsidR="00192290" w:rsidRPr="00242CE5">
        <w:rPr>
          <w:color w:val="000000" w:themeColor="text1"/>
        </w:rPr>
        <w:t xml:space="preserve"> dogs</w:t>
      </w:r>
      <w:r w:rsidR="0030689B" w:rsidRPr="00242CE5">
        <w:rPr>
          <w:color w:val="000000" w:themeColor="text1"/>
        </w:rPr>
        <w:t>)</w:t>
      </w:r>
      <w:r w:rsidR="00396DAD" w:rsidRPr="00242CE5">
        <w:rPr>
          <w:color w:val="000000" w:themeColor="text1"/>
        </w:rPr>
        <w:t xml:space="preserve">, </w:t>
      </w:r>
      <w:r w:rsidR="00F46E6C" w:rsidRPr="00242CE5">
        <w:rPr>
          <w:color w:val="000000" w:themeColor="text1"/>
        </w:rPr>
        <w:t>weakness</w:t>
      </w:r>
      <w:r w:rsidR="00F46E6C" w:rsidRPr="00242CE5" w:rsidDel="00F46E6C">
        <w:rPr>
          <w:color w:val="000000" w:themeColor="text1"/>
        </w:rPr>
        <w:t xml:space="preserve"> </w:t>
      </w:r>
      <w:r w:rsidR="00F46E6C" w:rsidRPr="00242CE5">
        <w:rPr>
          <w:color w:val="000000" w:themeColor="text1"/>
        </w:rPr>
        <w:t>(27%, n=3</w:t>
      </w:r>
      <w:r w:rsidR="00192290" w:rsidRPr="00242CE5">
        <w:rPr>
          <w:color w:val="000000" w:themeColor="text1"/>
        </w:rPr>
        <w:t xml:space="preserve"> dogs</w:t>
      </w:r>
      <w:r w:rsidR="00F46E6C" w:rsidRPr="00242CE5">
        <w:rPr>
          <w:color w:val="000000" w:themeColor="text1"/>
        </w:rPr>
        <w:t xml:space="preserve">), </w:t>
      </w:r>
      <w:r w:rsidR="00192290" w:rsidRPr="00242CE5">
        <w:rPr>
          <w:color w:val="000000" w:themeColor="text1"/>
        </w:rPr>
        <w:t xml:space="preserve">or </w:t>
      </w:r>
      <w:r w:rsidRPr="00242CE5">
        <w:rPr>
          <w:color w:val="000000" w:themeColor="text1"/>
        </w:rPr>
        <w:t>weight loss (2</w:t>
      </w:r>
      <w:r w:rsidR="002C34DF" w:rsidRPr="00242CE5">
        <w:rPr>
          <w:color w:val="000000" w:themeColor="text1"/>
        </w:rPr>
        <w:t>7</w:t>
      </w:r>
      <w:r w:rsidRPr="00242CE5">
        <w:rPr>
          <w:color w:val="000000" w:themeColor="text1"/>
        </w:rPr>
        <w:t>%</w:t>
      </w:r>
      <w:r w:rsidR="0030689B" w:rsidRPr="00242CE5">
        <w:rPr>
          <w:color w:val="000000" w:themeColor="text1"/>
        </w:rPr>
        <w:t>, n=3</w:t>
      </w:r>
      <w:r w:rsidR="00192290" w:rsidRPr="00242CE5">
        <w:rPr>
          <w:color w:val="000000" w:themeColor="text1"/>
        </w:rPr>
        <w:t>, 1 cat, 2 dogs</w:t>
      </w:r>
      <w:r w:rsidRPr="00242CE5">
        <w:rPr>
          <w:color w:val="000000" w:themeColor="text1"/>
        </w:rPr>
        <w:t>)</w:t>
      </w:r>
      <w:r w:rsidR="00192290" w:rsidRPr="00242CE5">
        <w:rPr>
          <w:color w:val="000000" w:themeColor="text1"/>
        </w:rPr>
        <w:t xml:space="preserve">. Other clinical signs for these cases included </w:t>
      </w:r>
      <w:r w:rsidRPr="00242CE5">
        <w:rPr>
          <w:color w:val="000000" w:themeColor="text1"/>
        </w:rPr>
        <w:t>abnormal behaviour</w:t>
      </w:r>
      <w:r w:rsidR="00192290" w:rsidRPr="00242CE5">
        <w:rPr>
          <w:color w:val="000000" w:themeColor="text1"/>
        </w:rPr>
        <w:t>*,</w:t>
      </w:r>
      <w:r w:rsidRPr="00242CE5">
        <w:rPr>
          <w:color w:val="000000" w:themeColor="text1"/>
        </w:rPr>
        <w:t xml:space="preserve"> </w:t>
      </w:r>
      <w:r w:rsidR="00192290" w:rsidRPr="00242CE5">
        <w:rPr>
          <w:color w:val="000000" w:themeColor="text1"/>
        </w:rPr>
        <w:t xml:space="preserve">abnormal gait*, abnormal posture and involuntary movement </w:t>
      </w:r>
      <w:r w:rsidRPr="00242CE5">
        <w:rPr>
          <w:color w:val="000000" w:themeColor="text1"/>
        </w:rPr>
        <w:t>(</w:t>
      </w:r>
      <w:r w:rsidR="00192290" w:rsidRPr="00242CE5">
        <w:rPr>
          <w:color w:val="000000" w:themeColor="text1"/>
        </w:rPr>
        <w:t>18</w:t>
      </w:r>
      <w:r w:rsidRPr="00242CE5">
        <w:rPr>
          <w:color w:val="000000" w:themeColor="text1"/>
        </w:rPr>
        <w:t>%</w:t>
      </w:r>
      <w:r w:rsidR="00192290" w:rsidRPr="00242CE5">
        <w:rPr>
          <w:color w:val="000000" w:themeColor="text1"/>
        </w:rPr>
        <w:t xml:space="preserve"> each,</w:t>
      </w:r>
      <w:r w:rsidR="0030689B" w:rsidRPr="00242CE5">
        <w:rPr>
          <w:color w:val="000000" w:themeColor="text1"/>
        </w:rPr>
        <w:t xml:space="preserve"> n=</w:t>
      </w:r>
      <w:r w:rsidR="00192290" w:rsidRPr="00242CE5">
        <w:rPr>
          <w:color w:val="000000" w:themeColor="text1"/>
        </w:rPr>
        <w:t>2, 2 dogs, *1 cat</w:t>
      </w:r>
      <w:r w:rsidRPr="00242CE5">
        <w:rPr>
          <w:color w:val="000000" w:themeColor="text1"/>
        </w:rPr>
        <w:t>)</w:t>
      </w:r>
      <w:r w:rsidR="00192290" w:rsidRPr="00242CE5">
        <w:rPr>
          <w:color w:val="000000" w:themeColor="text1"/>
        </w:rPr>
        <w:t xml:space="preserve">, </w:t>
      </w:r>
      <w:r w:rsidR="00C105C4" w:rsidRPr="00242CE5">
        <w:rPr>
          <w:color w:val="000000" w:themeColor="text1"/>
        </w:rPr>
        <w:t>ataxia</w:t>
      </w:r>
      <w:r w:rsidR="00192290" w:rsidRPr="00242CE5">
        <w:rPr>
          <w:color w:val="000000" w:themeColor="text1"/>
        </w:rPr>
        <w:t xml:space="preserve">, </w:t>
      </w:r>
      <w:r w:rsidR="00C105C4" w:rsidRPr="00242CE5">
        <w:rPr>
          <w:color w:val="000000" w:themeColor="text1"/>
        </w:rPr>
        <w:t>exercise intolerance</w:t>
      </w:r>
      <w:r w:rsidR="00192290" w:rsidRPr="00242CE5">
        <w:rPr>
          <w:color w:val="000000" w:themeColor="text1"/>
        </w:rPr>
        <w:t xml:space="preserve">, </w:t>
      </w:r>
      <w:r w:rsidR="00C105C4" w:rsidRPr="00242CE5">
        <w:rPr>
          <w:color w:val="000000" w:themeColor="text1"/>
        </w:rPr>
        <w:t>lethargy</w:t>
      </w:r>
      <w:r w:rsidR="00192290" w:rsidRPr="00242CE5">
        <w:rPr>
          <w:color w:val="000000" w:themeColor="text1"/>
        </w:rPr>
        <w:t xml:space="preserve">, </w:t>
      </w:r>
      <w:r w:rsidR="00C105C4" w:rsidRPr="00242CE5">
        <w:rPr>
          <w:color w:val="000000" w:themeColor="text1"/>
        </w:rPr>
        <w:t xml:space="preserve">pyrexia </w:t>
      </w:r>
      <w:r w:rsidR="00192290" w:rsidRPr="00242CE5">
        <w:rPr>
          <w:color w:val="000000" w:themeColor="text1"/>
        </w:rPr>
        <w:t>and</w:t>
      </w:r>
      <w:r w:rsidR="00C105C4" w:rsidRPr="00242CE5">
        <w:rPr>
          <w:color w:val="000000" w:themeColor="text1"/>
        </w:rPr>
        <w:t xml:space="preserve"> vomiting </w:t>
      </w:r>
      <w:r w:rsidR="00192290" w:rsidRPr="00242CE5">
        <w:rPr>
          <w:color w:val="000000" w:themeColor="text1"/>
        </w:rPr>
        <w:t xml:space="preserve">(9% each, </w:t>
      </w:r>
      <w:r w:rsidR="00C105C4" w:rsidRPr="00242CE5">
        <w:rPr>
          <w:color w:val="000000" w:themeColor="text1"/>
        </w:rPr>
        <w:t>n=1</w:t>
      </w:r>
      <w:r w:rsidR="00192290" w:rsidRPr="00242CE5">
        <w:rPr>
          <w:color w:val="000000" w:themeColor="text1"/>
        </w:rPr>
        <w:t xml:space="preserve"> dog)</w:t>
      </w:r>
      <w:r w:rsidR="00C105C4" w:rsidRPr="00242CE5">
        <w:rPr>
          <w:color w:val="000000" w:themeColor="text1"/>
        </w:rPr>
        <w:t xml:space="preserve">. </w:t>
      </w:r>
      <w:r w:rsidR="00C965F5" w:rsidRPr="00242CE5">
        <w:rPr>
          <w:color w:val="000000" w:themeColor="text1"/>
        </w:rPr>
        <w:t>Ophthalmological conditions presented with blindness (6</w:t>
      </w:r>
      <w:r w:rsidR="003E290F" w:rsidRPr="00242CE5">
        <w:rPr>
          <w:color w:val="000000" w:themeColor="text1"/>
        </w:rPr>
        <w:t>7</w:t>
      </w:r>
      <w:r w:rsidR="00C965F5" w:rsidRPr="00242CE5">
        <w:rPr>
          <w:color w:val="000000" w:themeColor="text1"/>
        </w:rPr>
        <w:t>%, n=2</w:t>
      </w:r>
      <w:r w:rsidR="00192290" w:rsidRPr="00242CE5">
        <w:rPr>
          <w:color w:val="000000" w:themeColor="text1"/>
        </w:rPr>
        <w:t xml:space="preserve"> dogs</w:t>
      </w:r>
      <w:r w:rsidR="00C965F5" w:rsidRPr="00242CE5">
        <w:rPr>
          <w:color w:val="000000" w:themeColor="text1"/>
        </w:rPr>
        <w:t>) or abnormal behaviour (33%, n=1</w:t>
      </w:r>
      <w:r w:rsidR="00192290" w:rsidRPr="00242CE5">
        <w:rPr>
          <w:color w:val="000000" w:themeColor="text1"/>
        </w:rPr>
        <w:t xml:space="preserve"> dog</w:t>
      </w:r>
      <w:r w:rsidR="00C965F5" w:rsidRPr="00242CE5">
        <w:rPr>
          <w:color w:val="000000" w:themeColor="text1"/>
        </w:rPr>
        <w:t>)</w:t>
      </w:r>
      <w:r w:rsidR="00192290" w:rsidRPr="00242CE5">
        <w:rPr>
          <w:color w:val="000000" w:themeColor="text1"/>
        </w:rPr>
        <w:t>. Some animals presented with multiple clinical signs.</w:t>
      </w:r>
    </w:p>
    <w:p w14:paraId="07C8D0C6" w14:textId="77777777" w:rsidR="00C105C4" w:rsidRPr="00242CE5" w:rsidRDefault="00C105C4" w:rsidP="000851D8">
      <w:pPr>
        <w:jc w:val="both"/>
        <w:rPr>
          <w:color w:val="000000" w:themeColor="text1"/>
        </w:rPr>
      </w:pPr>
    </w:p>
    <w:p w14:paraId="51B6A460" w14:textId="443EC3E5" w:rsidR="00396DAD" w:rsidRPr="00242CE5" w:rsidRDefault="000851D8" w:rsidP="00396DAD">
      <w:pPr>
        <w:jc w:val="both"/>
        <w:rPr>
          <w:color w:val="000000" w:themeColor="text1"/>
        </w:rPr>
      </w:pPr>
      <w:r w:rsidRPr="00242CE5">
        <w:rPr>
          <w:color w:val="000000" w:themeColor="text1"/>
        </w:rPr>
        <w:t xml:space="preserve">To assess whether certain clinical signs were more commonly seen with neurological mimics than with </w:t>
      </w:r>
      <w:r w:rsidR="0030689B" w:rsidRPr="00242CE5">
        <w:rPr>
          <w:color w:val="000000" w:themeColor="text1"/>
        </w:rPr>
        <w:t>primary</w:t>
      </w:r>
      <w:r w:rsidRPr="00242CE5">
        <w:rPr>
          <w:color w:val="000000" w:themeColor="text1"/>
        </w:rPr>
        <w:t xml:space="preserve"> neurological conditions, the</w:t>
      </w:r>
      <w:r w:rsidRPr="00242CE5">
        <w:rPr>
          <w:rFonts w:eastAsia="Times New Roman" w:cstheme="minorHAnsi"/>
          <w:color w:val="000000" w:themeColor="text1"/>
        </w:rPr>
        <w:t xml:space="preserve"> main presenting clinical signs w</w:t>
      </w:r>
      <w:r w:rsidR="00192290" w:rsidRPr="00242CE5">
        <w:rPr>
          <w:rFonts w:eastAsia="Times New Roman" w:cstheme="minorHAnsi"/>
          <w:color w:val="000000" w:themeColor="text1"/>
        </w:rPr>
        <w:t>ere</w:t>
      </w:r>
      <w:r w:rsidRPr="00242CE5">
        <w:rPr>
          <w:rFonts w:eastAsia="Times New Roman" w:cstheme="minorHAnsi"/>
          <w:color w:val="000000" w:themeColor="text1"/>
        </w:rPr>
        <w:t xml:space="preserve"> compared between these </w:t>
      </w:r>
      <w:r w:rsidR="00277758" w:rsidRPr="00242CE5">
        <w:rPr>
          <w:rFonts w:eastAsia="Times New Roman" w:cstheme="minorHAnsi"/>
          <w:color w:val="000000" w:themeColor="text1"/>
        </w:rPr>
        <w:t>two</w:t>
      </w:r>
      <w:r w:rsidRPr="00242CE5">
        <w:rPr>
          <w:rFonts w:eastAsia="Times New Roman" w:cstheme="minorHAnsi"/>
          <w:color w:val="000000" w:themeColor="text1"/>
        </w:rPr>
        <w:t xml:space="preserve"> categories</w:t>
      </w:r>
      <w:r w:rsidR="0030689B" w:rsidRPr="00242CE5">
        <w:rPr>
          <w:rFonts w:eastAsia="Times New Roman" w:cstheme="minorHAnsi"/>
          <w:color w:val="000000" w:themeColor="text1"/>
        </w:rPr>
        <w:t xml:space="preserve"> (Table </w:t>
      </w:r>
      <w:r w:rsidR="00192290" w:rsidRPr="00242CE5">
        <w:rPr>
          <w:rFonts w:eastAsia="Times New Roman" w:cstheme="minorHAnsi"/>
          <w:color w:val="000000" w:themeColor="text1"/>
        </w:rPr>
        <w:t>1</w:t>
      </w:r>
      <w:r w:rsidR="0030689B" w:rsidRPr="00242CE5">
        <w:rPr>
          <w:rFonts w:eastAsia="Times New Roman" w:cstheme="minorHAnsi"/>
          <w:color w:val="000000" w:themeColor="text1"/>
        </w:rPr>
        <w:t>)</w:t>
      </w:r>
      <w:r w:rsidRPr="00242CE5">
        <w:rPr>
          <w:rFonts w:eastAsia="Times New Roman" w:cstheme="minorHAnsi"/>
          <w:color w:val="000000" w:themeColor="text1"/>
        </w:rPr>
        <w:t>.</w:t>
      </w:r>
      <w:r w:rsidR="00396DAD" w:rsidRPr="00242CE5">
        <w:rPr>
          <w:color w:val="000000" w:themeColor="text1"/>
        </w:rPr>
        <w:t xml:space="preserve"> There was no significant statistical association between the presenting clinical sign and whether the final diagnosis </w:t>
      </w:r>
      <w:r w:rsidR="0047535F" w:rsidRPr="00242CE5">
        <w:rPr>
          <w:color w:val="000000" w:themeColor="text1"/>
        </w:rPr>
        <w:t>was</w:t>
      </w:r>
      <w:r w:rsidR="00396DAD" w:rsidRPr="00242CE5">
        <w:rPr>
          <w:color w:val="000000" w:themeColor="text1"/>
        </w:rPr>
        <w:t xml:space="preserve"> primary neurological or a neurological mimic, except for lameness (P &lt;0.001). Lameness was determined to be </w:t>
      </w:r>
      <w:r w:rsidR="003E290F" w:rsidRPr="00242CE5">
        <w:rPr>
          <w:color w:val="000000" w:themeColor="text1"/>
        </w:rPr>
        <w:t>5.4</w:t>
      </w:r>
      <w:r w:rsidR="007B0C9E">
        <w:rPr>
          <w:color w:val="000000" w:themeColor="text1"/>
        </w:rPr>
        <w:t>2</w:t>
      </w:r>
      <w:r w:rsidR="00396DAD" w:rsidRPr="00242CE5">
        <w:rPr>
          <w:color w:val="000000" w:themeColor="text1"/>
        </w:rPr>
        <w:t xml:space="preserve"> times more likely to be observed in neurological mimics than in primary neurological cases (Table </w:t>
      </w:r>
      <w:r w:rsidR="00192290" w:rsidRPr="00242CE5">
        <w:rPr>
          <w:color w:val="000000" w:themeColor="text1"/>
        </w:rPr>
        <w:t>2</w:t>
      </w:r>
      <w:r w:rsidR="00396DAD" w:rsidRPr="00242CE5">
        <w:rPr>
          <w:color w:val="000000" w:themeColor="text1"/>
        </w:rPr>
        <w:t xml:space="preserve">). </w:t>
      </w:r>
    </w:p>
    <w:p w14:paraId="301A73F5" w14:textId="01DF55F9" w:rsidR="00EA4B2E" w:rsidRPr="00242CE5" w:rsidRDefault="00EA4B2E" w:rsidP="00396DAD">
      <w:pPr>
        <w:jc w:val="both"/>
        <w:rPr>
          <w:color w:val="000000" w:themeColor="text1"/>
        </w:rPr>
      </w:pPr>
    </w:p>
    <w:p w14:paraId="0342B28A" w14:textId="33761351" w:rsidR="000851D8" w:rsidRPr="00242CE5" w:rsidRDefault="00396DAD" w:rsidP="000851D8">
      <w:pPr>
        <w:jc w:val="both"/>
        <w:rPr>
          <w:b/>
          <w:color w:val="000000" w:themeColor="text1"/>
        </w:rPr>
      </w:pPr>
      <w:r w:rsidRPr="00242CE5" w:rsidDel="00396DAD">
        <w:rPr>
          <w:b/>
          <w:color w:val="000000" w:themeColor="text1"/>
        </w:rPr>
        <w:t xml:space="preserve"> </w:t>
      </w:r>
      <w:r w:rsidR="000851D8" w:rsidRPr="00242CE5">
        <w:rPr>
          <w:b/>
          <w:color w:val="000000" w:themeColor="text1"/>
        </w:rPr>
        <w:t xml:space="preserve">Presence of neurological </w:t>
      </w:r>
      <w:r w:rsidR="00C80AA4" w:rsidRPr="00242CE5">
        <w:rPr>
          <w:b/>
          <w:color w:val="000000" w:themeColor="text1"/>
        </w:rPr>
        <w:t>deficits</w:t>
      </w:r>
      <w:r w:rsidR="000851D8" w:rsidRPr="00242CE5">
        <w:rPr>
          <w:b/>
          <w:color w:val="000000" w:themeColor="text1"/>
        </w:rPr>
        <w:t xml:space="preserve"> in neurological mimics</w:t>
      </w:r>
    </w:p>
    <w:p w14:paraId="15C8FB17" w14:textId="1ED857C6" w:rsidR="00AB2997" w:rsidRPr="00242CE5" w:rsidRDefault="0030689B" w:rsidP="000851D8">
      <w:pPr>
        <w:jc w:val="both"/>
        <w:rPr>
          <w:color w:val="000000" w:themeColor="text1"/>
        </w:rPr>
      </w:pPr>
      <w:r w:rsidRPr="00242CE5">
        <w:rPr>
          <w:color w:val="000000" w:themeColor="text1"/>
        </w:rPr>
        <w:t>The neurological examination results</w:t>
      </w:r>
      <w:r w:rsidR="00E4175D" w:rsidRPr="00242CE5">
        <w:rPr>
          <w:color w:val="000000" w:themeColor="text1"/>
        </w:rPr>
        <w:t xml:space="preserve"> </w:t>
      </w:r>
      <w:r w:rsidRPr="00242CE5">
        <w:rPr>
          <w:color w:val="000000" w:themeColor="text1"/>
        </w:rPr>
        <w:t xml:space="preserve">for neurological mimics </w:t>
      </w:r>
      <w:r w:rsidR="00396DAD" w:rsidRPr="00242CE5">
        <w:rPr>
          <w:color w:val="000000" w:themeColor="text1"/>
        </w:rPr>
        <w:t xml:space="preserve">were </w:t>
      </w:r>
      <w:r w:rsidRPr="00242CE5">
        <w:rPr>
          <w:color w:val="000000" w:themeColor="text1"/>
        </w:rPr>
        <w:t>compared to primary neurological cases to explore</w:t>
      </w:r>
      <w:r w:rsidR="000851D8" w:rsidRPr="00242CE5">
        <w:rPr>
          <w:color w:val="000000" w:themeColor="text1"/>
        </w:rPr>
        <w:t xml:space="preserve"> whether the absence of deficits would be associated with mimics. </w:t>
      </w:r>
      <w:r w:rsidR="00E4175D" w:rsidRPr="00242CE5">
        <w:rPr>
          <w:color w:val="000000" w:themeColor="text1"/>
        </w:rPr>
        <w:t>M</w:t>
      </w:r>
      <w:r w:rsidR="000851D8" w:rsidRPr="00242CE5">
        <w:rPr>
          <w:color w:val="000000" w:themeColor="text1"/>
        </w:rPr>
        <w:t>ost primary neurological cases</w:t>
      </w:r>
      <w:r w:rsidR="003952DA" w:rsidRPr="00242CE5">
        <w:rPr>
          <w:color w:val="000000" w:themeColor="text1"/>
        </w:rPr>
        <w:t xml:space="preserve"> (</w:t>
      </w:r>
      <w:r w:rsidR="000851D8" w:rsidRPr="00242CE5">
        <w:rPr>
          <w:color w:val="000000" w:themeColor="text1"/>
        </w:rPr>
        <w:t>8</w:t>
      </w:r>
      <w:r w:rsidR="00C965F5" w:rsidRPr="00242CE5">
        <w:rPr>
          <w:color w:val="000000" w:themeColor="text1"/>
        </w:rPr>
        <w:t>5</w:t>
      </w:r>
      <w:r w:rsidR="000851D8" w:rsidRPr="00242CE5">
        <w:rPr>
          <w:color w:val="000000" w:themeColor="text1"/>
        </w:rPr>
        <w:t>%</w:t>
      </w:r>
      <w:r w:rsidR="003952DA" w:rsidRPr="00242CE5">
        <w:rPr>
          <w:color w:val="000000" w:themeColor="text1"/>
        </w:rPr>
        <w:t>, n</w:t>
      </w:r>
      <w:r w:rsidR="000851D8" w:rsidRPr="00242CE5">
        <w:rPr>
          <w:color w:val="000000" w:themeColor="text1"/>
        </w:rPr>
        <w:t>=316</w:t>
      </w:r>
      <w:r w:rsidR="00762A25" w:rsidRPr="00242CE5">
        <w:rPr>
          <w:color w:val="000000" w:themeColor="text1"/>
        </w:rPr>
        <w:t xml:space="preserve"> </w:t>
      </w:r>
      <w:r w:rsidR="003952DA" w:rsidRPr="00242CE5">
        <w:rPr>
          <w:color w:val="000000" w:themeColor="text1"/>
        </w:rPr>
        <w:t>(</w:t>
      </w:r>
      <w:r w:rsidR="00762A25" w:rsidRPr="00242CE5">
        <w:rPr>
          <w:color w:val="000000" w:themeColor="text1"/>
        </w:rPr>
        <w:t>19 cats, 306 dogs</w:t>
      </w:r>
      <w:r w:rsidR="003952DA" w:rsidRPr="00242CE5">
        <w:rPr>
          <w:color w:val="000000" w:themeColor="text1"/>
        </w:rPr>
        <w:t>)</w:t>
      </w:r>
      <w:r w:rsidR="00192290" w:rsidRPr="00242CE5">
        <w:rPr>
          <w:color w:val="000000" w:themeColor="text1"/>
        </w:rPr>
        <w:t xml:space="preserve"> out of </w:t>
      </w:r>
      <w:r w:rsidR="000851D8" w:rsidRPr="00242CE5">
        <w:rPr>
          <w:color w:val="000000" w:themeColor="text1"/>
        </w:rPr>
        <w:t>374</w:t>
      </w:r>
      <w:r w:rsidR="003952DA" w:rsidRPr="00242CE5">
        <w:rPr>
          <w:color w:val="000000" w:themeColor="text1"/>
        </w:rPr>
        <w:t xml:space="preserve"> (</w:t>
      </w:r>
      <w:r w:rsidR="00762A25" w:rsidRPr="00242CE5">
        <w:rPr>
          <w:color w:val="000000" w:themeColor="text1"/>
        </w:rPr>
        <w:t>22 cats, 361 dogs</w:t>
      </w:r>
      <w:r w:rsidR="003952DA" w:rsidRPr="00242CE5">
        <w:rPr>
          <w:color w:val="000000" w:themeColor="text1"/>
        </w:rPr>
        <w:t>)</w:t>
      </w:r>
      <w:r w:rsidR="000851D8" w:rsidRPr="00242CE5">
        <w:rPr>
          <w:color w:val="000000" w:themeColor="text1"/>
        </w:rPr>
        <w:t>)</w:t>
      </w:r>
      <w:r w:rsidR="003952DA" w:rsidRPr="00242CE5">
        <w:rPr>
          <w:color w:val="000000" w:themeColor="text1"/>
        </w:rPr>
        <w:t>,</w:t>
      </w:r>
      <w:r w:rsidR="000851D8" w:rsidRPr="00242CE5">
        <w:rPr>
          <w:color w:val="000000" w:themeColor="text1"/>
        </w:rPr>
        <w:t xml:space="preserve"> had an abnormal neurological exam</w:t>
      </w:r>
      <w:r w:rsidR="00C80AA4" w:rsidRPr="00242CE5">
        <w:rPr>
          <w:color w:val="000000" w:themeColor="text1"/>
        </w:rPr>
        <w:t>ination</w:t>
      </w:r>
      <w:r w:rsidR="003952DA" w:rsidRPr="00242CE5">
        <w:rPr>
          <w:color w:val="000000" w:themeColor="text1"/>
        </w:rPr>
        <w:t>;</w:t>
      </w:r>
      <w:r w:rsidR="000851D8" w:rsidRPr="00242CE5">
        <w:rPr>
          <w:color w:val="000000" w:themeColor="text1"/>
        </w:rPr>
        <w:t xml:space="preserve"> </w:t>
      </w:r>
      <w:r w:rsidR="003952DA" w:rsidRPr="00242CE5">
        <w:rPr>
          <w:color w:val="000000" w:themeColor="text1"/>
        </w:rPr>
        <w:t>not all cases had a neurological examination result recorded. W</w:t>
      </w:r>
      <w:r w:rsidR="000851D8" w:rsidRPr="00242CE5">
        <w:rPr>
          <w:color w:val="000000" w:themeColor="text1"/>
        </w:rPr>
        <w:t>hereas most neurological mimics</w:t>
      </w:r>
      <w:r w:rsidR="003952DA" w:rsidRPr="00242CE5">
        <w:rPr>
          <w:color w:val="000000" w:themeColor="text1"/>
        </w:rPr>
        <w:t xml:space="preserve">, </w:t>
      </w:r>
      <w:r w:rsidR="000851D8" w:rsidRPr="00242CE5">
        <w:rPr>
          <w:color w:val="000000" w:themeColor="text1"/>
        </w:rPr>
        <w:t>8</w:t>
      </w:r>
      <w:r w:rsidR="000D46A9" w:rsidRPr="00242CE5">
        <w:rPr>
          <w:color w:val="000000" w:themeColor="text1"/>
        </w:rPr>
        <w:t>1</w:t>
      </w:r>
      <w:r w:rsidR="000851D8" w:rsidRPr="00242CE5">
        <w:rPr>
          <w:color w:val="000000" w:themeColor="text1"/>
        </w:rPr>
        <w:t>%</w:t>
      </w:r>
      <w:r w:rsidR="003952DA" w:rsidRPr="00242CE5">
        <w:rPr>
          <w:color w:val="000000" w:themeColor="text1"/>
        </w:rPr>
        <w:t xml:space="preserve"> (</w:t>
      </w:r>
      <w:r w:rsidR="000851D8" w:rsidRPr="00242CE5">
        <w:rPr>
          <w:color w:val="000000" w:themeColor="text1"/>
        </w:rPr>
        <w:t>n=3</w:t>
      </w:r>
      <w:r w:rsidR="000D46A9" w:rsidRPr="00242CE5">
        <w:rPr>
          <w:color w:val="000000" w:themeColor="text1"/>
        </w:rPr>
        <w:t>4</w:t>
      </w:r>
      <w:r w:rsidR="00192290" w:rsidRPr="00242CE5">
        <w:rPr>
          <w:color w:val="000000" w:themeColor="text1"/>
        </w:rPr>
        <w:t xml:space="preserve"> </w:t>
      </w:r>
      <w:r w:rsidR="00762A25" w:rsidRPr="00242CE5">
        <w:rPr>
          <w:color w:val="000000" w:themeColor="text1"/>
        </w:rPr>
        <w:t xml:space="preserve">dogs </w:t>
      </w:r>
      <w:r w:rsidR="00192290" w:rsidRPr="00242CE5">
        <w:rPr>
          <w:color w:val="000000" w:themeColor="text1"/>
        </w:rPr>
        <w:t xml:space="preserve">out of </w:t>
      </w:r>
      <w:r w:rsidR="000851D8" w:rsidRPr="00242CE5">
        <w:rPr>
          <w:color w:val="000000" w:themeColor="text1"/>
        </w:rPr>
        <w:t>4</w:t>
      </w:r>
      <w:r w:rsidR="000D46A9" w:rsidRPr="00242CE5">
        <w:rPr>
          <w:color w:val="000000" w:themeColor="text1"/>
        </w:rPr>
        <w:t>2</w:t>
      </w:r>
      <w:r w:rsidR="00762A25" w:rsidRPr="00242CE5">
        <w:rPr>
          <w:color w:val="000000" w:themeColor="text1"/>
        </w:rPr>
        <w:t xml:space="preserve"> (3 cats, 39 dogs)</w:t>
      </w:r>
      <w:r w:rsidR="000851D8" w:rsidRPr="00242CE5">
        <w:rPr>
          <w:color w:val="000000" w:themeColor="text1"/>
        </w:rPr>
        <w:t>)</w:t>
      </w:r>
      <w:r w:rsidR="003952DA" w:rsidRPr="00242CE5">
        <w:rPr>
          <w:color w:val="000000" w:themeColor="text1"/>
        </w:rPr>
        <w:t>,</w:t>
      </w:r>
      <w:r w:rsidR="000851D8" w:rsidRPr="00242CE5">
        <w:rPr>
          <w:color w:val="000000" w:themeColor="text1"/>
        </w:rPr>
        <w:t xml:space="preserve"> had a </w:t>
      </w:r>
      <w:r w:rsidR="000851D8" w:rsidRPr="00242CE5">
        <w:rPr>
          <w:color w:val="000000" w:themeColor="text1"/>
        </w:rPr>
        <w:lastRenderedPageBreak/>
        <w:t>normal neurological exam</w:t>
      </w:r>
      <w:r w:rsidR="00C80AA4" w:rsidRPr="00242CE5">
        <w:rPr>
          <w:color w:val="000000" w:themeColor="text1"/>
        </w:rPr>
        <w:t>ination</w:t>
      </w:r>
      <w:r w:rsidR="000851D8" w:rsidRPr="00242CE5">
        <w:rPr>
          <w:color w:val="000000" w:themeColor="text1"/>
        </w:rPr>
        <w:t xml:space="preserve"> </w:t>
      </w:r>
      <w:r w:rsidR="00D2575E" w:rsidRPr="00242CE5">
        <w:rPr>
          <w:color w:val="000000" w:themeColor="text1"/>
        </w:rPr>
        <w:t xml:space="preserve">(P&lt;0.001) </w:t>
      </w:r>
      <w:r w:rsidR="000851D8" w:rsidRPr="00242CE5">
        <w:rPr>
          <w:color w:val="000000" w:themeColor="text1"/>
        </w:rPr>
        <w:t>(</w:t>
      </w:r>
      <w:r w:rsidR="0021157D" w:rsidRPr="00242CE5">
        <w:rPr>
          <w:color w:val="000000" w:themeColor="text1"/>
        </w:rPr>
        <w:t>Supplementary Figure 1</w:t>
      </w:r>
      <w:r w:rsidR="000851D8" w:rsidRPr="00242CE5">
        <w:rPr>
          <w:color w:val="000000" w:themeColor="text1"/>
        </w:rPr>
        <w:t>).</w:t>
      </w:r>
      <w:r w:rsidR="001F1E59" w:rsidRPr="00242CE5">
        <w:rPr>
          <w:color w:val="000000" w:themeColor="text1"/>
        </w:rPr>
        <w:t xml:space="preserve"> Reasons for neurological mimics having an abnormal neurological exam are discussed later.</w:t>
      </w:r>
      <w:r w:rsidR="000851D8" w:rsidRPr="00242CE5">
        <w:rPr>
          <w:color w:val="000000" w:themeColor="text1"/>
        </w:rPr>
        <w:t xml:space="preserve"> Cases with a normal neurological exam</w:t>
      </w:r>
      <w:r w:rsidR="00C80AA4" w:rsidRPr="00242CE5">
        <w:rPr>
          <w:color w:val="000000" w:themeColor="text1"/>
        </w:rPr>
        <w:t>ination</w:t>
      </w:r>
      <w:r w:rsidR="000851D8" w:rsidRPr="00242CE5">
        <w:rPr>
          <w:color w:val="000000" w:themeColor="text1"/>
        </w:rPr>
        <w:t xml:space="preserve"> were determined to be 14.</w:t>
      </w:r>
      <w:r w:rsidR="000D46A9" w:rsidRPr="00242CE5">
        <w:rPr>
          <w:color w:val="000000" w:themeColor="text1"/>
        </w:rPr>
        <w:t>97</w:t>
      </w:r>
      <w:r w:rsidR="000851D8" w:rsidRPr="00242CE5">
        <w:rPr>
          <w:color w:val="000000" w:themeColor="text1"/>
        </w:rPr>
        <w:t xml:space="preserve"> times more likely to be a neurological mimic than primary neurological</w:t>
      </w:r>
      <w:r w:rsidR="00E4175D" w:rsidRPr="00242CE5">
        <w:rPr>
          <w:color w:val="000000" w:themeColor="text1"/>
        </w:rPr>
        <w:t xml:space="preserve"> (Table </w:t>
      </w:r>
      <w:r w:rsidR="00D92A66" w:rsidRPr="00242CE5">
        <w:rPr>
          <w:color w:val="000000" w:themeColor="text1"/>
        </w:rPr>
        <w:t>2</w:t>
      </w:r>
      <w:r w:rsidR="00E4175D" w:rsidRPr="00242CE5">
        <w:rPr>
          <w:color w:val="000000" w:themeColor="text1"/>
        </w:rPr>
        <w:t>)</w:t>
      </w:r>
      <w:r w:rsidR="00E25CD6" w:rsidRPr="00242CE5">
        <w:rPr>
          <w:color w:val="000000" w:themeColor="text1"/>
        </w:rPr>
        <w:t>.</w:t>
      </w:r>
      <w:r w:rsidR="00AB2997" w:rsidRPr="00242CE5">
        <w:rPr>
          <w:color w:val="000000" w:themeColor="text1"/>
        </w:rPr>
        <w:t xml:space="preserve"> </w:t>
      </w:r>
    </w:p>
    <w:p w14:paraId="186A6C9F" w14:textId="4062C0E8" w:rsidR="00AB2997" w:rsidRPr="00242CE5" w:rsidRDefault="00E25CD6" w:rsidP="000851D8">
      <w:pPr>
        <w:jc w:val="both"/>
        <w:rPr>
          <w:color w:val="000000" w:themeColor="text1"/>
        </w:rPr>
      </w:pPr>
      <w:r w:rsidRPr="00242CE5">
        <w:rPr>
          <w:color w:val="000000" w:themeColor="text1"/>
        </w:rPr>
        <w:t xml:space="preserve">However, primary neurological cases presenting with </w:t>
      </w:r>
      <w:r w:rsidR="001F1E59" w:rsidRPr="00242CE5">
        <w:rPr>
          <w:color w:val="000000" w:themeColor="text1"/>
        </w:rPr>
        <w:t xml:space="preserve">epileptic </w:t>
      </w:r>
      <w:r w:rsidRPr="00242CE5">
        <w:rPr>
          <w:color w:val="000000" w:themeColor="text1"/>
        </w:rPr>
        <w:t>seizures often have a normal neurological examination within the inter-ictal period [</w:t>
      </w:r>
      <w:r w:rsidR="00304A0C" w:rsidRPr="00242CE5">
        <w:rPr>
          <w:color w:val="000000" w:themeColor="text1"/>
        </w:rPr>
        <w:t>11</w:t>
      </w:r>
      <w:r w:rsidRPr="00242CE5">
        <w:rPr>
          <w:color w:val="000000" w:themeColor="text1"/>
        </w:rPr>
        <w:t>], and so an absence of neurological deficits is to be expected for these cases. Therefore</w:t>
      </w:r>
      <w:r w:rsidR="00D70BCE" w:rsidRPr="00242CE5">
        <w:rPr>
          <w:color w:val="000000" w:themeColor="text1"/>
        </w:rPr>
        <w:t>,</w:t>
      </w:r>
      <w:r w:rsidRPr="00242CE5">
        <w:rPr>
          <w:color w:val="000000" w:themeColor="text1"/>
        </w:rPr>
        <w:t xml:space="preserve"> cases with a normal neurological examination, excluding those presenting with</w:t>
      </w:r>
      <w:r w:rsidR="001F1E59" w:rsidRPr="00242CE5">
        <w:rPr>
          <w:color w:val="000000" w:themeColor="text1"/>
        </w:rPr>
        <w:t xml:space="preserve"> epileptic</w:t>
      </w:r>
      <w:r w:rsidRPr="00242CE5">
        <w:rPr>
          <w:color w:val="000000" w:themeColor="text1"/>
        </w:rPr>
        <w:t xml:space="preserve"> seizures, were determined to be 2</w:t>
      </w:r>
      <w:r w:rsidR="003E290F" w:rsidRPr="00242CE5">
        <w:rPr>
          <w:color w:val="000000" w:themeColor="text1"/>
        </w:rPr>
        <w:t>2.95</w:t>
      </w:r>
      <w:r w:rsidRPr="00242CE5">
        <w:rPr>
          <w:color w:val="000000" w:themeColor="text1"/>
        </w:rPr>
        <w:t xml:space="preserve"> times more likely to be a neurological mimic than primary neurological.</w:t>
      </w:r>
      <w:r w:rsidR="00AB2997" w:rsidRPr="00242CE5">
        <w:rPr>
          <w:color w:val="000000" w:themeColor="text1"/>
        </w:rPr>
        <w:t xml:space="preserve"> </w:t>
      </w:r>
    </w:p>
    <w:p w14:paraId="2AD942FA" w14:textId="70E46525" w:rsidR="0030689B" w:rsidRPr="00242CE5" w:rsidRDefault="000851D8" w:rsidP="000851D8">
      <w:pPr>
        <w:jc w:val="both"/>
        <w:rPr>
          <w:color w:val="000000" w:themeColor="text1"/>
        </w:rPr>
      </w:pPr>
      <w:r w:rsidRPr="00242CE5">
        <w:rPr>
          <w:color w:val="000000" w:themeColor="text1"/>
        </w:rPr>
        <w:t xml:space="preserve">Cases presenting with </w:t>
      </w:r>
      <w:r w:rsidR="00E25CD6" w:rsidRPr="00242CE5">
        <w:rPr>
          <w:color w:val="000000" w:themeColor="text1"/>
        </w:rPr>
        <w:t xml:space="preserve">both the significant clinical sign of </w:t>
      </w:r>
      <w:r w:rsidRPr="00242CE5">
        <w:rPr>
          <w:color w:val="000000" w:themeColor="text1"/>
        </w:rPr>
        <w:t>lameness and a normal neurological exam</w:t>
      </w:r>
      <w:r w:rsidR="00C80AA4" w:rsidRPr="00242CE5">
        <w:rPr>
          <w:color w:val="000000" w:themeColor="text1"/>
        </w:rPr>
        <w:t>ination</w:t>
      </w:r>
      <w:r w:rsidRPr="00242CE5">
        <w:rPr>
          <w:color w:val="000000" w:themeColor="text1"/>
        </w:rPr>
        <w:t xml:space="preserve"> were determined to be 10.</w:t>
      </w:r>
      <w:r w:rsidR="003E290F" w:rsidRPr="00242CE5">
        <w:rPr>
          <w:color w:val="000000" w:themeColor="text1"/>
        </w:rPr>
        <w:t>29</w:t>
      </w:r>
      <w:r w:rsidRPr="00242CE5">
        <w:rPr>
          <w:color w:val="000000" w:themeColor="text1"/>
        </w:rPr>
        <w:t xml:space="preserve"> times more likely to be a neurological mimic</w:t>
      </w:r>
      <w:r w:rsidR="0030689B" w:rsidRPr="00242CE5">
        <w:rPr>
          <w:color w:val="000000" w:themeColor="text1"/>
        </w:rPr>
        <w:t xml:space="preserve"> </w:t>
      </w:r>
      <w:r w:rsidR="0047535F" w:rsidRPr="00242CE5">
        <w:rPr>
          <w:color w:val="000000" w:themeColor="text1"/>
        </w:rPr>
        <w:t>(</w:t>
      </w:r>
      <w:r w:rsidR="0030689B" w:rsidRPr="00242CE5">
        <w:rPr>
          <w:color w:val="000000" w:themeColor="text1"/>
        </w:rPr>
        <w:t xml:space="preserve">Table </w:t>
      </w:r>
      <w:r w:rsidR="00D92A66" w:rsidRPr="00242CE5">
        <w:rPr>
          <w:color w:val="000000" w:themeColor="text1"/>
        </w:rPr>
        <w:t>2</w:t>
      </w:r>
      <w:r w:rsidR="0030689B" w:rsidRPr="00242CE5">
        <w:rPr>
          <w:color w:val="000000" w:themeColor="text1"/>
        </w:rPr>
        <w:t>)</w:t>
      </w:r>
      <w:r w:rsidRPr="00242CE5">
        <w:rPr>
          <w:color w:val="000000" w:themeColor="text1"/>
        </w:rPr>
        <w:t xml:space="preserve">. </w:t>
      </w:r>
    </w:p>
    <w:p w14:paraId="5C46EF90" w14:textId="77777777" w:rsidR="00E25CD6" w:rsidRPr="00242CE5" w:rsidRDefault="00E25CD6" w:rsidP="000851D8">
      <w:pPr>
        <w:jc w:val="both"/>
        <w:rPr>
          <w:color w:val="000000" w:themeColor="text1"/>
        </w:rPr>
      </w:pPr>
    </w:p>
    <w:p w14:paraId="05D6CCD3" w14:textId="786A8E12" w:rsidR="000851D8" w:rsidRPr="00242CE5" w:rsidRDefault="000851D8" w:rsidP="000851D8">
      <w:pPr>
        <w:jc w:val="both"/>
        <w:rPr>
          <w:b/>
          <w:color w:val="000000" w:themeColor="text1"/>
        </w:rPr>
      </w:pPr>
      <w:r w:rsidRPr="00242CE5">
        <w:rPr>
          <w:b/>
          <w:color w:val="000000" w:themeColor="text1"/>
        </w:rPr>
        <w:t>Case signalment in neurological mimics</w:t>
      </w:r>
    </w:p>
    <w:p w14:paraId="6B9CC50A" w14:textId="6DC21A50" w:rsidR="000851D8" w:rsidRPr="00242CE5" w:rsidRDefault="0020201B" w:rsidP="000851D8">
      <w:pPr>
        <w:jc w:val="both"/>
        <w:rPr>
          <w:color w:val="000000" w:themeColor="text1"/>
        </w:rPr>
      </w:pPr>
      <w:r w:rsidRPr="00242CE5">
        <w:rPr>
          <w:bCs/>
          <w:color w:val="000000" w:themeColor="text1"/>
        </w:rPr>
        <w:t>Any trends in demographics that could help practitioners detect neurological mimics was</w:t>
      </w:r>
      <w:r w:rsidR="000851D8" w:rsidRPr="00242CE5">
        <w:rPr>
          <w:bCs/>
          <w:color w:val="000000" w:themeColor="text1"/>
        </w:rPr>
        <w:t xml:space="preserve"> investigated</w:t>
      </w:r>
      <w:r w:rsidRPr="00242CE5">
        <w:rPr>
          <w:bCs/>
          <w:color w:val="000000" w:themeColor="text1"/>
        </w:rPr>
        <w:t xml:space="preserve">. </w:t>
      </w:r>
      <w:r w:rsidR="000851D8" w:rsidRPr="00242CE5">
        <w:rPr>
          <w:color w:val="000000" w:themeColor="text1"/>
        </w:rPr>
        <w:t>No differences between categories in signalment (sex, age, breed</w:t>
      </w:r>
      <w:r w:rsidR="00762A25" w:rsidRPr="00242CE5">
        <w:rPr>
          <w:color w:val="000000" w:themeColor="text1"/>
        </w:rPr>
        <w:t xml:space="preserve"> or</w:t>
      </w:r>
      <w:r w:rsidR="000851D8" w:rsidRPr="00242CE5">
        <w:rPr>
          <w:color w:val="000000" w:themeColor="text1"/>
        </w:rPr>
        <w:t xml:space="preserve"> species) was visible (</w:t>
      </w:r>
      <w:r w:rsidR="0021157D" w:rsidRPr="00242CE5">
        <w:rPr>
          <w:color w:val="000000" w:themeColor="text1"/>
        </w:rPr>
        <w:t xml:space="preserve">Supplementary </w:t>
      </w:r>
      <w:r w:rsidR="000851D8" w:rsidRPr="00242CE5">
        <w:rPr>
          <w:color w:val="000000" w:themeColor="text1"/>
        </w:rPr>
        <w:t xml:space="preserve">Figures </w:t>
      </w:r>
      <w:r w:rsidR="0021157D" w:rsidRPr="00242CE5">
        <w:rPr>
          <w:color w:val="000000" w:themeColor="text1"/>
        </w:rPr>
        <w:t>2</w:t>
      </w:r>
      <w:r w:rsidR="00891073" w:rsidRPr="00242CE5">
        <w:rPr>
          <w:color w:val="000000" w:themeColor="text1"/>
        </w:rPr>
        <w:t xml:space="preserve">, </w:t>
      </w:r>
      <w:r w:rsidR="0021157D" w:rsidRPr="00242CE5">
        <w:rPr>
          <w:color w:val="000000" w:themeColor="text1"/>
        </w:rPr>
        <w:t>3</w:t>
      </w:r>
      <w:r w:rsidR="00891073" w:rsidRPr="00242CE5">
        <w:rPr>
          <w:color w:val="000000" w:themeColor="text1"/>
        </w:rPr>
        <w:t xml:space="preserve">, </w:t>
      </w:r>
      <w:r w:rsidR="0021157D" w:rsidRPr="00242CE5">
        <w:rPr>
          <w:color w:val="000000" w:themeColor="text1"/>
        </w:rPr>
        <w:t>4</w:t>
      </w:r>
      <w:r w:rsidR="000851D8" w:rsidRPr="00242CE5">
        <w:rPr>
          <w:color w:val="000000" w:themeColor="text1"/>
        </w:rPr>
        <w:t>).</w:t>
      </w:r>
      <w:r w:rsidR="006C54CA" w:rsidRPr="00242CE5">
        <w:rPr>
          <w:color w:val="000000" w:themeColor="text1"/>
        </w:rPr>
        <w:t xml:space="preserve">  </w:t>
      </w:r>
    </w:p>
    <w:p w14:paraId="6D09B932" w14:textId="77777777" w:rsidR="005004BE" w:rsidRPr="00242CE5" w:rsidRDefault="005004BE" w:rsidP="000851D8">
      <w:pPr>
        <w:jc w:val="both"/>
        <w:rPr>
          <w:color w:val="000000" w:themeColor="text1"/>
        </w:rPr>
      </w:pPr>
    </w:p>
    <w:p w14:paraId="783FFB67" w14:textId="77777777" w:rsidR="000851D8" w:rsidRPr="00242CE5" w:rsidRDefault="000851D8" w:rsidP="000851D8">
      <w:pPr>
        <w:jc w:val="both"/>
        <w:rPr>
          <w:b/>
          <w:color w:val="000000" w:themeColor="text1"/>
          <w:sz w:val="26"/>
          <w:szCs w:val="26"/>
        </w:rPr>
      </w:pPr>
      <w:r w:rsidRPr="00242CE5">
        <w:rPr>
          <w:b/>
          <w:color w:val="000000" w:themeColor="text1"/>
          <w:sz w:val="26"/>
          <w:szCs w:val="26"/>
        </w:rPr>
        <w:t>DISCUSSION</w:t>
      </w:r>
    </w:p>
    <w:p w14:paraId="730D1E34" w14:textId="20B48148" w:rsidR="000761B2" w:rsidRPr="00242CE5" w:rsidRDefault="00A45A4B" w:rsidP="000851D8">
      <w:pPr>
        <w:jc w:val="both"/>
        <w:rPr>
          <w:color w:val="000000" w:themeColor="text1"/>
        </w:rPr>
      </w:pPr>
      <w:r w:rsidRPr="00242CE5">
        <w:rPr>
          <w:color w:val="000000" w:themeColor="text1"/>
        </w:rPr>
        <w:t>This is the first study that describe</w:t>
      </w:r>
      <w:r w:rsidR="00527A0D" w:rsidRPr="00242CE5">
        <w:rPr>
          <w:color w:val="000000" w:themeColor="text1"/>
        </w:rPr>
        <w:t>s</w:t>
      </w:r>
      <w:r w:rsidRPr="00242CE5">
        <w:rPr>
          <w:color w:val="000000" w:themeColor="text1"/>
        </w:rPr>
        <w:t xml:space="preserve"> </w:t>
      </w:r>
      <w:r w:rsidR="000851D8" w:rsidRPr="00242CE5">
        <w:rPr>
          <w:color w:val="000000" w:themeColor="text1"/>
        </w:rPr>
        <w:t xml:space="preserve">neurological mimics seen </w:t>
      </w:r>
      <w:r w:rsidR="0063593B" w:rsidRPr="00242CE5">
        <w:rPr>
          <w:color w:val="000000" w:themeColor="text1"/>
        </w:rPr>
        <w:t>through a</w:t>
      </w:r>
      <w:r w:rsidR="000851D8" w:rsidRPr="00242CE5">
        <w:rPr>
          <w:color w:val="000000" w:themeColor="text1"/>
        </w:rPr>
        <w:t xml:space="preserve"> referral neurology service. While the majority of cases were correctly referred to the neurology service with a </w:t>
      </w:r>
      <w:r w:rsidR="00C80AA4" w:rsidRPr="00242CE5">
        <w:rPr>
          <w:color w:val="000000" w:themeColor="text1"/>
        </w:rPr>
        <w:lastRenderedPageBreak/>
        <w:t xml:space="preserve">primary </w:t>
      </w:r>
      <w:r w:rsidR="000851D8" w:rsidRPr="00242CE5">
        <w:rPr>
          <w:color w:val="000000" w:themeColor="text1"/>
        </w:rPr>
        <w:t xml:space="preserve">neurological diagnosis </w:t>
      </w:r>
      <w:r w:rsidR="005004BE" w:rsidRPr="00242CE5">
        <w:rPr>
          <w:color w:val="000000" w:themeColor="text1"/>
        </w:rPr>
        <w:t>(74%</w:t>
      </w:r>
      <w:r w:rsidRPr="00242CE5">
        <w:rPr>
          <w:color w:val="000000" w:themeColor="text1"/>
        </w:rPr>
        <w:t xml:space="preserve"> of cases</w:t>
      </w:r>
      <w:r w:rsidR="005004BE" w:rsidRPr="00242CE5">
        <w:rPr>
          <w:color w:val="000000" w:themeColor="text1"/>
        </w:rPr>
        <w:t xml:space="preserve">) </w:t>
      </w:r>
      <w:r w:rsidR="00C80AA4" w:rsidRPr="00242CE5">
        <w:rPr>
          <w:color w:val="000000" w:themeColor="text1"/>
        </w:rPr>
        <w:t xml:space="preserve">or </w:t>
      </w:r>
      <w:r w:rsidRPr="00242CE5">
        <w:rPr>
          <w:color w:val="000000" w:themeColor="text1"/>
        </w:rPr>
        <w:t xml:space="preserve">with </w:t>
      </w:r>
      <w:r w:rsidR="00C80AA4" w:rsidRPr="00242CE5">
        <w:rPr>
          <w:color w:val="000000" w:themeColor="text1"/>
        </w:rPr>
        <w:t>neurological involvement (3%)</w:t>
      </w:r>
      <w:r w:rsidR="000851D8" w:rsidRPr="00242CE5">
        <w:rPr>
          <w:color w:val="000000" w:themeColor="text1"/>
        </w:rPr>
        <w:t xml:space="preserve">, 8% were </w:t>
      </w:r>
      <w:r w:rsidRPr="00242CE5">
        <w:rPr>
          <w:color w:val="000000" w:themeColor="text1"/>
        </w:rPr>
        <w:t xml:space="preserve">considered </w:t>
      </w:r>
      <w:r w:rsidR="000851D8" w:rsidRPr="00242CE5">
        <w:rPr>
          <w:color w:val="000000" w:themeColor="text1"/>
        </w:rPr>
        <w:t>non-neurological in origin (neurological mimics</w:t>
      </w:r>
      <w:r w:rsidR="005004BE" w:rsidRPr="00242CE5">
        <w:rPr>
          <w:color w:val="000000" w:themeColor="text1"/>
        </w:rPr>
        <w:t>)</w:t>
      </w:r>
      <w:r w:rsidR="000851D8" w:rsidRPr="00242CE5">
        <w:rPr>
          <w:color w:val="000000" w:themeColor="text1"/>
        </w:rPr>
        <w:t xml:space="preserve">. An </w:t>
      </w:r>
      <w:r w:rsidR="0063593B" w:rsidRPr="00242CE5">
        <w:rPr>
          <w:color w:val="000000" w:themeColor="text1"/>
        </w:rPr>
        <w:t xml:space="preserve">additional </w:t>
      </w:r>
      <w:r w:rsidRPr="00242CE5">
        <w:rPr>
          <w:color w:val="000000" w:themeColor="text1"/>
        </w:rPr>
        <w:t>observation</w:t>
      </w:r>
      <w:r w:rsidR="000851D8" w:rsidRPr="00242CE5">
        <w:rPr>
          <w:color w:val="000000" w:themeColor="text1"/>
        </w:rPr>
        <w:t xml:space="preserve"> was that nearly 15% of all cases could not be given a final, definitive diagnosis</w:t>
      </w:r>
      <w:r w:rsidRPr="00242CE5">
        <w:rPr>
          <w:color w:val="000000" w:themeColor="text1"/>
        </w:rPr>
        <w:t xml:space="preserve">. </w:t>
      </w:r>
    </w:p>
    <w:p w14:paraId="138FA77F" w14:textId="76D84515" w:rsidR="00BD5BFF" w:rsidRPr="00242CE5" w:rsidRDefault="000851D8" w:rsidP="00BD4DB0">
      <w:pPr>
        <w:jc w:val="both"/>
        <w:rPr>
          <w:color w:val="000000" w:themeColor="text1"/>
        </w:rPr>
      </w:pPr>
      <w:r w:rsidRPr="00242CE5">
        <w:rPr>
          <w:color w:val="000000" w:themeColor="text1"/>
        </w:rPr>
        <w:t>Of the neurological mimics, most were classified as orthopaedic</w:t>
      </w:r>
      <w:r w:rsidR="00BE7367" w:rsidRPr="00242CE5">
        <w:rPr>
          <w:color w:val="000000" w:themeColor="text1"/>
        </w:rPr>
        <w:t xml:space="preserve"> conditions</w:t>
      </w:r>
      <w:r w:rsidR="00BA7CC3" w:rsidRPr="00242CE5">
        <w:rPr>
          <w:color w:val="000000" w:themeColor="text1"/>
        </w:rPr>
        <w:t xml:space="preserve">. </w:t>
      </w:r>
      <w:r w:rsidRPr="00242CE5">
        <w:rPr>
          <w:color w:val="000000" w:themeColor="text1"/>
        </w:rPr>
        <w:t xml:space="preserve">Unsurprisingly, </w:t>
      </w:r>
      <w:r w:rsidR="00582220" w:rsidRPr="00242CE5">
        <w:rPr>
          <w:color w:val="000000" w:themeColor="text1"/>
        </w:rPr>
        <w:t>orthopaedic cases</w:t>
      </w:r>
      <w:r w:rsidR="00DE1537" w:rsidRPr="00242CE5">
        <w:rPr>
          <w:color w:val="000000" w:themeColor="text1"/>
        </w:rPr>
        <w:t xml:space="preserve"> </w:t>
      </w:r>
      <w:r w:rsidRPr="00242CE5">
        <w:rPr>
          <w:color w:val="000000" w:themeColor="text1"/>
        </w:rPr>
        <w:t>often presented with lameness</w:t>
      </w:r>
      <w:r w:rsidR="00BD4DB0" w:rsidRPr="00242CE5">
        <w:rPr>
          <w:color w:val="000000" w:themeColor="text1"/>
        </w:rPr>
        <w:t xml:space="preserve">, which was the only clinical sign found to be significantly </w:t>
      </w:r>
      <w:r w:rsidR="00A45A4B" w:rsidRPr="00242CE5">
        <w:rPr>
          <w:color w:val="000000" w:themeColor="text1"/>
        </w:rPr>
        <w:t xml:space="preserve">associated with </w:t>
      </w:r>
      <w:r w:rsidR="00BD4DB0" w:rsidRPr="00242CE5">
        <w:rPr>
          <w:color w:val="000000" w:themeColor="text1"/>
        </w:rPr>
        <w:t xml:space="preserve">neurological mimics </w:t>
      </w:r>
      <w:r w:rsidR="00A45A4B" w:rsidRPr="00242CE5">
        <w:rPr>
          <w:color w:val="000000" w:themeColor="text1"/>
        </w:rPr>
        <w:t xml:space="preserve">compared to </w:t>
      </w:r>
      <w:r w:rsidR="00BD4DB0" w:rsidRPr="00242CE5">
        <w:rPr>
          <w:color w:val="000000" w:themeColor="text1"/>
        </w:rPr>
        <w:t>primary neurological cases. A</w:t>
      </w:r>
      <w:r w:rsidR="00BD5BFF" w:rsidRPr="00242CE5">
        <w:rPr>
          <w:color w:val="000000" w:themeColor="text1"/>
        </w:rPr>
        <w:t xml:space="preserve">n animal </w:t>
      </w:r>
      <w:r w:rsidR="00BD4DB0" w:rsidRPr="00242CE5">
        <w:rPr>
          <w:color w:val="000000" w:themeColor="text1"/>
        </w:rPr>
        <w:t xml:space="preserve">referred for lameness was </w:t>
      </w:r>
      <w:r w:rsidR="006D7360" w:rsidRPr="00242CE5">
        <w:rPr>
          <w:color w:val="000000" w:themeColor="text1"/>
        </w:rPr>
        <w:t xml:space="preserve">almost </w:t>
      </w:r>
      <w:r w:rsidR="0063593B" w:rsidRPr="00242CE5">
        <w:rPr>
          <w:color w:val="000000" w:themeColor="text1"/>
        </w:rPr>
        <w:t>five</w:t>
      </w:r>
      <w:r w:rsidR="006D7360" w:rsidRPr="00242CE5">
        <w:rPr>
          <w:color w:val="000000" w:themeColor="text1"/>
        </w:rPr>
        <w:t xml:space="preserve"> </w:t>
      </w:r>
      <w:r w:rsidR="00BD4DB0" w:rsidRPr="00242CE5">
        <w:rPr>
          <w:color w:val="000000" w:themeColor="text1"/>
        </w:rPr>
        <w:t xml:space="preserve">times more likely to be later diagnosed as a neurological mimic, and therefore have an orthopaedic condition, rather than a primary neurological condition. </w:t>
      </w:r>
      <w:r w:rsidR="00BD5BFF" w:rsidRPr="00242CE5">
        <w:rPr>
          <w:color w:val="000000" w:themeColor="text1"/>
        </w:rPr>
        <w:t>Again, immune-mediated polyarthritis was considered an orthopaedic disease rather than an internal medicine condition in this study.</w:t>
      </w:r>
    </w:p>
    <w:p w14:paraId="1F4CFBE4" w14:textId="4BDA80ED" w:rsidR="000761B2" w:rsidRPr="00242CE5" w:rsidRDefault="00BA7CC3" w:rsidP="00BD4DB0">
      <w:pPr>
        <w:jc w:val="both"/>
        <w:rPr>
          <w:color w:val="000000" w:themeColor="text1"/>
        </w:rPr>
      </w:pPr>
      <w:r w:rsidRPr="00242CE5">
        <w:rPr>
          <w:color w:val="000000" w:themeColor="text1"/>
        </w:rPr>
        <w:t xml:space="preserve">Cruciate ligament disease was the most common orthopaedic diagnosis. The authors expected the majority of animals diagnosed with orthopaedic conditions, especially cruciate ligament disease, to have bilateral </w:t>
      </w:r>
      <w:r w:rsidR="00D604F5" w:rsidRPr="00242CE5">
        <w:rPr>
          <w:color w:val="000000" w:themeColor="text1"/>
        </w:rPr>
        <w:t xml:space="preserve">disease and/or </w:t>
      </w:r>
      <w:r w:rsidRPr="00242CE5">
        <w:rPr>
          <w:color w:val="000000" w:themeColor="text1"/>
        </w:rPr>
        <w:t xml:space="preserve">lameness </w:t>
      </w:r>
      <w:r w:rsidR="00167B46" w:rsidRPr="00242CE5">
        <w:rPr>
          <w:color w:val="000000" w:themeColor="text1"/>
        </w:rPr>
        <w:t>contributing to</w:t>
      </w:r>
      <w:r w:rsidRPr="00242CE5">
        <w:rPr>
          <w:color w:val="000000" w:themeColor="text1"/>
        </w:rPr>
        <w:t xml:space="preserve"> </w:t>
      </w:r>
      <w:r w:rsidR="00167B46" w:rsidRPr="00242CE5">
        <w:rPr>
          <w:color w:val="000000" w:themeColor="text1"/>
        </w:rPr>
        <w:t>the</w:t>
      </w:r>
      <w:r w:rsidRPr="00242CE5">
        <w:rPr>
          <w:color w:val="000000" w:themeColor="text1"/>
        </w:rPr>
        <w:t xml:space="preserve"> </w:t>
      </w:r>
      <w:r w:rsidR="00167B46" w:rsidRPr="00242CE5">
        <w:rPr>
          <w:color w:val="000000" w:themeColor="text1"/>
        </w:rPr>
        <w:t>suspicion for a</w:t>
      </w:r>
      <w:r w:rsidRPr="00242CE5">
        <w:rPr>
          <w:color w:val="000000" w:themeColor="text1"/>
        </w:rPr>
        <w:t xml:space="preserve"> neurological rather than orthopaedic</w:t>
      </w:r>
      <w:r w:rsidR="00167B46" w:rsidRPr="00242CE5">
        <w:rPr>
          <w:color w:val="000000" w:themeColor="text1"/>
        </w:rPr>
        <w:t xml:space="preserve"> condition</w:t>
      </w:r>
      <w:r w:rsidRPr="00242CE5">
        <w:rPr>
          <w:color w:val="000000" w:themeColor="text1"/>
        </w:rPr>
        <w:t>, however this was not the case.</w:t>
      </w:r>
      <w:r w:rsidR="00D604F5" w:rsidRPr="00242CE5">
        <w:rPr>
          <w:color w:val="000000" w:themeColor="text1"/>
        </w:rPr>
        <w:t xml:space="preserve"> </w:t>
      </w:r>
      <w:r w:rsidR="00AB2997" w:rsidRPr="00242CE5">
        <w:rPr>
          <w:color w:val="000000" w:themeColor="text1"/>
        </w:rPr>
        <w:t xml:space="preserve">While </w:t>
      </w:r>
      <w:r w:rsidR="00D604F5" w:rsidRPr="00242CE5">
        <w:rPr>
          <w:color w:val="000000" w:themeColor="text1"/>
        </w:rPr>
        <w:t>56% (</w:t>
      </w:r>
      <w:r w:rsidR="00EE2BEB" w:rsidRPr="00242CE5">
        <w:rPr>
          <w:color w:val="000000" w:themeColor="text1"/>
        </w:rPr>
        <w:t>n=</w:t>
      </w:r>
      <w:r w:rsidR="00D604F5" w:rsidRPr="00242CE5">
        <w:rPr>
          <w:color w:val="000000" w:themeColor="text1"/>
        </w:rPr>
        <w:t>5</w:t>
      </w:r>
      <w:r w:rsidR="00B53BE5" w:rsidRPr="00242CE5">
        <w:rPr>
          <w:color w:val="000000" w:themeColor="text1"/>
        </w:rPr>
        <w:t xml:space="preserve"> out of </w:t>
      </w:r>
      <w:r w:rsidR="00D604F5" w:rsidRPr="00242CE5">
        <w:rPr>
          <w:color w:val="000000" w:themeColor="text1"/>
        </w:rPr>
        <w:t>9) had bilateral disease</w:t>
      </w:r>
      <w:r w:rsidR="00063B7B" w:rsidRPr="00242CE5">
        <w:rPr>
          <w:color w:val="000000" w:themeColor="text1"/>
        </w:rPr>
        <w:t xml:space="preserve"> (</w:t>
      </w:r>
      <w:r w:rsidR="0021157D" w:rsidRPr="00242CE5">
        <w:rPr>
          <w:color w:val="000000" w:themeColor="text1"/>
        </w:rPr>
        <w:t>Supplementary Table 1</w:t>
      </w:r>
      <w:r w:rsidR="00063B7B" w:rsidRPr="00242CE5">
        <w:rPr>
          <w:color w:val="000000" w:themeColor="text1"/>
        </w:rPr>
        <w:t>),</w:t>
      </w:r>
      <w:r w:rsidR="00D604F5" w:rsidRPr="00242CE5">
        <w:rPr>
          <w:color w:val="000000" w:themeColor="text1"/>
        </w:rPr>
        <w:t xml:space="preserve"> only 22% (</w:t>
      </w:r>
      <w:r w:rsidR="00EE2BEB" w:rsidRPr="00242CE5">
        <w:rPr>
          <w:color w:val="000000" w:themeColor="text1"/>
        </w:rPr>
        <w:t>n=</w:t>
      </w:r>
      <w:r w:rsidR="00D604F5" w:rsidRPr="00242CE5">
        <w:rPr>
          <w:color w:val="000000" w:themeColor="text1"/>
        </w:rPr>
        <w:t>2</w:t>
      </w:r>
      <w:r w:rsidR="00B53BE5" w:rsidRPr="00242CE5">
        <w:rPr>
          <w:color w:val="000000" w:themeColor="text1"/>
        </w:rPr>
        <w:t xml:space="preserve"> out of </w:t>
      </w:r>
      <w:r w:rsidR="00D604F5" w:rsidRPr="00242CE5">
        <w:rPr>
          <w:color w:val="000000" w:themeColor="text1"/>
        </w:rPr>
        <w:t>9) were determined to be bilaterally lame by the referring veterinary surgeon.</w:t>
      </w:r>
      <w:r w:rsidR="00AB2997" w:rsidRPr="00242CE5">
        <w:rPr>
          <w:color w:val="000000" w:themeColor="text1"/>
        </w:rPr>
        <w:t xml:space="preserve"> </w:t>
      </w:r>
      <w:r w:rsidRPr="00242CE5">
        <w:rPr>
          <w:color w:val="000000" w:themeColor="text1"/>
        </w:rPr>
        <w:t>Further information was obtained from the referral letters of cruciate ligament disease cases</w:t>
      </w:r>
      <w:r w:rsidR="000761B2" w:rsidRPr="00242CE5">
        <w:rPr>
          <w:color w:val="000000" w:themeColor="text1"/>
        </w:rPr>
        <w:t xml:space="preserve"> and </w:t>
      </w:r>
      <w:r w:rsidRPr="00242CE5">
        <w:rPr>
          <w:color w:val="000000" w:themeColor="text1"/>
        </w:rPr>
        <w:t>some did mention a specific reason for referral to neurology:</w:t>
      </w:r>
      <w:r w:rsidR="00167B46" w:rsidRPr="00242CE5">
        <w:rPr>
          <w:color w:val="000000" w:themeColor="text1"/>
        </w:rPr>
        <w:t xml:space="preserve"> </w:t>
      </w:r>
      <w:r w:rsidRPr="00242CE5">
        <w:rPr>
          <w:color w:val="000000" w:themeColor="text1"/>
        </w:rPr>
        <w:t xml:space="preserve">suspected lumbar spinal pain, suspected sacroiliac pain, suspected cervicothoracic disease, a previous neurological problem or no orthopaedic problem identified at the referring </w:t>
      </w:r>
      <w:r w:rsidR="00BD5BFF" w:rsidRPr="00242CE5">
        <w:rPr>
          <w:color w:val="000000" w:themeColor="text1"/>
        </w:rPr>
        <w:t>veterinary practice</w:t>
      </w:r>
      <w:r w:rsidRPr="00242CE5">
        <w:rPr>
          <w:color w:val="000000" w:themeColor="text1"/>
        </w:rPr>
        <w:t>.</w:t>
      </w:r>
      <w:r w:rsidR="000761B2" w:rsidRPr="00242CE5">
        <w:rPr>
          <w:color w:val="000000" w:themeColor="text1"/>
        </w:rPr>
        <w:t xml:space="preserve"> </w:t>
      </w:r>
    </w:p>
    <w:p w14:paraId="1D0ABF2F" w14:textId="36750447" w:rsidR="00582220" w:rsidRPr="00242CE5" w:rsidRDefault="00BA7CC3" w:rsidP="00BD4DB0">
      <w:pPr>
        <w:jc w:val="both"/>
        <w:rPr>
          <w:color w:val="000000" w:themeColor="text1"/>
        </w:rPr>
      </w:pPr>
      <w:r w:rsidRPr="00242CE5">
        <w:rPr>
          <w:color w:val="000000" w:themeColor="text1"/>
        </w:rPr>
        <w:lastRenderedPageBreak/>
        <w:t>Consequently, careful orthopaedic examination should be performed in dogs presenting with lameness</w:t>
      </w:r>
      <w:r w:rsidR="000761B2" w:rsidRPr="00242CE5">
        <w:rPr>
          <w:color w:val="000000" w:themeColor="text1"/>
        </w:rPr>
        <w:t>, including</w:t>
      </w:r>
      <w:r w:rsidRPr="00242CE5">
        <w:rPr>
          <w:color w:val="000000" w:themeColor="text1"/>
        </w:rPr>
        <w:t xml:space="preserve"> </w:t>
      </w:r>
      <w:r w:rsidR="000761B2" w:rsidRPr="00242CE5">
        <w:rPr>
          <w:color w:val="000000" w:themeColor="text1"/>
        </w:rPr>
        <w:t xml:space="preserve">to try to determine true spinal pain and lateralisation of any lameness, </w:t>
      </w:r>
      <w:r w:rsidRPr="00242CE5">
        <w:rPr>
          <w:color w:val="000000" w:themeColor="text1"/>
        </w:rPr>
        <w:t>before referral to a neurology service</w:t>
      </w:r>
      <w:r w:rsidR="00BD5BFF" w:rsidRPr="00242CE5">
        <w:rPr>
          <w:color w:val="000000" w:themeColor="text1"/>
        </w:rPr>
        <w:t>.</w:t>
      </w:r>
      <w:r w:rsidRPr="00242CE5">
        <w:rPr>
          <w:color w:val="000000" w:themeColor="text1"/>
        </w:rPr>
        <w:t xml:space="preserve"> </w:t>
      </w:r>
    </w:p>
    <w:p w14:paraId="6B0FC8D1" w14:textId="3DCA2B64" w:rsidR="003952DA" w:rsidRPr="00242CE5" w:rsidRDefault="003A22B3" w:rsidP="000851D8">
      <w:pPr>
        <w:jc w:val="both"/>
        <w:rPr>
          <w:color w:val="000000" w:themeColor="text1"/>
        </w:rPr>
      </w:pPr>
      <w:r w:rsidRPr="00242CE5">
        <w:rPr>
          <w:color w:val="000000" w:themeColor="text1"/>
        </w:rPr>
        <w:t>I</w:t>
      </w:r>
      <w:r w:rsidR="006411F6" w:rsidRPr="00242CE5">
        <w:rPr>
          <w:color w:val="000000" w:themeColor="text1"/>
        </w:rPr>
        <w:t xml:space="preserve">nternal medicine </w:t>
      </w:r>
      <w:r w:rsidR="000851D8" w:rsidRPr="00242CE5">
        <w:rPr>
          <w:color w:val="000000" w:themeColor="text1"/>
        </w:rPr>
        <w:t xml:space="preserve">conditions </w:t>
      </w:r>
      <w:r w:rsidR="00BD4DB0" w:rsidRPr="00242CE5">
        <w:rPr>
          <w:color w:val="000000" w:themeColor="text1"/>
        </w:rPr>
        <w:t>often</w:t>
      </w:r>
      <w:r w:rsidR="000851D8" w:rsidRPr="00242CE5">
        <w:rPr>
          <w:color w:val="000000" w:themeColor="text1"/>
        </w:rPr>
        <w:t xml:space="preserve"> present</w:t>
      </w:r>
      <w:r w:rsidR="00BD4DB0" w:rsidRPr="00242CE5">
        <w:rPr>
          <w:color w:val="000000" w:themeColor="text1"/>
        </w:rPr>
        <w:t>ed</w:t>
      </w:r>
      <w:r w:rsidR="000851D8" w:rsidRPr="00242CE5">
        <w:rPr>
          <w:color w:val="000000" w:themeColor="text1"/>
        </w:rPr>
        <w:t xml:space="preserve"> with vague clinical signs</w:t>
      </w:r>
      <w:r w:rsidRPr="00242CE5">
        <w:rPr>
          <w:color w:val="000000" w:themeColor="text1"/>
        </w:rPr>
        <w:t xml:space="preserve"> (</w:t>
      </w:r>
      <w:r w:rsidR="00530564" w:rsidRPr="00242CE5">
        <w:rPr>
          <w:color w:val="000000" w:themeColor="text1"/>
        </w:rPr>
        <w:t xml:space="preserve">such as </w:t>
      </w:r>
      <w:r w:rsidR="000761B2" w:rsidRPr="00242CE5">
        <w:rPr>
          <w:color w:val="000000" w:themeColor="text1"/>
        </w:rPr>
        <w:t xml:space="preserve">apparent </w:t>
      </w:r>
      <w:r w:rsidR="00530564" w:rsidRPr="00242CE5">
        <w:rPr>
          <w:color w:val="000000" w:themeColor="text1"/>
        </w:rPr>
        <w:t>spinal</w:t>
      </w:r>
      <w:r w:rsidR="00BD5BFF" w:rsidRPr="00242CE5">
        <w:rPr>
          <w:color w:val="000000" w:themeColor="text1"/>
        </w:rPr>
        <w:t xml:space="preserve"> </w:t>
      </w:r>
      <w:r w:rsidR="00530564" w:rsidRPr="00242CE5">
        <w:rPr>
          <w:color w:val="000000" w:themeColor="text1"/>
        </w:rPr>
        <w:t xml:space="preserve">pain, </w:t>
      </w:r>
      <w:r w:rsidR="00F46E6C" w:rsidRPr="00242CE5">
        <w:rPr>
          <w:color w:val="000000" w:themeColor="text1"/>
        </w:rPr>
        <w:t xml:space="preserve">weakness, </w:t>
      </w:r>
      <w:r w:rsidR="00530564" w:rsidRPr="00242CE5">
        <w:rPr>
          <w:color w:val="000000" w:themeColor="text1"/>
        </w:rPr>
        <w:t>weight loss or abnormal behaviou</w:t>
      </w:r>
      <w:r w:rsidRPr="00242CE5">
        <w:rPr>
          <w:color w:val="000000" w:themeColor="text1"/>
        </w:rPr>
        <w:t>r)</w:t>
      </w:r>
      <w:r w:rsidR="000851D8" w:rsidRPr="00242CE5">
        <w:rPr>
          <w:color w:val="000000" w:themeColor="text1"/>
        </w:rPr>
        <w:t xml:space="preserve"> that </w:t>
      </w:r>
      <w:r w:rsidRPr="00242CE5">
        <w:rPr>
          <w:color w:val="000000" w:themeColor="text1"/>
        </w:rPr>
        <w:t xml:space="preserve">can </w:t>
      </w:r>
      <w:r w:rsidR="000851D8" w:rsidRPr="00242CE5">
        <w:rPr>
          <w:color w:val="000000" w:themeColor="text1"/>
        </w:rPr>
        <w:t>be associated with neurological condition</w:t>
      </w:r>
      <w:r w:rsidRPr="00242CE5">
        <w:rPr>
          <w:color w:val="000000" w:themeColor="text1"/>
        </w:rPr>
        <w:t>s</w:t>
      </w:r>
      <w:r w:rsidR="006411F6" w:rsidRPr="00242CE5">
        <w:rPr>
          <w:color w:val="000000" w:themeColor="text1"/>
        </w:rPr>
        <w:t xml:space="preserve">. It is postulated this could be </w:t>
      </w:r>
      <w:r w:rsidR="000851D8" w:rsidRPr="00242CE5">
        <w:rPr>
          <w:color w:val="000000" w:themeColor="text1"/>
        </w:rPr>
        <w:t xml:space="preserve">why these cases were </w:t>
      </w:r>
      <w:r w:rsidR="005004BE" w:rsidRPr="00242CE5">
        <w:rPr>
          <w:color w:val="000000" w:themeColor="text1"/>
        </w:rPr>
        <w:t xml:space="preserve">initially </w:t>
      </w:r>
      <w:r w:rsidR="000851D8" w:rsidRPr="00242CE5">
        <w:rPr>
          <w:color w:val="000000" w:themeColor="text1"/>
        </w:rPr>
        <w:t xml:space="preserve">referred to the </w:t>
      </w:r>
      <w:r w:rsidR="00530564" w:rsidRPr="00242CE5">
        <w:rPr>
          <w:color w:val="000000" w:themeColor="text1"/>
        </w:rPr>
        <w:t>neurology service instead of internal medicine</w:t>
      </w:r>
      <w:r w:rsidR="000851D8" w:rsidRPr="00242CE5">
        <w:rPr>
          <w:color w:val="000000" w:themeColor="text1"/>
        </w:rPr>
        <w:t xml:space="preserve">. </w:t>
      </w:r>
      <w:r w:rsidRPr="00242CE5">
        <w:rPr>
          <w:color w:val="000000" w:themeColor="text1"/>
        </w:rPr>
        <w:t>Of the cases diagnosed with internal medicine conditions, the largest proportion w</w:t>
      </w:r>
      <w:r w:rsidR="00BE7367" w:rsidRPr="00242CE5">
        <w:rPr>
          <w:color w:val="000000" w:themeColor="text1"/>
        </w:rPr>
        <w:t>ere</w:t>
      </w:r>
      <w:r w:rsidRPr="00242CE5">
        <w:rPr>
          <w:color w:val="000000" w:themeColor="text1"/>
        </w:rPr>
        <w:t xml:space="preserve"> gastrointestinal diseases, including inflammatory bowel disease and protein losing enteropathy. </w:t>
      </w:r>
      <w:r w:rsidR="00530564" w:rsidRPr="00242CE5">
        <w:rPr>
          <w:color w:val="000000" w:themeColor="text1"/>
        </w:rPr>
        <w:t xml:space="preserve">The presentation of abdominal pain (such as kyphosis or apparent ‘spinal’ pain) </w:t>
      </w:r>
      <w:r w:rsidR="006411F6" w:rsidRPr="00242CE5">
        <w:rPr>
          <w:color w:val="000000" w:themeColor="text1"/>
        </w:rPr>
        <w:t xml:space="preserve">was </w:t>
      </w:r>
      <w:r w:rsidR="00530564" w:rsidRPr="00242CE5">
        <w:rPr>
          <w:color w:val="000000" w:themeColor="text1"/>
        </w:rPr>
        <w:t>likely confused with a neurological condition, and may be why gastrointestinal disorders</w:t>
      </w:r>
      <w:r w:rsidR="00BE7367" w:rsidRPr="00242CE5">
        <w:rPr>
          <w:color w:val="000000" w:themeColor="text1"/>
        </w:rPr>
        <w:t xml:space="preserve"> </w:t>
      </w:r>
      <w:r w:rsidR="00530564" w:rsidRPr="00242CE5">
        <w:rPr>
          <w:color w:val="000000" w:themeColor="text1"/>
        </w:rPr>
        <w:t xml:space="preserve">were referred to neurology. </w:t>
      </w:r>
      <w:r w:rsidR="00932EFD" w:rsidRPr="00242CE5">
        <w:rPr>
          <w:color w:val="000000" w:themeColor="text1"/>
        </w:rPr>
        <w:t xml:space="preserve">Ophthalmological conditions presented with blindness or abnormal behaviour due to developing blindness, this led to a reduced or absent menace response. </w:t>
      </w:r>
      <w:r w:rsidR="003952DA" w:rsidRPr="00242CE5">
        <w:rPr>
          <w:color w:val="000000" w:themeColor="text1"/>
        </w:rPr>
        <w:t xml:space="preserve"> There were too few cases to investigate how useful the pupillary light reflex could be in determining blindness </w:t>
      </w:r>
      <w:r w:rsidR="00BF5F4E" w:rsidRPr="00242CE5">
        <w:rPr>
          <w:color w:val="000000" w:themeColor="text1"/>
        </w:rPr>
        <w:t xml:space="preserve">to be </w:t>
      </w:r>
      <w:r w:rsidR="003952DA" w:rsidRPr="00242CE5">
        <w:rPr>
          <w:color w:val="000000" w:themeColor="text1"/>
        </w:rPr>
        <w:t>peripheral</w:t>
      </w:r>
      <w:r w:rsidR="00BF5F4E" w:rsidRPr="00242CE5">
        <w:rPr>
          <w:color w:val="000000" w:themeColor="text1"/>
        </w:rPr>
        <w:t xml:space="preserve"> rather than central</w:t>
      </w:r>
      <w:r w:rsidR="003952DA" w:rsidRPr="00242CE5">
        <w:rPr>
          <w:color w:val="000000" w:themeColor="text1"/>
        </w:rPr>
        <w:t>.</w:t>
      </w:r>
    </w:p>
    <w:p w14:paraId="06C20D81" w14:textId="49AF4469" w:rsidR="00BD5BFF" w:rsidRPr="00242CE5" w:rsidRDefault="0093634F" w:rsidP="000851D8">
      <w:pPr>
        <w:jc w:val="both"/>
        <w:rPr>
          <w:color w:val="000000" w:themeColor="text1"/>
        </w:rPr>
      </w:pPr>
      <w:r w:rsidRPr="00242CE5">
        <w:rPr>
          <w:color w:val="000000" w:themeColor="text1"/>
        </w:rPr>
        <w:t>A</w:t>
      </w:r>
      <w:r w:rsidR="000851D8" w:rsidRPr="00242CE5">
        <w:rPr>
          <w:color w:val="000000" w:themeColor="text1"/>
        </w:rPr>
        <w:t>s expected, most primary neurological cases had an abnormal neurological exam</w:t>
      </w:r>
      <w:r w:rsidR="00C80AA4" w:rsidRPr="00242CE5">
        <w:rPr>
          <w:color w:val="000000" w:themeColor="text1"/>
        </w:rPr>
        <w:t>ination</w:t>
      </w:r>
      <w:r w:rsidR="000851D8" w:rsidRPr="00242CE5">
        <w:rPr>
          <w:color w:val="000000" w:themeColor="text1"/>
        </w:rPr>
        <w:t>, whereas most neurological mimics had a normal neurological exam</w:t>
      </w:r>
      <w:r w:rsidR="00BD4DB0" w:rsidRPr="00242CE5">
        <w:rPr>
          <w:color w:val="000000" w:themeColor="text1"/>
        </w:rPr>
        <w:t>ination</w:t>
      </w:r>
      <w:r w:rsidR="000851D8" w:rsidRPr="00242CE5">
        <w:rPr>
          <w:color w:val="000000" w:themeColor="text1"/>
        </w:rPr>
        <w:t xml:space="preserve">. </w:t>
      </w:r>
      <w:r w:rsidR="00DE1537" w:rsidRPr="00242CE5">
        <w:rPr>
          <w:color w:val="000000" w:themeColor="text1"/>
        </w:rPr>
        <w:t>C</w:t>
      </w:r>
      <w:r w:rsidR="000851D8" w:rsidRPr="00242CE5">
        <w:rPr>
          <w:color w:val="000000" w:themeColor="text1"/>
        </w:rPr>
        <w:t>ases with a normal neurological exam</w:t>
      </w:r>
      <w:r w:rsidR="00BD4DB0" w:rsidRPr="00242CE5">
        <w:rPr>
          <w:color w:val="000000" w:themeColor="text1"/>
        </w:rPr>
        <w:t>ination</w:t>
      </w:r>
      <w:r w:rsidR="000851D8" w:rsidRPr="00242CE5">
        <w:rPr>
          <w:color w:val="000000" w:themeColor="text1"/>
        </w:rPr>
        <w:t xml:space="preserve"> were </w:t>
      </w:r>
      <w:r w:rsidR="00BD4DB0" w:rsidRPr="00242CE5">
        <w:rPr>
          <w:color w:val="000000" w:themeColor="text1"/>
        </w:rPr>
        <w:t>nearly 15 times</w:t>
      </w:r>
      <w:r w:rsidR="000851D8" w:rsidRPr="00242CE5">
        <w:rPr>
          <w:color w:val="000000" w:themeColor="text1"/>
        </w:rPr>
        <w:t xml:space="preserve"> more likely to be associated with neurological mimics</w:t>
      </w:r>
      <w:r w:rsidR="00E25CD6" w:rsidRPr="00242CE5">
        <w:rPr>
          <w:color w:val="000000" w:themeColor="text1"/>
        </w:rPr>
        <w:t xml:space="preserve">, and nearly 23 times more likely if they did not present with </w:t>
      </w:r>
      <w:r w:rsidR="001F1E59" w:rsidRPr="00242CE5">
        <w:rPr>
          <w:color w:val="000000" w:themeColor="text1"/>
        </w:rPr>
        <w:t xml:space="preserve">epileptic </w:t>
      </w:r>
      <w:r w:rsidR="00E25CD6" w:rsidRPr="00242CE5">
        <w:rPr>
          <w:color w:val="000000" w:themeColor="text1"/>
        </w:rPr>
        <w:t>seizures</w:t>
      </w:r>
      <w:r w:rsidR="00BD4DB0" w:rsidRPr="00242CE5">
        <w:rPr>
          <w:color w:val="000000" w:themeColor="text1"/>
        </w:rPr>
        <w:t>.</w:t>
      </w:r>
      <w:r w:rsidR="000851D8" w:rsidRPr="00242CE5">
        <w:rPr>
          <w:color w:val="000000" w:themeColor="text1"/>
        </w:rPr>
        <w:t xml:space="preserve"> In addition, cases with a normal neurological exam</w:t>
      </w:r>
      <w:r w:rsidR="005004BE" w:rsidRPr="00242CE5">
        <w:rPr>
          <w:color w:val="000000" w:themeColor="text1"/>
        </w:rPr>
        <w:t>ination</w:t>
      </w:r>
      <w:r w:rsidR="000851D8" w:rsidRPr="00242CE5">
        <w:rPr>
          <w:color w:val="000000" w:themeColor="text1"/>
        </w:rPr>
        <w:t xml:space="preserve"> presenting with the significant clinical sign of lameness </w:t>
      </w:r>
      <w:r w:rsidRPr="00242CE5">
        <w:rPr>
          <w:color w:val="000000" w:themeColor="text1"/>
        </w:rPr>
        <w:t>we</w:t>
      </w:r>
      <w:r w:rsidR="000851D8" w:rsidRPr="00242CE5">
        <w:rPr>
          <w:color w:val="000000" w:themeColor="text1"/>
        </w:rPr>
        <w:t xml:space="preserve">re </w:t>
      </w:r>
      <w:r w:rsidR="00BD4DB0" w:rsidRPr="00242CE5">
        <w:rPr>
          <w:color w:val="000000" w:themeColor="text1"/>
        </w:rPr>
        <w:t xml:space="preserve">approximately </w:t>
      </w:r>
      <w:r w:rsidR="000851D8" w:rsidRPr="00242CE5">
        <w:rPr>
          <w:color w:val="000000" w:themeColor="text1"/>
        </w:rPr>
        <w:t xml:space="preserve">10 times more likely to be a neurological mimic. </w:t>
      </w:r>
      <w:r w:rsidR="00BD4DB0" w:rsidRPr="00242CE5">
        <w:rPr>
          <w:color w:val="000000" w:themeColor="text1"/>
        </w:rPr>
        <w:t xml:space="preserve">Therefore, a thorough </w:t>
      </w:r>
      <w:r w:rsidR="000E6631" w:rsidRPr="00242CE5">
        <w:rPr>
          <w:color w:val="000000" w:themeColor="text1"/>
        </w:rPr>
        <w:t xml:space="preserve">physical and </w:t>
      </w:r>
      <w:r w:rsidR="00BD4DB0" w:rsidRPr="00242CE5">
        <w:rPr>
          <w:color w:val="000000" w:themeColor="text1"/>
        </w:rPr>
        <w:t>neurological examination should be performed to help guide referral to the correct service.</w:t>
      </w:r>
      <w:r w:rsidR="00D2575E" w:rsidRPr="00242CE5">
        <w:rPr>
          <w:color w:val="000000" w:themeColor="text1"/>
        </w:rPr>
        <w:t xml:space="preserve"> </w:t>
      </w:r>
    </w:p>
    <w:p w14:paraId="01D3BBBC" w14:textId="296E47B7" w:rsidR="006C54CA" w:rsidRPr="00242CE5" w:rsidRDefault="00F46E6C" w:rsidP="000851D8">
      <w:pPr>
        <w:jc w:val="both"/>
        <w:rPr>
          <w:color w:val="000000" w:themeColor="text1"/>
        </w:rPr>
      </w:pPr>
      <w:r w:rsidRPr="00242CE5">
        <w:rPr>
          <w:color w:val="000000" w:themeColor="text1"/>
        </w:rPr>
        <w:lastRenderedPageBreak/>
        <w:t>T</w:t>
      </w:r>
      <w:r w:rsidR="000851D8" w:rsidRPr="00242CE5">
        <w:rPr>
          <w:color w:val="000000" w:themeColor="text1"/>
        </w:rPr>
        <w:t>he</w:t>
      </w:r>
      <w:r w:rsidRPr="00242CE5">
        <w:rPr>
          <w:color w:val="000000" w:themeColor="text1"/>
        </w:rPr>
        <w:t xml:space="preserve"> </w:t>
      </w:r>
      <w:r w:rsidR="00BE7367" w:rsidRPr="00242CE5">
        <w:rPr>
          <w:color w:val="000000" w:themeColor="text1"/>
        </w:rPr>
        <w:t xml:space="preserve">few </w:t>
      </w:r>
      <w:r w:rsidR="000851D8" w:rsidRPr="00242CE5">
        <w:rPr>
          <w:color w:val="000000" w:themeColor="text1"/>
        </w:rPr>
        <w:t xml:space="preserve">neurological mimic cases </w:t>
      </w:r>
      <w:r w:rsidR="00BE7367" w:rsidRPr="00242CE5">
        <w:rPr>
          <w:color w:val="000000" w:themeColor="text1"/>
        </w:rPr>
        <w:t xml:space="preserve">that did have </w:t>
      </w:r>
      <w:r w:rsidRPr="00242CE5">
        <w:rPr>
          <w:color w:val="000000" w:themeColor="text1"/>
        </w:rPr>
        <w:t>neurological deficits detected on</w:t>
      </w:r>
      <w:r w:rsidR="000851D8" w:rsidRPr="00242CE5">
        <w:rPr>
          <w:color w:val="000000" w:themeColor="text1"/>
        </w:rPr>
        <w:t xml:space="preserve"> neurological exam</w:t>
      </w:r>
      <w:r w:rsidRPr="00242CE5">
        <w:rPr>
          <w:color w:val="000000" w:themeColor="text1"/>
        </w:rPr>
        <w:t xml:space="preserve">ination were </w:t>
      </w:r>
      <w:r w:rsidR="00E25CD6" w:rsidRPr="00242CE5">
        <w:rPr>
          <w:color w:val="000000" w:themeColor="text1"/>
        </w:rPr>
        <w:t xml:space="preserve">investigated. These were found to be </w:t>
      </w:r>
      <w:r w:rsidRPr="00242CE5">
        <w:rPr>
          <w:color w:val="000000" w:themeColor="text1"/>
        </w:rPr>
        <w:t xml:space="preserve">due to an </w:t>
      </w:r>
      <w:r w:rsidR="000851D8" w:rsidRPr="00242CE5">
        <w:rPr>
          <w:color w:val="000000" w:themeColor="text1"/>
        </w:rPr>
        <w:t>incidental finding of proprioceptive deficits</w:t>
      </w:r>
      <w:r w:rsidR="001F1E59" w:rsidRPr="00242CE5">
        <w:rPr>
          <w:color w:val="000000" w:themeColor="text1"/>
        </w:rPr>
        <w:t xml:space="preserve"> and a previously diagnosed neurological condition</w:t>
      </w:r>
      <w:r w:rsidR="000851D8" w:rsidRPr="00242CE5">
        <w:rPr>
          <w:color w:val="000000" w:themeColor="text1"/>
        </w:rPr>
        <w:t xml:space="preserve"> in </w:t>
      </w:r>
      <w:r w:rsidR="001F1E59" w:rsidRPr="00242CE5">
        <w:rPr>
          <w:color w:val="000000" w:themeColor="text1"/>
        </w:rPr>
        <w:t xml:space="preserve">two </w:t>
      </w:r>
      <w:r w:rsidR="000851D8" w:rsidRPr="00242CE5">
        <w:rPr>
          <w:color w:val="000000" w:themeColor="text1"/>
        </w:rPr>
        <w:t>patient</w:t>
      </w:r>
      <w:r w:rsidR="001F1E59" w:rsidRPr="00242CE5">
        <w:rPr>
          <w:color w:val="000000" w:themeColor="text1"/>
        </w:rPr>
        <w:t>s with internal medical conditions respectively,</w:t>
      </w:r>
      <w:r w:rsidR="000851D8" w:rsidRPr="00242CE5">
        <w:rPr>
          <w:color w:val="000000" w:themeColor="text1"/>
        </w:rPr>
        <w:t xml:space="preserve"> </w:t>
      </w:r>
      <w:r w:rsidRPr="00242CE5">
        <w:rPr>
          <w:color w:val="000000" w:themeColor="text1"/>
        </w:rPr>
        <w:t xml:space="preserve">and </w:t>
      </w:r>
      <w:r w:rsidR="000851D8" w:rsidRPr="00242CE5">
        <w:rPr>
          <w:color w:val="000000" w:themeColor="text1"/>
        </w:rPr>
        <w:t xml:space="preserve">absent menace response in those with an ophthalmological problem. </w:t>
      </w:r>
      <w:r w:rsidR="001F1E59" w:rsidRPr="00242CE5">
        <w:rPr>
          <w:color w:val="000000" w:themeColor="text1"/>
        </w:rPr>
        <w:t>Four</w:t>
      </w:r>
      <w:r w:rsidR="000851D8" w:rsidRPr="00242CE5">
        <w:rPr>
          <w:color w:val="000000" w:themeColor="text1"/>
        </w:rPr>
        <w:t xml:space="preserve"> patients with an orthopaedic diagnosis had mild proprioceptive deficits or decreased spinal reflexes due to previously diagnosed neurological conditions</w:t>
      </w:r>
      <w:r w:rsidR="001F1E59" w:rsidRPr="00242CE5">
        <w:rPr>
          <w:color w:val="000000" w:themeColor="text1"/>
        </w:rPr>
        <w:t xml:space="preserve"> or incidental findings </w:t>
      </w:r>
      <w:r w:rsidR="000851D8" w:rsidRPr="00242CE5">
        <w:rPr>
          <w:color w:val="000000" w:themeColor="text1"/>
        </w:rPr>
        <w:t xml:space="preserve">which </w:t>
      </w:r>
      <w:r w:rsidR="00E25CD6" w:rsidRPr="00242CE5">
        <w:rPr>
          <w:color w:val="000000" w:themeColor="text1"/>
        </w:rPr>
        <w:t xml:space="preserve">the authors postulate </w:t>
      </w:r>
      <w:r w:rsidR="000851D8" w:rsidRPr="00242CE5">
        <w:rPr>
          <w:color w:val="000000" w:themeColor="text1"/>
        </w:rPr>
        <w:t>may have been the reason for referral to the incorrect service</w:t>
      </w:r>
      <w:r w:rsidRPr="00242CE5">
        <w:rPr>
          <w:color w:val="000000" w:themeColor="text1"/>
        </w:rPr>
        <w:t xml:space="preserve"> for the new </w:t>
      </w:r>
      <w:r w:rsidR="00996386" w:rsidRPr="00242CE5">
        <w:rPr>
          <w:color w:val="000000" w:themeColor="text1"/>
        </w:rPr>
        <w:t>condition</w:t>
      </w:r>
      <w:r w:rsidR="000851D8" w:rsidRPr="00242CE5">
        <w:rPr>
          <w:color w:val="000000" w:themeColor="text1"/>
        </w:rPr>
        <w:t xml:space="preserve">. </w:t>
      </w:r>
    </w:p>
    <w:p w14:paraId="735283D1" w14:textId="542D9EFC" w:rsidR="00BD5BFF" w:rsidRPr="00242CE5" w:rsidRDefault="000851D8" w:rsidP="00BD5BFF">
      <w:pPr>
        <w:jc w:val="both"/>
        <w:rPr>
          <w:rFonts w:eastAsia="Times New Roman" w:cstheme="minorHAnsi"/>
          <w:color w:val="000000" w:themeColor="text1"/>
        </w:rPr>
      </w:pPr>
      <w:r w:rsidRPr="00242CE5">
        <w:rPr>
          <w:color w:val="000000" w:themeColor="text1"/>
        </w:rPr>
        <w:t>There are limitations to this study</w:t>
      </w:r>
      <w:r w:rsidR="00BD5BFF" w:rsidRPr="00242CE5">
        <w:rPr>
          <w:color w:val="000000" w:themeColor="text1"/>
        </w:rPr>
        <w:t>,</w:t>
      </w:r>
      <w:r w:rsidRPr="00242CE5">
        <w:rPr>
          <w:color w:val="000000" w:themeColor="text1"/>
        </w:rPr>
        <w:t xml:space="preserve"> </w:t>
      </w:r>
      <w:r w:rsidR="0093634F" w:rsidRPr="00242CE5">
        <w:rPr>
          <w:color w:val="000000" w:themeColor="text1"/>
        </w:rPr>
        <w:t>which must be considered</w:t>
      </w:r>
      <w:r w:rsidRPr="00242CE5">
        <w:rPr>
          <w:color w:val="000000" w:themeColor="text1"/>
        </w:rPr>
        <w:t xml:space="preserve"> when interpreting the results. Only one referral hospital was used to source data</w:t>
      </w:r>
      <w:r w:rsidR="0093634F" w:rsidRPr="00242CE5">
        <w:rPr>
          <w:color w:val="000000" w:themeColor="text1"/>
        </w:rPr>
        <w:t>,</w:t>
      </w:r>
      <w:r w:rsidRPr="00242CE5">
        <w:rPr>
          <w:color w:val="000000" w:themeColor="text1"/>
        </w:rPr>
        <w:t xml:space="preserve"> so variability in caseload between institutions is not considered. Data was collected over a </w:t>
      </w:r>
      <w:r w:rsidR="0093634F" w:rsidRPr="00242CE5">
        <w:rPr>
          <w:color w:val="000000" w:themeColor="text1"/>
        </w:rPr>
        <w:t>two-</w:t>
      </w:r>
      <w:r w:rsidRPr="00242CE5">
        <w:rPr>
          <w:color w:val="000000" w:themeColor="text1"/>
        </w:rPr>
        <w:t>year period, which limits the number and potentially variety of cases to only those that have presented in this timeframe.</w:t>
      </w:r>
      <w:r w:rsidR="00C80AA4" w:rsidRPr="00242CE5">
        <w:rPr>
          <w:color w:val="000000" w:themeColor="text1"/>
        </w:rPr>
        <w:t xml:space="preserve"> </w:t>
      </w:r>
      <w:r w:rsidRPr="00242CE5">
        <w:rPr>
          <w:color w:val="000000" w:themeColor="text1"/>
        </w:rPr>
        <w:t xml:space="preserve">Data was not available for all cases over this time period, including some of the </w:t>
      </w:r>
      <w:r w:rsidR="005004BE" w:rsidRPr="00242CE5">
        <w:rPr>
          <w:color w:val="000000" w:themeColor="text1"/>
        </w:rPr>
        <w:t>‘</w:t>
      </w:r>
      <w:r w:rsidRPr="00242CE5">
        <w:rPr>
          <w:color w:val="000000" w:themeColor="text1"/>
        </w:rPr>
        <w:t>undiagnosed</w:t>
      </w:r>
      <w:r w:rsidR="005004BE" w:rsidRPr="00242CE5">
        <w:rPr>
          <w:color w:val="000000" w:themeColor="text1"/>
        </w:rPr>
        <w:t>’</w:t>
      </w:r>
      <w:r w:rsidRPr="00242CE5">
        <w:rPr>
          <w:color w:val="000000" w:themeColor="text1"/>
        </w:rPr>
        <w:t xml:space="preserve"> cases</w:t>
      </w:r>
      <w:r w:rsidR="00BD5BFF" w:rsidRPr="00242CE5">
        <w:rPr>
          <w:color w:val="000000" w:themeColor="text1"/>
        </w:rPr>
        <w:t>,</w:t>
      </w:r>
      <w:r w:rsidRPr="00242CE5">
        <w:rPr>
          <w:color w:val="000000" w:themeColor="text1"/>
        </w:rPr>
        <w:t xml:space="preserve"> which could not be followed up to </w:t>
      </w:r>
      <w:r w:rsidR="00DE1537" w:rsidRPr="00242CE5">
        <w:rPr>
          <w:color w:val="000000" w:themeColor="text1"/>
        </w:rPr>
        <w:t>determine</w:t>
      </w:r>
      <w:r w:rsidRPr="00242CE5">
        <w:rPr>
          <w:color w:val="000000" w:themeColor="text1"/>
        </w:rPr>
        <w:t xml:space="preserve"> if further diagnostics did take place. Of these undiagnosed cases, there were more neurological mimics suspected, but could not be definitively diagnosed, and so the actual number of neurological mimics may be higher than we have recorded.</w:t>
      </w:r>
      <w:r w:rsidR="00DB1A5A" w:rsidRPr="00242CE5">
        <w:rPr>
          <w:color w:val="000000" w:themeColor="text1"/>
        </w:rPr>
        <w:t xml:space="preserve"> </w:t>
      </w:r>
      <w:r w:rsidR="00AC5560" w:rsidRPr="00242CE5">
        <w:rPr>
          <w:color w:val="000000" w:themeColor="text1"/>
        </w:rPr>
        <w:t xml:space="preserve"> </w:t>
      </w:r>
      <w:r w:rsidRPr="00242CE5">
        <w:rPr>
          <w:rFonts w:eastAsia="Times New Roman" w:cstheme="minorHAnsi"/>
          <w:color w:val="000000" w:themeColor="text1"/>
        </w:rPr>
        <w:t>In this study, we have not specifically looked at the implications of referral</w:t>
      </w:r>
      <w:r w:rsidR="00F46E6C" w:rsidRPr="00242CE5">
        <w:rPr>
          <w:rFonts w:eastAsia="Times New Roman" w:cstheme="minorHAnsi"/>
          <w:color w:val="000000" w:themeColor="text1"/>
        </w:rPr>
        <w:t xml:space="preserve"> to the incorrect service</w:t>
      </w:r>
      <w:r w:rsidRPr="00242CE5">
        <w:rPr>
          <w:rFonts w:eastAsia="Times New Roman" w:cstheme="minorHAnsi"/>
          <w:color w:val="000000" w:themeColor="text1"/>
        </w:rPr>
        <w:t>, but we can only presume that referral to the incorrect department within a hospital might result in a delay of diagnosis and treatment</w:t>
      </w:r>
      <w:r w:rsidR="003952DA" w:rsidRPr="00242CE5">
        <w:rPr>
          <w:rFonts w:eastAsia="Times New Roman" w:cstheme="minorHAnsi"/>
          <w:color w:val="000000" w:themeColor="text1"/>
        </w:rPr>
        <w:t>. This has the potential to lead to less successful outcomes</w:t>
      </w:r>
      <w:r w:rsidRPr="00242CE5">
        <w:rPr>
          <w:rFonts w:eastAsia="Times New Roman" w:cstheme="minorHAnsi"/>
          <w:color w:val="000000" w:themeColor="text1"/>
        </w:rPr>
        <w:t>, extra stress for the patient and owners and additional consultation costs for the owners</w:t>
      </w:r>
      <w:r w:rsidR="003952DA" w:rsidRPr="00242CE5">
        <w:rPr>
          <w:rFonts w:eastAsia="Times New Roman" w:cstheme="minorHAnsi"/>
          <w:color w:val="000000" w:themeColor="text1"/>
        </w:rPr>
        <w:t>, possibly leading to more complaints</w:t>
      </w:r>
      <w:r w:rsidRPr="00242CE5">
        <w:rPr>
          <w:rFonts w:eastAsia="Times New Roman" w:cstheme="minorHAnsi"/>
          <w:color w:val="000000" w:themeColor="text1"/>
        </w:rPr>
        <w:t xml:space="preserve">. </w:t>
      </w:r>
    </w:p>
    <w:p w14:paraId="1EA1FAA4" w14:textId="12130088" w:rsidR="00BD5BFF" w:rsidRPr="00242CE5" w:rsidRDefault="00AC5560" w:rsidP="000851D8">
      <w:pPr>
        <w:jc w:val="both"/>
        <w:rPr>
          <w:rFonts w:cstheme="minorHAnsi"/>
          <w:color w:val="000000" w:themeColor="text1"/>
        </w:rPr>
      </w:pPr>
      <w:r w:rsidRPr="00242CE5">
        <w:rPr>
          <w:rFonts w:eastAsia="Times New Roman" w:cstheme="minorHAnsi"/>
          <w:color w:val="000000" w:themeColor="text1"/>
          <w:shd w:val="clear" w:color="auto" w:fill="FFFFFF"/>
        </w:rPr>
        <w:lastRenderedPageBreak/>
        <w:t>Statistical analysis was done only between primary neurological conditions and neurological mimics to obtain the clearest results of differences in clinical characteristics between non-neurological conditions that mimic a neurological disease and true neurological conditions. But it has to be considered that there are overlap cases, such as non-neurological diseases with neurological presentation, where referral to the correct service might be more challenging and which might benefit from the input of multiple services.</w:t>
      </w:r>
      <w:r w:rsidRPr="00242CE5">
        <w:rPr>
          <w:rFonts w:cstheme="minorHAnsi"/>
          <w:color w:val="000000" w:themeColor="text1"/>
        </w:rPr>
        <w:t xml:space="preserve"> </w:t>
      </w:r>
    </w:p>
    <w:p w14:paraId="3439B500" w14:textId="28C81A7C" w:rsidR="00AC5560" w:rsidRPr="00242CE5" w:rsidRDefault="000851D8" w:rsidP="000851D8">
      <w:pPr>
        <w:jc w:val="both"/>
        <w:rPr>
          <w:color w:val="000000" w:themeColor="text1"/>
        </w:rPr>
      </w:pPr>
      <w:r w:rsidRPr="00242CE5">
        <w:rPr>
          <w:color w:val="000000" w:themeColor="text1"/>
        </w:rPr>
        <w:t>This study</w:t>
      </w:r>
      <w:r w:rsidR="00AC5560" w:rsidRPr="00242CE5">
        <w:rPr>
          <w:color w:val="000000" w:themeColor="text1"/>
        </w:rPr>
        <w:t xml:space="preserve"> is the first of its kind in veterinary medicine. Most likely, our results apply to more than one species. In this study, dogs and cats were simultaneously analysed, however, differences in presentation of neurological mimics between dogs and cats might have been missed, as only </w:t>
      </w:r>
      <w:r w:rsidR="000643E5">
        <w:rPr>
          <w:color w:val="000000" w:themeColor="text1"/>
        </w:rPr>
        <w:t>three</w:t>
      </w:r>
      <w:r w:rsidR="00AC5560" w:rsidRPr="00242CE5">
        <w:rPr>
          <w:color w:val="000000" w:themeColor="text1"/>
        </w:rPr>
        <w:t xml:space="preserve"> cats were considered neurological mimics in this study. </w:t>
      </w:r>
      <w:r w:rsidRPr="00242CE5">
        <w:rPr>
          <w:color w:val="000000" w:themeColor="text1"/>
        </w:rPr>
        <w:t xml:space="preserve"> </w:t>
      </w:r>
      <w:r w:rsidR="00AC5560" w:rsidRPr="00242CE5">
        <w:rPr>
          <w:color w:val="000000" w:themeColor="text1"/>
        </w:rPr>
        <w:t>As different species have different diseases and thus might present differently, it would be interesting to further design studies that look into species-specific presentations of these neurological mimics.</w:t>
      </w:r>
    </w:p>
    <w:p w14:paraId="385A5A93" w14:textId="270AF25F" w:rsidR="00AC5560" w:rsidRPr="00242CE5" w:rsidRDefault="00AC5560" w:rsidP="00AC5560">
      <w:pPr>
        <w:jc w:val="both"/>
        <w:rPr>
          <w:b/>
          <w:color w:val="000000" w:themeColor="text1"/>
          <w:sz w:val="26"/>
          <w:szCs w:val="26"/>
        </w:rPr>
      </w:pPr>
      <w:r w:rsidRPr="00242CE5">
        <w:rPr>
          <w:color w:val="000000" w:themeColor="text1"/>
        </w:rPr>
        <w:t xml:space="preserve">This research </w:t>
      </w:r>
      <w:r w:rsidR="000851D8" w:rsidRPr="00242CE5">
        <w:rPr>
          <w:color w:val="000000" w:themeColor="text1"/>
        </w:rPr>
        <w:t xml:space="preserve">supports the view that careful </w:t>
      </w:r>
      <w:r w:rsidR="00C80AA4" w:rsidRPr="00242CE5">
        <w:rPr>
          <w:color w:val="000000" w:themeColor="text1"/>
        </w:rPr>
        <w:t>physical</w:t>
      </w:r>
      <w:r w:rsidR="00F46E6C" w:rsidRPr="00242CE5">
        <w:rPr>
          <w:color w:val="000000" w:themeColor="text1"/>
        </w:rPr>
        <w:t xml:space="preserve"> examination, including those of the </w:t>
      </w:r>
      <w:r w:rsidR="00BD5BFF" w:rsidRPr="00242CE5">
        <w:rPr>
          <w:color w:val="000000" w:themeColor="text1"/>
        </w:rPr>
        <w:t>musculoskeletal</w:t>
      </w:r>
      <w:r w:rsidR="00C80AA4" w:rsidRPr="00242CE5">
        <w:rPr>
          <w:color w:val="000000" w:themeColor="text1"/>
        </w:rPr>
        <w:t xml:space="preserve"> and </w:t>
      </w:r>
      <w:r w:rsidR="00BD5BFF" w:rsidRPr="00242CE5">
        <w:rPr>
          <w:color w:val="000000" w:themeColor="text1"/>
        </w:rPr>
        <w:t>nervous</w:t>
      </w:r>
      <w:r w:rsidR="000851D8" w:rsidRPr="00242CE5">
        <w:rPr>
          <w:color w:val="000000" w:themeColor="text1"/>
        </w:rPr>
        <w:t xml:space="preserve"> </w:t>
      </w:r>
      <w:r w:rsidR="00F46E6C" w:rsidRPr="00242CE5">
        <w:rPr>
          <w:color w:val="000000" w:themeColor="text1"/>
        </w:rPr>
        <w:t>systems</w:t>
      </w:r>
      <w:r w:rsidR="00C965F5" w:rsidRPr="00242CE5">
        <w:rPr>
          <w:color w:val="000000" w:themeColor="text1"/>
        </w:rPr>
        <w:t xml:space="preserve">, </w:t>
      </w:r>
      <w:r w:rsidR="00C80AA4" w:rsidRPr="00242CE5">
        <w:rPr>
          <w:color w:val="000000" w:themeColor="text1"/>
        </w:rPr>
        <w:t>with</w:t>
      </w:r>
      <w:r w:rsidR="000851D8" w:rsidRPr="00242CE5">
        <w:rPr>
          <w:color w:val="000000" w:themeColor="text1"/>
        </w:rPr>
        <w:t xml:space="preserve"> consideration of the differential diagnoses</w:t>
      </w:r>
      <w:r w:rsidR="00530564" w:rsidRPr="00242CE5">
        <w:rPr>
          <w:color w:val="000000" w:themeColor="text1"/>
        </w:rPr>
        <w:t xml:space="preserve"> across disciplines</w:t>
      </w:r>
      <w:r w:rsidR="000851D8" w:rsidRPr="00242CE5">
        <w:rPr>
          <w:color w:val="000000" w:themeColor="text1"/>
        </w:rPr>
        <w:t xml:space="preserve"> is important to direct referrals to the correct department, especially when animals present with </w:t>
      </w:r>
      <w:r w:rsidR="00530564" w:rsidRPr="00242CE5">
        <w:rPr>
          <w:color w:val="000000" w:themeColor="text1"/>
        </w:rPr>
        <w:t xml:space="preserve">lameness, </w:t>
      </w:r>
      <w:r w:rsidR="000851D8" w:rsidRPr="00242CE5">
        <w:rPr>
          <w:color w:val="000000" w:themeColor="text1"/>
        </w:rPr>
        <w:t>vague clinical signs</w:t>
      </w:r>
      <w:r w:rsidR="00530564" w:rsidRPr="00242CE5">
        <w:rPr>
          <w:color w:val="000000" w:themeColor="text1"/>
        </w:rPr>
        <w:t>, and/or no abnormalities on neurological exam</w:t>
      </w:r>
      <w:r w:rsidRPr="00242CE5">
        <w:rPr>
          <w:color w:val="000000" w:themeColor="text1"/>
        </w:rPr>
        <w:t>ination</w:t>
      </w:r>
      <w:r w:rsidR="000851D8" w:rsidRPr="00242CE5">
        <w:rPr>
          <w:color w:val="000000" w:themeColor="text1"/>
        </w:rPr>
        <w:t xml:space="preserve">.  </w:t>
      </w:r>
      <w:r w:rsidR="008C08E7" w:rsidRPr="00242CE5">
        <w:rPr>
          <w:color w:val="000000" w:themeColor="text1"/>
        </w:rPr>
        <w:t>This study also highlights the benefits of a multi-disciplinary referral practice for optimising the management of patients.</w:t>
      </w:r>
      <w:r w:rsidRPr="00242CE5">
        <w:rPr>
          <w:b/>
          <w:color w:val="000000" w:themeColor="text1"/>
          <w:sz w:val="26"/>
          <w:szCs w:val="26"/>
        </w:rPr>
        <w:br w:type="page"/>
      </w:r>
    </w:p>
    <w:p w14:paraId="68D09746" w14:textId="4D14F726" w:rsidR="000851D8" w:rsidRPr="00242CE5" w:rsidRDefault="000851D8" w:rsidP="000851D8">
      <w:pPr>
        <w:jc w:val="both"/>
        <w:rPr>
          <w:b/>
          <w:color w:val="000000" w:themeColor="text1"/>
          <w:sz w:val="26"/>
          <w:szCs w:val="26"/>
        </w:rPr>
      </w:pPr>
      <w:r w:rsidRPr="00242CE5">
        <w:rPr>
          <w:b/>
          <w:color w:val="000000" w:themeColor="text1"/>
          <w:sz w:val="26"/>
          <w:szCs w:val="26"/>
        </w:rPr>
        <w:lastRenderedPageBreak/>
        <w:t>REFERENCES</w:t>
      </w:r>
    </w:p>
    <w:p w14:paraId="254850C4" w14:textId="542BB690" w:rsidR="000851D8" w:rsidRPr="00242CE5" w:rsidRDefault="000851D8" w:rsidP="000851D8">
      <w:pPr>
        <w:jc w:val="both"/>
        <w:rPr>
          <w:color w:val="000000" w:themeColor="text1"/>
          <w:szCs w:val="26"/>
        </w:rPr>
      </w:pPr>
      <w:r w:rsidRPr="00242CE5">
        <w:rPr>
          <w:color w:val="000000" w:themeColor="text1"/>
          <w:szCs w:val="26"/>
        </w:rPr>
        <w:t xml:space="preserve">[1] Jenkins RM. Quality of general practitioner referrals to outpatient departments: assessment by specialists and a general practitioner. </w:t>
      </w:r>
      <w:r w:rsidRPr="00242CE5">
        <w:rPr>
          <w:i/>
          <w:color w:val="000000" w:themeColor="text1"/>
          <w:szCs w:val="26"/>
        </w:rPr>
        <w:t xml:space="preserve">Br J Gen Pract. </w:t>
      </w:r>
      <w:r w:rsidRPr="00242CE5">
        <w:rPr>
          <w:color w:val="000000" w:themeColor="text1"/>
          <w:szCs w:val="26"/>
        </w:rPr>
        <w:t>1993;</w:t>
      </w:r>
      <w:r w:rsidRPr="00242CE5">
        <w:rPr>
          <w:b/>
          <w:color w:val="000000" w:themeColor="text1"/>
          <w:szCs w:val="26"/>
        </w:rPr>
        <w:t>43</w:t>
      </w:r>
      <w:r w:rsidRPr="00242CE5">
        <w:rPr>
          <w:color w:val="000000" w:themeColor="text1"/>
          <w:szCs w:val="26"/>
        </w:rPr>
        <w:t>(368):111-113.</w:t>
      </w:r>
    </w:p>
    <w:p w14:paraId="624F3E1A" w14:textId="77777777" w:rsidR="000851D8" w:rsidRPr="00242CE5" w:rsidRDefault="000851D8" w:rsidP="000851D8">
      <w:pPr>
        <w:jc w:val="both"/>
        <w:rPr>
          <w:color w:val="000000" w:themeColor="text1"/>
          <w:sz w:val="26"/>
          <w:szCs w:val="26"/>
        </w:rPr>
      </w:pPr>
    </w:p>
    <w:p w14:paraId="18DE3DF5" w14:textId="26ECFB1C" w:rsidR="002A3513" w:rsidRPr="00242CE5" w:rsidRDefault="002A3513" w:rsidP="002A3513">
      <w:pPr>
        <w:pStyle w:val="EndnoteText"/>
        <w:rPr>
          <w:rFonts w:eastAsia="Times New Roman" w:cstheme="minorHAnsi"/>
          <w:color w:val="000000" w:themeColor="text1"/>
          <w:sz w:val="24"/>
          <w:shd w:val="clear" w:color="auto" w:fill="FFFFFF"/>
        </w:rPr>
      </w:pPr>
      <w:r w:rsidRPr="00242CE5">
        <w:rPr>
          <w:rFonts w:eastAsia="Times New Roman" w:cstheme="minorHAnsi"/>
          <w:color w:val="000000" w:themeColor="text1"/>
          <w:sz w:val="24"/>
          <w:shd w:val="clear" w:color="auto" w:fill="FFFFFF"/>
        </w:rPr>
        <w:t>[2] Mead S, Rudge P. CJD mimics and chameleons. </w:t>
      </w:r>
      <w:r w:rsidRPr="00242CE5">
        <w:rPr>
          <w:rFonts w:eastAsia="Times New Roman" w:cstheme="minorHAnsi"/>
          <w:i/>
          <w:iCs/>
          <w:color w:val="000000" w:themeColor="text1"/>
          <w:sz w:val="24"/>
        </w:rPr>
        <w:t>Pract Neurol.</w:t>
      </w:r>
      <w:r w:rsidRPr="00242CE5">
        <w:rPr>
          <w:rFonts w:eastAsia="Times New Roman" w:cstheme="minorHAnsi"/>
          <w:color w:val="000000" w:themeColor="text1"/>
          <w:sz w:val="24"/>
          <w:shd w:val="clear" w:color="auto" w:fill="FFFFFF"/>
        </w:rPr>
        <w:t> 2017;</w:t>
      </w:r>
      <w:r w:rsidRPr="00242CE5">
        <w:rPr>
          <w:rFonts w:eastAsia="Times New Roman" w:cstheme="minorHAnsi"/>
          <w:b/>
          <w:iCs/>
          <w:color w:val="000000" w:themeColor="text1"/>
          <w:sz w:val="24"/>
        </w:rPr>
        <w:t>17</w:t>
      </w:r>
      <w:r w:rsidRPr="00242CE5">
        <w:rPr>
          <w:rFonts w:eastAsia="Times New Roman" w:cstheme="minorHAnsi"/>
          <w:color w:val="000000" w:themeColor="text1"/>
          <w:sz w:val="24"/>
          <w:shd w:val="clear" w:color="auto" w:fill="FFFFFF"/>
        </w:rPr>
        <w:t xml:space="preserve">(2):113–121. </w:t>
      </w:r>
    </w:p>
    <w:p w14:paraId="20FB9F05" w14:textId="77777777" w:rsidR="002A3513" w:rsidRPr="00242CE5" w:rsidRDefault="002A3513" w:rsidP="002A3513">
      <w:pPr>
        <w:pStyle w:val="EndnoteText"/>
        <w:rPr>
          <w:color w:val="000000" w:themeColor="text1"/>
          <w:sz w:val="24"/>
        </w:rPr>
      </w:pPr>
    </w:p>
    <w:p w14:paraId="70105370" w14:textId="6C6A2415" w:rsidR="002A3513" w:rsidRPr="00242CE5" w:rsidRDefault="002A3513" w:rsidP="002A3513">
      <w:pPr>
        <w:pStyle w:val="EndnoteText"/>
        <w:rPr>
          <w:rFonts w:eastAsia="Times New Roman" w:cstheme="minorHAnsi"/>
          <w:color w:val="000000" w:themeColor="text1"/>
          <w:sz w:val="24"/>
          <w:shd w:val="clear" w:color="auto" w:fill="FCFCFC"/>
        </w:rPr>
      </w:pPr>
      <w:r w:rsidRPr="00242CE5">
        <w:rPr>
          <w:rFonts w:eastAsia="Times New Roman" w:cstheme="minorHAnsi"/>
          <w:color w:val="000000" w:themeColor="text1"/>
          <w:sz w:val="24"/>
          <w:shd w:val="clear" w:color="auto" w:fill="FCFCFC"/>
        </w:rPr>
        <w:t>[3] Pillen S, Pizza F, Dhondt K, </w:t>
      </w:r>
      <w:r w:rsidRPr="00242CE5">
        <w:rPr>
          <w:rFonts w:eastAsia="Times New Roman" w:cstheme="minorHAnsi"/>
          <w:iCs/>
          <w:color w:val="000000" w:themeColor="text1"/>
          <w:sz w:val="24"/>
        </w:rPr>
        <w:t>et al.</w:t>
      </w:r>
      <w:r w:rsidRPr="00242CE5">
        <w:rPr>
          <w:rFonts w:eastAsia="Times New Roman" w:cstheme="minorHAnsi"/>
          <w:color w:val="000000" w:themeColor="text1"/>
          <w:sz w:val="24"/>
          <w:shd w:val="clear" w:color="auto" w:fill="FCFCFC"/>
        </w:rPr>
        <w:t> Cataplexy and Its Mimics: Clinical Recognition and Management. </w:t>
      </w:r>
      <w:r w:rsidRPr="00242CE5">
        <w:rPr>
          <w:rFonts w:eastAsia="Times New Roman" w:cstheme="minorHAnsi"/>
          <w:i/>
          <w:iCs/>
          <w:color w:val="000000" w:themeColor="text1"/>
          <w:sz w:val="24"/>
        </w:rPr>
        <w:t>Curr Treat Options Neurol.</w:t>
      </w:r>
      <w:r w:rsidRPr="00242CE5">
        <w:rPr>
          <w:rFonts w:eastAsia="Times New Roman" w:cstheme="minorHAnsi"/>
          <w:color w:val="000000" w:themeColor="text1"/>
          <w:sz w:val="24"/>
          <w:shd w:val="clear" w:color="auto" w:fill="FCFCFC"/>
        </w:rPr>
        <w:t> 2017;</w:t>
      </w:r>
      <w:r w:rsidRPr="00242CE5">
        <w:rPr>
          <w:rFonts w:eastAsia="Times New Roman" w:cstheme="minorHAnsi"/>
          <w:b/>
          <w:bCs/>
          <w:color w:val="000000" w:themeColor="text1"/>
          <w:sz w:val="24"/>
        </w:rPr>
        <w:t>19</w:t>
      </w:r>
      <w:r w:rsidRPr="00242CE5">
        <w:rPr>
          <w:rFonts w:eastAsia="Times New Roman" w:cstheme="minorHAnsi"/>
          <w:bCs/>
          <w:color w:val="000000" w:themeColor="text1"/>
          <w:sz w:val="24"/>
        </w:rPr>
        <w:t>(6):</w:t>
      </w:r>
      <w:r w:rsidRPr="00242CE5">
        <w:rPr>
          <w:rFonts w:eastAsia="Times New Roman" w:cstheme="minorHAnsi"/>
          <w:color w:val="000000" w:themeColor="text1"/>
          <w:sz w:val="24"/>
          <w:shd w:val="clear" w:color="auto" w:fill="FCFCFC"/>
        </w:rPr>
        <w:t xml:space="preserve">23. </w:t>
      </w:r>
    </w:p>
    <w:p w14:paraId="3D5DDA9C" w14:textId="77777777" w:rsidR="002A3513" w:rsidRPr="00242CE5" w:rsidRDefault="002A3513" w:rsidP="002A3513">
      <w:pPr>
        <w:pStyle w:val="EndnoteText"/>
        <w:rPr>
          <w:color w:val="000000" w:themeColor="text1"/>
          <w:sz w:val="24"/>
        </w:rPr>
      </w:pPr>
    </w:p>
    <w:p w14:paraId="5498744D" w14:textId="3EF71B56" w:rsidR="002A3513" w:rsidRPr="00242CE5" w:rsidRDefault="002A3513" w:rsidP="002A3513">
      <w:pPr>
        <w:pStyle w:val="EndnoteText"/>
        <w:rPr>
          <w:rFonts w:eastAsia="Times New Roman" w:cstheme="minorHAnsi"/>
          <w:color w:val="000000" w:themeColor="text1"/>
          <w:sz w:val="24"/>
          <w:shd w:val="clear" w:color="auto" w:fill="FFFFFF"/>
        </w:rPr>
      </w:pPr>
      <w:r w:rsidRPr="00242CE5">
        <w:rPr>
          <w:rFonts w:eastAsia="Times New Roman" w:cstheme="minorHAnsi"/>
          <w:color w:val="000000" w:themeColor="text1"/>
          <w:sz w:val="24"/>
          <w:shd w:val="clear" w:color="auto" w:fill="FFFFFF"/>
        </w:rPr>
        <w:t>[4] Ali K, Morris HR. Parkinson's disease: chameleons and mimics. </w:t>
      </w:r>
      <w:r w:rsidRPr="00242CE5">
        <w:rPr>
          <w:rFonts w:eastAsia="Times New Roman" w:cstheme="minorHAnsi"/>
          <w:i/>
          <w:iCs/>
          <w:color w:val="000000" w:themeColor="text1"/>
          <w:sz w:val="24"/>
        </w:rPr>
        <w:t>Pract Neurol.</w:t>
      </w:r>
      <w:r w:rsidRPr="00242CE5">
        <w:rPr>
          <w:rFonts w:eastAsia="Times New Roman" w:cstheme="minorHAnsi"/>
          <w:color w:val="000000" w:themeColor="text1"/>
          <w:sz w:val="24"/>
          <w:shd w:val="clear" w:color="auto" w:fill="FFFFFF"/>
        </w:rPr>
        <w:t xml:space="preserve"> 2015;</w:t>
      </w:r>
      <w:r w:rsidRPr="00242CE5">
        <w:rPr>
          <w:rFonts w:eastAsia="Times New Roman" w:cstheme="minorHAnsi"/>
          <w:b/>
          <w:color w:val="000000" w:themeColor="text1"/>
          <w:sz w:val="24"/>
          <w:shd w:val="clear" w:color="auto" w:fill="FFFFFF"/>
        </w:rPr>
        <w:t>15</w:t>
      </w:r>
      <w:r w:rsidRPr="00242CE5">
        <w:rPr>
          <w:rFonts w:eastAsia="Times New Roman" w:cstheme="minorHAnsi"/>
          <w:color w:val="000000" w:themeColor="text1"/>
          <w:sz w:val="24"/>
          <w:shd w:val="clear" w:color="auto" w:fill="FFFFFF"/>
        </w:rPr>
        <w:t xml:space="preserve">(1):14‐25. </w:t>
      </w:r>
    </w:p>
    <w:p w14:paraId="684956CA" w14:textId="77777777" w:rsidR="002A3513" w:rsidRPr="00242CE5" w:rsidRDefault="002A3513" w:rsidP="002A3513">
      <w:pPr>
        <w:pStyle w:val="EndnoteText"/>
        <w:rPr>
          <w:rFonts w:eastAsia="Times New Roman" w:cstheme="minorHAnsi"/>
          <w:color w:val="000000" w:themeColor="text1"/>
          <w:sz w:val="24"/>
          <w:shd w:val="clear" w:color="auto" w:fill="FFFFFF"/>
        </w:rPr>
      </w:pPr>
    </w:p>
    <w:p w14:paraId="7144779E" w14:textId="13D8D16A" w:rsidR="002A3513" w:rsidRPr="00242CE5" w:rsidRDefault="002A3513" w:rsidP="002A3513">
      <w:pPr>
        <w:pStyle w:val="EndnoteText"/>
        <w:rPr>
          <w:rFonts w:eastAsia="Times New Roman" w:cstheme="minorHAnsi"/>
          <w:color w:val="000000" w:themeColor="text1"/>
          <w:sz w:val="24"/>
          <w:shd w:val="clear" w:color="auto" w:fill="FFFFFF"/>
        </w:rPr>
      </w:pPr>
      <w:r w:rsidRPr="00242CE5">
        <w:rPr>
          <w:rFonts w:cstheme="minorHAnsi"/>
          <w:color w:val="000000" w:themeColor="text1"/>
          <w:sz w:val="24"/>
        </w:rPr>
        <w:t>[5] N</w:t>
      </w:r>
      <w:r w:rsidRPr="00242CE5">
        <w:rPr>
          <w:rFonts w:eastAsia="Times New Roman" w:cstheme="minorHAnsi"/>
          <w:color w:val="000000" w:themeColor="text1"/>
          <w:sz w:val="24"/>
          <w:shd w:val="clear" w:color="auto" w:fill="FFFFFF"/>
        </w:rPr>
        <w:t>eves Briard J, Zewude RT, Kate MP, et al. Stroke Mimics Transported by Emergency Medical Services to a Comprehensive Stroke Center: The Magnitude of the Problem. </w:t>
      </w:r>
      <w:r w:rsidRPr="00242CE5">
        <w:rPr>
          <w:rFonts w:eastAsia="Times New Roman" w:cstheme="minorHAnsi"/>
          <w:i/>
          <w:iCs/>
          <w:color w:val="000000" w:themeColor="text1"/>
          <w:sz w:val="24"/>
        </w:rPr>
        <w:t xml:space="preserve">J Stroke Cerebrovasc Dis. </w:t>
      </w:r>
      <w:r w:rsidRPr="00242CE5">
        <w:rPr>
          <w:rFonts w:eastAsia="Times New Roman" w:cstheme="minorHAnsi"/>
          <w:color w:val="000000" w:themeColor="text1"/>
          <w:sz w:val="24"/>
          <w:shd w:val="clear" w:color="auto" w:fill="FFFFFF"/>
        </w:rPr>
        <w:t>2018;</w:t>
      </w:r>
      <w:r w:rsidRPr="00242CE5">
        <w:rPr>
          <w:rFonts w:eastAsia="Times New Roman" w:cstheme="minorHAnsi"/>
          <w:b/>
          <w:iCs/>
          <w:color w:val="000000" w:themeColor="text1"/>
          <w:sz w:val="24"/>
        </w:rPr>
        <w:t>27</w:t>
      </w:r>
      <w:r w:rsidRPr="00242CE5">
        <w:rPr>
          <w:rFonts w:eastAsia="Times New Roman" w:cstheme="minorHAnsi"/>
          <w:color w:val="000000" w:themeColor="text1"/>
          <w:sz w:val="24"/>
          <w:shd w:val="clear" w:color="auto" w:fill="FFFFFF"/>
        </w:rPr>
        <w:t xml:space="preserve">(10):2738–2745. </w:t>
      </w:r>
    </w:p>
    <w:p w14:paraId="534A997F" w14:textId="77777777" w:rsidR="002A3513" w:rsidRPr="00242CE5" w:rsidRDefault="002A3513" w:rsidP="002A3513">
      <w:pPr>
        <w:pStyle w:val="EndnoteText"/>
        <w:rPr>
          <w:rFonts w:cstheme="minorHAnsi"/>
          <w:color w:val="000000" w:themeColor="text1"/>
          <w:sz w:val="24"/>
        </w:rPr>
      </w:pPr>
      <w:r w:rsidRPr="00242CE5">
        <w:rPr>
          <w:rFonts w:cstheme="minorHAnsi"/>
          <w:color w:val="000000" w:themeColor="text1"/>
          <w:sz w:val="24"/>
        </w:rPr>
        <w:t xml:space="preserve"> </w:t>
      </w:r>
    </w:p>
    <w:p w14:paraId="150E4F8D" w14:textId="7FE68C45" w:rsidR="000851D8" w:rsidRPr="00242CE5" w:rsidRDefault="000851D8" w:rsidP="002A3513">
      <w:pPr>
        <w:pStyle w:val="EndnoteText"/>
        <w:rPr>
          <w:rFonts w:cstheme="minorHAnsi"/>
          <w:color w:val="000000" w:themeColor="text1"/>
          <w:sz w:val="24"/>
        </w:rPr>
      </w:pPr>
      <w:r w:rsidRPr="00242CE5">
        <w:rPr>
          <w:rFonts w:cstheme="minorHAnsi"/>
          <w:color w:val="000000" w:themeColor="text1"/>
          <w:sz w:val="24"/>
        </w:rPr>
        <w:t>[</w:t>
      </w:r>
      <w:r w:rsidR="002A3513" w:rsidRPr="00242CE5">
        <w:rPr>
          <w:rFonts w:cstheme="minorHAnsi"/>
          <w:color w:val="000000" w:themeColor="text1"/>
          <w:sz w:val="24"/>
        </w:rPr>
        <w:t>6</w:t>
      </w:r>
      <w:r w:rsidRPr="00242CE5">
        <w:rPr>
          <w:rFonts w:cstheme="minorHAnsi"/>
          <w:color w:val="000000" w:themeColor="text1"/>
          <w:sz w:val="24"/>
        </w:rPr>
        <w:t xml:space="preserve">] Olson P, Carithers RW. Differential Diagnosis of Conditions Mimicking Intervertebral Disc Disease in the Canine. </w:t>
      </w:r>
      <w:r w:rsidRPr="00242CE5">
        <w:rPr>
          <w:rFonts w:cstheme="minorHAnsi"/>
          <w:i/>
          <w:color w:val="000000" w:themeColor="text1"/>
          <w:sz w:val="24"/>
        </w:rPr>
        <w:t xml:space="preserve">Iowa State University Veterinarian. </w:t>
      </w:r>
      <w:r w:rsidRPr="00242CE5">
        <w:rPr>
          <w:rFonts w:cstheme="minorHAnsi"/>
          <w:color w:val="000000" w:themeColor="text1"/>
          <w:sz w:val="24"/>
        </w:rPr>
        <w:t>1982;</w:t>
      </w:r>
      <w:r w:rsidRPr="00242CE5">
        <w:rPr>
          <w:rFonts w:cstheme="minorHAnsi"/>
          <w:b/>
          <w:color w:val="000000" w:themeColor="text1"/>
          <w:sz w:val="24"/>
        </w:rPr>
        <w:t>44</w:t>
      </w:r>
      <w:r w:rsidRPr="00242CE5">
        <w:rPr>
          <w:rFonts w:cstheme="minorHAnsi"/>
          <w:color w:val="000000" w:themeColor="text1"/>
          <w:sz w:val="24"/>
        </w:rPr>
        <w:t>(2):1.</w:t>
      </w:r>
    </w:p>
    <w:p w14:paraId="610EA179" w14:textId="77777777" w:rsidR="000851D8" w:rsidRPr="00242CE5" w:rsidRDefault="000851D8" w:rsidP="000851D8">
      <w:pPr>
        <w:rPr>
          <w:color w:val="000000" w:themeColor="text1"/>
          <w:szCs w:val="20"/>
        </w:rPr>
      </w:pPr>
    </w:p>
    <w:p w14:paraId="09558337" w14:textId="4AA03F2F" w:rsidR="000851D8" w:rsidRPr="00242CE5" w:rsidRDefault="000851D8" w:rsidP="000851D8">
      <w:pPr>
        <w:rPr>
          <w:rFonts w:eastAsia="Times New Roman" w:cstheme="minorHAnsi"/>
          <w:color w:val="000000" w:themeColor="text1"/>
          <w:szCs w:val="20"/>
        </w:rPr>
      </w:pPr>
      <w:r w:rsidRPr="00242CE5">
        <w:rPr>
          <w:rFonts w:cstheme="minorHAnsi"/>
          <w:color w:val="000000" w:themeColor="text1"/>
          <w:szCs w:val="20"/>
        </w:rPr>
        <w:lastRenderedPageBreak/>
        <w:t>[</w:t>
      </w:r>
      <w:r w:rsidR="002A3513" w:rsidRPr="00242CE5">
        <w:rPr>
          <w:rFonts w:cstheme="minorHAnsi"/>
          <w:color w:val="000000" w:themeColor="text1"/>
          <w:szCs w:val="20"/>
        </w:rPr>
        <w:t>7</w:t>
      </w:r>
      <w:r w:rsidRPr="00242CE5">
        <w:rPr>
          <w:rFonts w:cstheme="minorHAnsi"/>
          <w:color w:val="000000" w:themeColor="text1"/>
          <w:szCs w:val="20"/>
        </w:rPr>
        <w:t xml:space="preserve">] Capuzzi J. </w:t>
      </w:r>
      <w:r w:rsidRPr="00242CE5">
        <w:rPr>
          <w:rFonts w:cstheme="minorHAnsi"/>
          <w:bCs/>
          <w:color w:val="000000" w:themeColor="text1"/>
          <w:szCs w:val="20"/>
        </w:rPr>
        <w:t>On shaky ground: Discerning true seizures from imposters in veterinary medicine,</w:t>
      </w:r>
      <w:r w:rsidRPr="00242CE5">
        <w:rPr>
          <w:rFonts w:cstheme="minorHAnsi"/>
          <w:color w:val="000000" w:themeColor="text1"/>
          <w:szCs w:val="20"/>
        </w:rPr>
        <w:t xml:space="preserve"> 2019. </w:t>
      </w:r>
      <w:r w:rsidRPr="00242CE5">
        <w:rPr>
          <w:rFonts w:eastAsia="Times New Roman" w:cstheme="minorHAnsi"/>
          <w:color w:val="000000" w:themeColor="text1"/>
          <w:szCs w:val="20"/>
        </w:rPr>
        <w:t xml:space="preserve">https://www.dvm360.com/view/shaky-ground-discerning-true-seizures-imposters-veterinary-medicine </w:t>
      </w:r>
      <w:r w:rsidR="00B411C8" w:rsidRPr="00242CE5">
        <w:rPr>
          <w:rFonts w:eastAsia="Times New Roman" w:cstheme="minorHAnsi"/>
          <w:color w:val="000000" w:themeColor="text1"/>
          <w:szCs w:val="20"/>
        </w:rPr>
        <w:t>(</w:t>
      </w:r>
      <w:r w:rsidRPr="00242CE5">
        <w:rPr>
          <w:rFonts w:eastAsia="Times New Roman" w:cstheme="minorHAnsi"/>
          <w:color w:val="000000" w:themeColor="text1"/>
          <w:szCs w:val="20"/>
        </w:rPr>
        <w:t>Accessed 19 June 2020</w:t>
      </w:r>
      <w:r w:rsidR="00B411C8" w:rsidRPr="00242CE5">
        <w:rPr>
          <w:rFonts w:eastAsia="Times New Roman" w:cstheme="minorHAnsi"/>
          <w:color w:val="000000" w:themeColor="text1"/>
          <w:szCs w:val="20"/>
        </w:rPr>
        <w:t>)</w:t>
      </w:r>
      <w:r w:rsidRPr="00242CE5">
        <w:rPr>
          <w:rFonts w:eastAsia="Times New Roman" w:cstheme="minorHAnsi"/>
          <w:color w:val="000000" w:themeColor="text1"/>
          <w:szCs w:val="20"/>
        </w:rPr>
        <w:t>.</w:t>
      </w:r>
    </w:p>
    <w:p w14:paraId="166FCF76" w14:textId="77777777" w:rsidR="002A3513" w:rsidRPr="00242CE5" w:rsidRDefault="002A3513" w:rsidP="002A3513">
      <w:pPr>
        <w:rPr>
          <w:color w:val="000000" w:themeColor="text1"/>
          <w:shd w:val="clear" w:color="auto" w:fill="FFFFFF"/>
        </w:rPr>
      </w:pPr>
    </w:p>
    <w:p w14:paraId="4CC255AE" w14:textId="00A4BB54" w:rsidR="0020201B" w:rsidRPr="00242CE5" w:rsidRDefault="002A3513" w:rsidP="002A3513">
      <w:pPr>
        <w:rPr>
          <w:rFonts w:ascii="Times New Roman" w:hAnsi="Times New Roman"/>
          <w:color w:val="000000" w:themeColor="text1"/>
        </w:rPr>
      </w:pPr>
      <w:r w:rsidRPr="00242CE5">
        <w:rPr>
          <w:color w:val="000000" w:themeColor="text1"/>
          <w:shd w:val="clear" w:color="auto" w:fill="FFFFFF"/>
        </w:rPr>
        <w:t xml:space="preserve"> </w:t>
      </w:r>
      <w:r w:rsidR="00061443" w:rsidRPr="00242CE5">
        <w:rPr>
          <w:color w:val="000000" w:themeColor="text1"/>
          <w:shd w:val="clear" w:color="auto" w:fill="FFFFFF"/>
        </w:rPr>
        <w:t>[</w:t>
      </w:r>
      <w:r w:rsidRPr="00242CE5">
        <w:rPr>
          <w:color w:val="000000" w:themeColor="text1"/>
          <w:shd w:val="clear" w:color="auto" w:fill="FFFFFF"/>
        </w:rPr>
        <w:t>8</w:t>
      </w:r>
      <w:r w:rsidR="00061443" w:rsidRPr="00242CE5">
        <w:rPr>
          <w:color w:val="000000" w:themeColor="text1"/>
          <w:shd w:val="clear" w:color="auto" w:fill="FFFFFF"/>
        </w:rPr>
        <w:t xml:space="preserve">] </w:t>
      </w:r>
      <w:r w:rsidR="0020201B" w:rsidRPr="00242CE5">
        <w:rPr>
          <w:color w:val="000000" w:themeColor="text1"/>
          <w:shd w:val="clear" w:color="auto" w:fill="FFFFFF"/>
        </w:rPr>
        <w:t>Stanciu A, Banciu M, Sadighi A</w:t>
      </w:r>
      <w:r w:rsidR="00061443" w:rsidRPr="00242CE5">
        <w:rPr>
          <w:color w:val="000000" w:themeColor="text1"/>
          <w:shd w:val="clear" w:color="auto" w:fill="FFFFFF"/>
        </w:rPr>
        <w:t>,</w:t>
      </w:r>
      <w:r w:rsidR="0020201B" w:rsidRPr="00242CE5">
        <w:rPr>
          <w:color w:val="000000" w:themeColor="text1"/>
          <w:shd w:val="clear" w:color="auto" w:fill="FFFFFF"/>
        </w:rPr>
        <w:t> </w:t>
      </w:r>
      <w:r w:rsidR="0020201B" w:rsidRPr="00242CE5">
        <w:rPr>
          <w:iCs/>
          <w:color w:val="000000" w:themeColor="text1"/>
        </w:rPr>
        <w:t>et al</w:t>
      </w:r>
      <w:r w:rsidR="0020201B" w:rsidRPr="00242CE5">
        <w:rPr>
          <w:i/>
          <w:iCs/>
          <w:color w:val="000000" w:themeColor="text1"/>
        </w:rPr>
        <w:t>.</w:t>
      </w:r>
      <w:r w:rsidR="0020201B" w:rsidRPr="00242CE5">
        <w:rPr>
          <w:color w:val="000000" w:themeColor="text1"/>
          <w:shd w:val="clear" w:color="auto" w:fill="FFFFFF"/>
        </w:rPr>
        <w:t> A predictive analytics model for differentiating between transient ischemic attacks (TIA) and its mimics. </w:t>
      </w:r>
      <w:r w:rsidR="0020201B" w:rsidRPr="00242CE5">
        <w:rPr>
          <w:i/>
          <w:iCs/>
          <w:color w:val="000000" w:themeColor="text1"/>
        </w:rPr>
        <w:t xml:space="preserve">BMC Med Inform Decis Mak. </w:t>
      </w:r>
      <w:r w:rsidR="0020201B" w:rsidRPr="00242CE5">
        <w:rPr>
          <w:iCs/>
          <w:color w:val="000000" w:themeColor="text1"/>
        </w:rPr>
        <w:t>2020;</w:t>
      </w:r>
      <w:r w:rsidR="0020201B" w:rsidRPr="00242CE5">
        <w:rPr>
          <w:b/>
          <w:bCs/>
          <w:color w:val="000000" w:themeColor="text1"/>
        </w:rPr>
        <w:t>20</w:t>
      </w:r>
      <w:r w:rsidR="0020201B" w:rsidRPr="00242CE5">
        <w:rPr>
          <w:bCs/>
          <w:color w:val="000000" w:themeColor="text1"/>
        </w:rPr>
        <w:t>:</w:t>
      </w:r>
      <w:r w:rsidR="0020201B" w:rsidRPr="00242CE5">
        <w:rPr>
          <w:color w:val="000000" w:themeColor="text1"/>
          <w:shd w:val="clear" w:color="auto" w:fill="FFFFFF"/>
        </w:rPr>
        <w:t xml:space="preserve">112 </w:t>
      </w:r>
    </w:p>
    <w:p w14:paraId="2AAF765E" w14:textId="77777777" w:rsidR="000851D8" w:rsidRPr="00242CE5" w:rsidRDefault="000851D8" w:rsidP="000851D8">
      <w:pPr>
        <w:pStyle w:val="EndnoteText"/>
        <w:rPr>
          <w:color w:val="000000" w:themeColor="text1"/>
          <w:sz w:val="24"/>
        </w:rPr>
      </w:pPr>
    </w:p>
    <w:p w14:paraId="285CCE5D" w14:textId="37C16DD0" w:rsidR="000851D8" w:rsidRPr="00242CE5" w:rsidRDefault="000851D8" w:rsidP="000851D8">
      <w:pPr>
        <w:pStyle w:val="EndnoteText"/>
        <w:rPr>
          <w:rFonts w:eastAsia="Times New Roman" w:cstheme="minorHAnsi"/>
          <w:color w:val="000000" w:themeColor="text1"/>
          <w:sz w:val="24"/>
          <w:shd w:val="clear" w:color="auto" w:fill="FFFFFF"/>
        </w:rPr>
      </w:pPr>
      <w:r w:rsidRPr="00242CE5">
        <w:rPr>
          <w:rFonts w:eastAsia="Times New Roman" w:cstheme="minorHAnsi"/>
          <w:color w:val="000000" w:themeColor="text1"/>
          <w:sz w:val="24"/>
          <w:shd w:val="clear" w:color="auto" w:fill="FFFFFF"/>
        </w:rPr>
        <w:t>[</w:t>
      </w:r>
      <w:r w:rsidR="00061443" w:rsidRPr="00242CE5">
        <w:rPr>
          <w:rFonts w:eastAsia="Times New Roman" w:cstheme="minorHAnsi"/>
          <w:color w:val="000000" w:themeColor="text1"/>
          <w:sz w:val="24"/>
          <w:shd w:val="clear" w:color="auto" w:fill="FFFFFF"/>
        </w:rPr>
        <w:t>9</w:t>
      </w:r>
      <w:r w:rsidRPr="00242CE5">
        <w:rPr>
          <w:rFonts w:eastAsia="Times New Roman" w:cstheme="minorHAnsi"/>
          <w:color w:val="000000" w:themeColor="text1"/>
          <w:sz w:val="24"/>
          <w:shd w:val="clear" w:color="auto" w:fill="FFFFFF"/>
        </w:rPr>
        <w:t>] Kim HY. Statistical notes for clinical researchers: Chi-squared test and Fisher's exact test. </w:t>
      </w:r>
      <w:r w:rsidRPr="00242CE5">
        <w:rPr>
          <w:rFonts w:eastAsia="Times New Roman" w:cstheme="minorHAnsi"/>
          <w:i/>
          <w:iCs/>
          <w:color w:val="000000" w:themeColor="text1"/>
          <w:sz w:val="24"/>
        </w:rPr>
        <w:t>Restor Dent Endod</w:t>
      </w:r>
      <w:r w:rsidRPr="00242CE5">
        <w:rPr>
          <w:rFonts w:eastAsia="Times New Roman" w:cstheme="minorHAnsi"/>
          <w:color w:val="000000" w:themeColor="text1"/>
          <w:sz w:val="24"/>
          <w:shd w:val="clear" w:color="auto" w:fill="FFFFFF"/>
        </w:rPr>
        <w:t>. 2017;</w:t>
      </w:r>
      <w:r w:rsidRPr="00242CE5">
        <w:rPr>
          <w:rFonts w:eastAsia="Times New Roman" w:cstheme="minorHAnsi"/>
          <w:b/>
          <w:iCs/>
          <w:color w:val="000000" w:themeColor="text1"/>
          <w:sz w:val="24"/>
        </w:rPr>
        <w:t>42</w:t>
      </w:r>
      <w:r w:rsidRPr="00242CE5">
        <w:rPr>
          <w:rFonts w:eastAsia="Times New Roman" w:cstheme="minorHAnsi"/>
          <w:color w:val="000000" w:themeColor="text1"/>
          <w:sz w:val="24"/>
          <w:shd w:val="clear" w:color="auto" w:fill="FFFFFF"/>
        </w:rPr>
        <w:t>(2)</w:t>
      </w:r>
      <w:r w:rsidR="00B411C8" w:rsidRPr="00242CE5">
        <w:rPr>
          <w:rFonts w:eastAsia="Times New Roman" w:cstheme="minorHAnsi"/>
          <w:color w:val="000000" w:themeColor="text1"/>
          <w:sz w:val="24"/>
          <w:shd w:val="clear" w:color="auto" w:fill="FFFFFF"/>
        </w:rPr>
        <w:t>:</w:t>
      </w:r>
      <w:r w:rsidRPr="00242CE5">
        <w:rPr>
          <w:rFonts w:eastAsia="Times New Roman" w:cstheme="minorHAnsi"/>
          <w:color w:val="000000" w:themeColor="text1"/>
          <w:sz w:val="24"/>
          <w:shd w:val="clear" w:color="auto" w:fill="FFFFFF"/>
        </w:rPr>
        <w:t xml:space="preserve">152–155. </w:t>
      </w:r>
    </w:p>
    <w:p w14:paraId="0B6593F0" w14:textId="77777777" w:rsidR="000851D8" w:rsidRPr="00242CE5" w:rsidRDefault="000851D8" w:rsidP="000851D8">
      <w:pPr>
        <w:pStyle w:val="EndnoteText"/>
        <w:rPr>
          <w:color w:val="000000" w:themeColor="text1"/>
          <w:sz w:val="24"/>
        </w:rPr>
      </w:pPr>
    </w:p>
    <w:p w14:paraId="52E922F9" w14:textId="7616D161" w:rsidR="000851D8" w:rsidRPr="00242CE5" w:rsidRDefault="000851D8" w:rsidP="000851D8">
      <w:pPr>
        <w:pStyle w:val="EndnoteText"/>
        <w:rPr>
          <w:rFonts w:eastAsia="Times New Roman" w:cstheme="minorHAnsi"/>
          <w:color w:val="000000" w:themeColor="text1"/>
          <w:sz w:val="24"/>
          <w:shd w:val="clear" w:color="auto" w:fill="FFFFFF"/>
        </w:rPr>
      </w:pPr>
      <w:r w:rsidRPr="00242CE5">
        <w:rPr>
          <w:rFonts w:eastAsia="Times New Roman" w:cstheme="minorHAnsi"/>
          <w:color w:val="000000" w:themeColor="text1"/>
          <w:sz w:val="24"/>
          <w:shd w:val="clear" w:color="auto" w:fill="FFFFFF"/>
        </w:rPr>
        <w:t>[</w:t>
      </w:r>
      <w:r w:rsidR="00061443" w:rsidRPr="00242CE5">
        <w:rPr>
          <w:rFonts w:eastAsia="Times New Roman" w:cstheme="minorHAnsi"/>
          <w:color w:val="000000" w:themeColor="text1"/>
          <w:sz w:val="24"/>
          <w:shd w:val="clear" w:color="auto" w:fill="FFFFFF"/>
        </w:rPr>
        <w:t>10</w:t>
      </w:r>
      <w:r w:rsidRPr="00242CE5">
        <w:rPr>
          <w:rFonts w:eastAsia="Times New Roman" w:cstheme="minorHAnsi"/>
          <w:color w:val="000000" w:themeColor="text1"/>
          <w:sz w:val="24"/>
          <w:shd w:val="clear" w:color="auto" w:fill="FFFFFF"/>
        </w:rPr>
        <w:t>] Jafari M, Ansari-Pour N. Why, When and How to Adjust Your P Values?. </w:t>
      </w:r>
      <w:r w:rsidRPr="00242CE5">
        <w:rPr>
          <w:rFonts w:eastAsia="Times New Roman" w:cstheme="minorHAnsi"/>
          <w:i/>
          <w:iCs/>
          <w:color w:val="000000" w:themeColor="text1"/>
          <w:sz w:val="24"/>
        </w:rPr>
        <w:t>Cell J.</w:t>
      </w:r>
      <w:r w:rsidRPr="00242CE5">
        <w:rPr>
          <w:rFonts w:eastAsia="Times New Roman" w:cstheme="minorHAnsi"/>
          <w:color w:val="000000" w:themeColor="text1"/>
          <w:sz w:val="24"/>
          <w:shd w:val="clear" w:color="auto" w:fill="FFFFFF"/>
        </w:rPr>
        <w:t> 2019;</w:t>
      </w:r>
      <w:r w:rsidRPr="00242CE5">
        <w:rPr>
          <w:rFonts w:eastAsia="Times New Roman" w:cstheme="minorHAnsi"/>
          <w:b/>
          <w:iCs/>
          <w:color w:val="000000" w:themeColor="text1"/>
          <w:sz w:val="24"/>
        </w:rPr>
        <w:t>20</w:t>
      </w:r>
      <w:r w:rsidRPr="00242CE5">
        <w:rPr>
          <w:rFonts w:eastAsia="Times New Roman" w:cstheme="minorHAnsi"/>
          <w:color w:val="000000" w:themeColor="text1"/>
          <w:sz w:val="24"/>
          <w:shd w:val="clear" w:color="auto" w:fill="FFFFFF"/>
        </w:rPr>
        <w:t>(4)</w:t>
      </w:r>
      <w:r w:rsidR="00B411C8" w:rsidRPr="00242CE5">
        <w:rPr>
          <w:rFonts w:eastAsia="Times New Roman" w:cstheme="minorHAnsi"/>
          <w:color w:val="000000" w:themeColor="text1"/>
          <w:sz w:val="24"/>
          <w:shd w:val="clear" w:color="auto" w:fill="FFFFFF"/>
        </w:rPr>
        <w:t>:</w:t>
      </w:r>
      <w:r w:rsidRPr="00242CE5">
        <w:rPr>
          <w:rFonts w:eastAsia="Times New Roman" w:cstheme="minorHAnsi"/>
          <w:color w:val="000000" w:themeColor="text1"/>
          <w:sz w:val="24"/>
          <w:shd w:val="clear" w:color="auto" w:fill="FFFFFF"/>
        </w:rPr>
        <w:t xml:space="preserve">604–607. </w:t>
      </w:r>
    </w:p>
    <w:p w14:paraId="2926720A" w14:textId="77777777" w:rsidR="00484CA9" w:rsidRDefault="00484CA9" w:rsidP="00484CA9">
      <w:pPr>
        <w:pStyle w:val="EndnoteText"/>
        <w:rPr>
          <w:b/>
          <w:color w:val="000000" w:themeColor="text1"/>
          <w:sz w:val="26"/>
          <w:szCs w:val="26"/>
          <w:u w:val="single"/>
        </w:rPr>
      </w:pPr>
    </w:p>
    <w:p w14:paraId="02A50A32" w14:textId="56E1A291" w:rsidR="00405234" w:rsidRPr="00484CA9" w:rsidRDefault="00304A0C" w:rsidP="00484CA9">
      <w:pPr>
        <w:pStyle w:val="EndnoteText"/>
        <w:rPr>
          <w:rFonts w:eastAsia="Times New Roman" w:cstheme="minorHAnsi"/>
          <w:color w:val="000000" w:themeColor="text1"/>
          <w:sz w:val="24"/>
          <w:shd w:val="clear" w:color="auto" w:fill="FFFFFF"/>
        </w:rPr>
      </w:pPr>
      <w:r w:rsidRPr="00242CE5">
        <w:rPr>
          <w:rFonts w:eastAsia="Times New Roman" w:cstheme="minorHAnsi"/>
          <w:color w:val="000000" w:themeColor="text1"/>
          <w:sz w:val="24"/>
          <w:shd w:val="clear" w:color="auto" w:fill="FFFFFF"/>
        </w:rPr>
        <w:t>[11] De Risio L, Bhatti S, Muñana K, et al.</w:t>
      </w:r>
      <w:r w:rsidRPr="00242CE5">
        <w:rPr>
          <w:rFonts w:eastAsia="Times New Roman" w:cstheme="minorHAnsi"/>
          <w:i/>
          <w:color w:val="000000" w:themeColor="text1"/>
          <w:sz w:val="24"/>
          <w:shd w:val="clear" w:color="auto" w:fill="FFFFFF"/>
        </w:rPr>
        <w:t xml:space="preserve"> </w:t>
      </w:r>
      <w:r w:rsidRPr="00242CE5">
        <w:rPr>
          <w:rFonts w:eastAsia="Times New Roman" w:cstheme="minorHAnsi"/>
          <w:color w:val="000000" w:themeColor="text1"/>
          <w:sz w:val="24"/>
          <w:shd w:val="clear" w:color="auto" w:fill="FFFFFF"/>
        </w:rPr>
        <w:t>International veterinary epilepsy task force consensus proposal: diagnostic approach to epilepsy in dogs. </w:t>
      </w:r>
      <w:r w:rsidRPr="00242CE5">
        <w:rPr>
          <w:rFonts w:eastAsia="Times New Roman" w:cstheme="minorHAnsi"/>
          <w:i/>
          <w:iCs/>
          <w:color w:val="000000" w:themeColor="text1"/>
          <w:sz w:val="24"/>
        </w:rPr>
        <w:t>BMC Vet Res</w:t>
      </w:r>
      <w:r w:rsidRPr="00242CE5">
        <w:rPr>
          <w:rFonts w:eastAsia="Times New Roman" w:cstheme="minorHAnsi"/>
          <w:color w:val="000000" w:themeColor="text1"/>
          <w:sz w:val="24"/>
          <w:shd w:val="clear" w:color="auto" w:fill="FFFFFF"/>
        </w:rPr>
        <w:t>. 2015;</w:t>
      </w:r>
      <w:r w:rsidRPr="00242CE5">
        <w:rPr>
          <w:rFonts w:eastAsia="Times New Roman" w:cstheme="minorHAnsi"/>
          <w:b/>
          <w:iCs/>
          <w:color w:val="000000" w:themeColor="text1"/>
          <w:sz w:val="24"/>
        </w:rPr>
        <w:t>11</w:t>
      </w:r>
      <w:r w:rsidR="00E15300" w:rsidRPr="00242CE5">
        <w:rPr>
          <w:rFonts w:eastAsia="Times New Roman" w:cstheme="minorHAnsi"/>
          <w:color w:val="000000" w:themeColor="text1"/>
          <w:sz w:val="24"/>
          <w:shd w:val="clear" w:color="auto" w:fill="FFFFFF"/>
        </w:rPr>
        <w:t>(1):</w:t>
      </w:r>
      <w:r w:rsidRPr="00242CE5">
        <w:rPr>
          <w:rFonts w:eastAsia="Times New Roman" w:cstheme="minorHAnsi"/>
          <w:color w:val="000000" w:themeColor="text1"/>
          <w:sz w:val="24"/>
          <w:shd w:val="clear" w:color="auto" w:fill="FFFFFF"/>
        </w:rPr>
        <w:t xml:space="preserve">148. </w:t>
      </w:r>
      <w:r w:rsidR="00405234" w:rsidRPr="00242CE5">
        <w:rPr>
          <w:color w:val="000000" w:themeColor="text1"/>
        </w:rPr>
        <w:br w:type="page"/>
      </w:r>
    </w:p>
    <w:p w14:paraId="148B16B0" w14:textId="77777777" w:rsidR="006C54CA" w:rsidRPr="00242CE5" w:rsidRDefault="006C54CA" w:rsidP="006C54CA">
      <w:pPr>
        <w:jc w:val="both"/>
        <w:rPr>
          <w:b/>
          <w:color w:val="000000" w:themeColor="text1"/>
        </w:rPr>
      </w:pPr>
      <w:r w:rsidRPr="00242CE5">
        <w:rPr>
          <w:b/>
          <w:color w:val="000000" w:themeColor="text1"/>
        </w:rPr>
        <w:lastRenderedPageBreak/>
        <w:t>TABLES</w:t>
      </w:r>
    </w:p>
    <w:p w14:paraId="48CF398D" w14:textId="5DF465F9" w:rsidR="006C54CA" w:rsidRPr="00242CE5" w:rsidRDefault="006C54CA" w:rsidP="006C54CA">
      <w:pPr>
        <w:jc w:val="both"/>
        <w:rPr>
          <w:color w:val="000000" w:themeColor="text1"/>
        </w:rPr>
      </w:pPr>
      <w:r w:rsidRPr="00242CE5">
        <w:rPr>
          <w:color w:val="000000" w:themeColor="text1"/>
        </w:rPr>
        <w:t>Table 1: Presenting clinical signs for neurological mimics compared with primary neurological cases.</w:t>
      </w:r>
    </w:p>
    <w:tbl>
      <w:tblPr>
        <w:tblStyle w:val="TableGrid"/>
        <w:tblW w:w="0" w:type="auto"/>
        <w:tblLayout w:type="fixed"/>
        <w:tblLook w:val="04A0" w:firstRow="1" w:lastRow="0" w:firstColumn="1" w:lastColumn="0" w:noHBand="0" w:noVBand="1"/>
      </w:tblPr>
      <w:tblGrid>
        <w:gridCol w:w="2547"/>
        <w:gridCol w:w="2283"/>
        <w:gridCol w:w="2111"/>
        <w:gridCol w:w="2126"/>
      </w:tblGrid>
      <w:tr w:rsidR="00242CE5" w:rsidRPr="00242CE5" w14:paraId="26C63E33" w14:textId="77777777" w:rsidTr="005C22A2">
        <w:trPr>
          <w:trHeight w:val="289"/>
        </w:trPr>
        <w:tc>
          <w:tcPr>
            <w:tcW w:w="2547" w:type="dxa"/>
          </w:tcPr>
          <w:p w14:paraId="50DFA45F" w14:textId="77777777" w:rsidR="006C54CA" w:rsidRPr="00242CE5" w:rsidRDefault="006C54CA" w:rsidP="005C22A2">
            <w:pPr>
              <w:jc w:val="both"/>
              <w:rPr>
                <w:b/>
                <w:color w:val="000000" w:themeColor="text1"/>
              </w:rPr>
            </w:pPr>
            <w:r w:rsidRPr="00242CE5">
              <w:rPr>
                <w:b/>
                <w:color w:val="000000" w:themeColor="text1"/>
              </w:rPr>
              <w:t>Clinical sign</w:t>
            </w:r>
          </w:p>
        </w:tc>
        <w:tc>
          <w:tcPr>
            <w:tcW w:w="2283" w:type="dxa"/>
          </w:tcPr>
          <w:p w14:paraId="2EB1BBA9" w14:textId="77777777" w:rsidR="006C54CA" w:rsidRPr="00242CE5" w:rsidRDefault="006C54CA" w:rsidP="005C22A2">
            <w:pPr>
              <w:jc w:val="both"/>
              <w:rPr>
                <w:b/>
                <w:color w:val="000000" w:themeColor="text1"/>
              </w:rPr>
            </w:pPr>
            <w:r w:rsidRPr="00242CE5">
              <w:rPr>
                <w:b/>
                <w:color w:val="000000" w:themeColor="text1"/>
              </w:rPr>
              <w:t>Neurological mimic (n)</w:t>
            </w:r>
          </w:p>
        </w:tc>
        <w:tc>
          <w:tcPr>
            <w:tcW w:w="2111" w:type="dxa"/>
          </w:tcPr>
          <w:p w14:paraId="7379127D" w14:textId="77777777" w:rsidR="006C54CA" w:rsidRPr="00242CE5" w:rsidRDefault="006C54CA" w:rsidP="005C22A2">
            <w:pPr>
              <w:jc w:val="both"/>
              <w:rPr>
                <w:b/>
                <w:color w:val="000000" w:themeColor="text1"/>
              </w:rPr>
            </w:pPr>
            <w:r w:rsidRPr="00242CE5">
              <w:rPr>
                <w:b/>
                <w:color w:val="000000" w:themeColor="text1"/>
              </w:rPr>
              <w:t>Primary neurological (n)</w:t>
            </w:r>
          </w:p>
        </w:tc>
        <w:tc>
          <w:tcPr>
            <w:tcW w:w="2126" w:type="dxa"/>
          </w:tcPr>
          <w:p w14:paraId="06C74C49" w14:textId="77777777" w:rsidR="006C54CA" w:rsidRPr="00242CE5" w:rsidRDefault="006C54CA" w:rsidP="005C22A2">
            <w:pPr>
              <w:jc w:val="both"/>
              <w:rPr>
                <w:b/>
                <w:color w:val="000000" w:themeColor="text1"/>
              </w:rPr>
            </w:pPr>
            <w:r w:rsidRPr="00242CE5">
              <w:rPr>
                <w:b/>
                <w:color w:val="000000" w:themeColor="text1"/>
              </w:rPr>
              <w:t>P-value</w:t>
            </w:r>
          </w:p>
        </w:tc>
      </w:tr>
      <w:tr w:rsidR="00242CE5" w:rsidRPr="00242CE5" w14:paraId="4EA03253" w14:textId="77777777" w:rsidTr="005C22A2">
        <w:tc>
          <w:tcPr>
            <w:tcW w:w="2547" w:type="dxa"/>
          </w:tcPr>
          <w:p w14:paraId="1E4CEE6A" w14:textId="77777777" w:rsidR="006C54CA" w:rsidRPr="00242CE5" w:rsidRDefault="006C54CA" w:rsidP="005C22A2">
            <w:pPr>
              <w:jc w:val="both"/>
              <w:rPr>
                <w:color w:val="000000" w:themeColor="text1"/>
              </w:rPr>
            </w:pPr>
            <w:r w:rsidRPr="00242CE5">
              <w:rPr>
                <w:color w:val="000000" w:themeColor="text1"/>
              </w:rPr>
              <w:t>Abnormal behaviour</w:t>
            </w:r>
          </w:p>
        </w:tc>
        <w:tc>
          <w:tcPr>
            <w:tcW w:w="2283" w:type="dxa"/>
          </w:tcPr>
          <w:p w14:paraId="086321B7"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5E112EB6" w14:textId="77777777" w:rsidR="006C54CA" w:rsidRPr="00242CE5" w:rsidRDefault="006C54CA" w:rsidP="005C22A2">
            <w:pPr>
              <w:jc w:val="both"/>
              <w:rPr>
                <w:rFonts w:cstheme="minorHAnsi"/>
                <w:color w:val="000000" w:themeColor="text1"/>
              </w:rPr>
            </w:pPr>
            <w:r w:rsidRPr="00242CE5">
              <w:rPr>
                <w:rFonts w:cstheme="minorHAnsi"/>
                <w:color w:val="000000" w:themeColor="text1"/>
              </w:rPr>
              <w:t>29</w:t>
            </w:r>
          </w:p>
        </w:tc>
        <w:tc>
          <w:tcPr>
            <w:tcW w:w="2126" w:type="dxa"/>
          </w:tcPr>
          <w:p w14:paraId="5439F606" w14:textId="77777777" w:rsidR="006C54CA" w:rsidRPr="00242CE5" w:rsidRDefault="006C54CA" w:rsidP="005C22A2">
            <w:pPr>
              <w:jc w:val="both"/>
              <w:rPr>
                <w:rFonts w:cstheme="minorHAnsi"/>
                <w:color w:val="000000" w:themeColor="text1"/>
              </w:rPr>
            </w:pPr>
            <w:r w:rsidRPr="00242CE5">
              <w:rPr>
                <w:rFonts w:cstheme="minorHAnsi"/>
                <w:color w:val="000000" w:themeColor="text1"/>
              </w:rPr>
              <w:t>0.756</w:t>
            </w:r>
          </w:p>
        </w:tc>
      </w:tr>
      <w:tr w:rsidR="00242CE5" w:rsidRPr="00242CE5" w14:paraId="0E4A565C" w14:textId="77777777" w:rsidTr="005C22A2">
        <w:tc>
          <w:tcPr>
            <w:tcW w:w="2547" w:type="dxa"/>
          </w:tcPr>
          <w:p w14:paraId="72B77470" w14:textId="77777777" w:rsidR="006C54CA" w:rsidRPr="00242CE5" w:rsidRDefault="006C54CA" w:rsidP="005C22A2">
            <w:pPr>
              <w:jc w:val="both"/>
              <w:rPr>
                <w:color w:val="000000" w:themeColor="text1"/>
              </w:rPr>
            </w:pPr>
            <w:r w:rsidRPr="00242CE5">
              <w:rPr>
                <w:color w:val="000000" w:themeColor="text1"/>
              </w:rPr>
              <w:t>Abnormal gait</w:t>
            </w:r>
          </w:p>
        </w:tc>
        <w:tc>
          <w:tcPr>
            <w:tcW w:w="2283" w:type="dxa"/>
          </w:tcPr>
          <w:p w14:paraId="02FAE82C" w14:textId="77777777" w:rsidR="006C54CA" w:rsidRPr="00242CE5" w:rsidRDefault="006C54CA" w:rsidP="005C22A2">
            <w:pPr>
              <w:jc w:val="both"/>
              <w:rPr>
                <w:rFonts w:cstheme="minorHAnsi"/>
                <w:color w:val="000000" w:themeColor="text1"/>
              </w:rPr>
            </w:pPr>
            <w:r w:rsidRPr="00242CE5">
              <w:rPr>
                <w:rFonts w:cstheme="minorHAnsi"/>
                <w:color w:val="000000" w:themeColor="text1"/>
              </w:rPr>
              <w:t>5</w:t>
            </w:r>
          </w:p>
        </w:tc>
        <w:tc>
          <w:tcPr>
            <w:tcW w:w="2111" w:type="dxa"/>
          </w:tcPr>
          <w:p w14:paraId="6EA9A0A5" w14:textId="77777777" w:rsidR="006C54CA" w:rsidRPr="00242CE5" w:rsidRDefault="006C54CA" w:rsidP="005C22A2">
            <w:pPr>
              <w:jc w:val="both"/>
              <w:rPr>
                <w:rFonts w:cstheme="minorHAnsi"/>
                <w:color w:val="000000" w:themeColor="text1"/>
              </w:rPr>
            </w:pPr>
            <w:r w:rsidRPr="00242CE5">
              <w:rPr>
                <w:rFonts w:cstheme="minorHAnsi"/>
                <w:color w:val="000000" w:themeColor="text1"/>
              </w:rPr>
              <w:t>24</w:t>
            </w:r>
          </w:p>
        </w:tc>
        <w:tc>
          <w:tcPr>
            <w:tcW w:w="2126" w:type="dxa"/>
          </w:tcPr>
          <w:p w14:paraId="7C84D0C7" w14:textId="77777777" w:rsidR="006C54CA" w:rsidRPr="00242CE5" w:rsidRDefault="006C54CA" w:rsidP="005C22A2">
            <w:pPr>
              <w:jc w:val="both"/>
              <w:rPr>
                <w:rFonts w:cstheme="minorHAnsi"/>
                <w:color w:val="000000" w:themeColor="text1"/>
              </w:rPr>
            </w:pPr>
            <w:r w:rsidRPr="00242CE5">
              <w:rPr>
                <w:rFonts w:cstheme="minorHAnsi"/>
                <w:color w:val="000000" w:themeColor="text1"/>
              </w:rPr>
              <w:t>0.188</w:t>
            </w:r>
          </w:p>
        </w:tc>
      </w:tr>
      <w:tr w:rsidR="00242CE5" w:rsidRPr="00242CE5" w14:paraId="1FCAE91B" w14:textId="77777777" w:rsidTr="005C22A2">
        <w:tc>
          <w:tcPr>
            <w:tcW w:w="2547" w:type="dxa"/>
          </w:tcPr>
          <w:p w14:paraId="54DFC8D5" w14:textId="77777777" w:rsidR="006C54CA" w:rsidRPr="00242CE5" w:rsidRDefault="006C54CA" w:rsidP="005C22A2">
            <w:pPr>
              <w:jc w:val="both"/>
              <w:rPr>
                <w:color w:val="000000" w:themeColor="text1"/>
              </w:rPr>
            </w:pPr>
            <w:r w:rsidRPr="00242CE5">
              <w:rPr>
                <w:color w:val="000000" w:themeColor="text1"/>
              </w:rPr>
              <w:t>Abnormal posture</w:t>
            </w:r>
          </w:p>
        </w:tc>
        <w:tc>
          <w:tcPr>
            <w:tcW w:w="2283" w:type="dxa"/>
          </w:tcPr>
          <w:p w14:paraId="2828832C" w14:textId="77777777" w:rsidR="006C54CA" w:rsidRPr="00242CE5" w:rsidRDefault="006C54CA" w:rsidP="005C22A2">
            <w:pPr>
              <w:jc w:val="both"/>
              <w:rPr>
                <w:rFonts w:cstheme="minorHAnsi"/>
                <w:color w:val="000000" w:themeColor="text1"/>
              </w:rPr>
            </w:pPr>
            <w:r w:rsidRPr="00242CE5">
              <w:rPr>
                <w:rFonts w:cstheme="minorHAnsi"/>
                <w:color w:val="000000" w:themeColor="text1"/>
              </w:rPr>
              <w:t>3</w:t>
            </w:r>
          </w:p>
        </w:tc>
        <w:tc>
          <w:tcPr>
            <w:tcW w:w="2111" w:type="dxa"/>
          </w:tcPr>
          <w:p w14:paraId="353D0920" w14:textId="77777777" w:rsidR="006C54CA" w:rsidRPr="00242CE5" w:rsidRDefault="006C54CA" w:rsidP="005C22A2">
            <w:pPr>
              <w:jc w:val="both"/>
              <w:rPr>
                <w:rFonts w:cstheme="minorHAnsi"/>
                <w:color w:val="000000" w:themeColor="text1"/>
              </w:rPr>
            </w:pPr>
            <w:r w:rsidRPr="00242CE5">
              <w:rPr>
                <w:rFonts w:cstheme="minorHAnsi"/>
                <w:color w:val="000000" w:themeColor="text1"/>
              </w:rPr>
              <w:t>8</w:t>
            </w:r>
          </w:p>
        </w:tc>
        <w:tc>
          <w:tcPr>
            <w:tcW w:w="2126" w:type="dxa"/>
          </w:tcPr>
          <w:p w14:paraId="0193D7D0" w14:textId="77777777" w:rsidR="006C54CA" w:rsidRPr="00242CE5" w:rsidRDefault="006C54CA" w:rsidP="005C22A2">
            <w:pPr>
              <w:jc w:val="both"/>
              <w:rPr>
                <w:rFonts w:cstheme="minorHAnsi"/>
                <w:color w:val="000000" w:themeColor="text1"/>
              </w:rPr>
            </w:pPr>
            <w:r w:rsidRPr="00242CE5">
              <w:rPr>
                <w:rFonts w:cstheme="minorHAnsi"/>
                <w:color w:val="000000" w:themeColor="text1"/>
              </w:rPr>
              <w:t>0.083</w:t>
            </w:r>
          </w:p>
        </w:tc>
      </w:tr>
      <w:tr w:rsidR="00242CE5" w:rsidRPr="00242CE5" w14:paraId="5FCF037A" w14:textId="77777777" w:rsidTr="005C22A2">
        <w:tc>
          <w:tcPr>
            <w:tcW w:w="2547" w:type="dxa"/>
          </w:tcPr>
          <w:p w14:paraId="465D8089" w14:textId="77777777" w:rsidR="006C54CA" w:rsidRPr="00242CE5" w:rsidRDefault="006C54CA" w:rsidP="005C22A2">
            <w:pPr>
              <w:jc w:val="both"/>
              <w:rPr>
                <w:color w:val="000000" w:themeColor="text1"/>
              </w:rPr>
            </w:pPr>
            <w:r w:rsidRPr="00242CE5">
              <w:rPr>
                <w:color w:val="000000" w:themeColor="text1"/>
              </w:rPr>
              <w:t>Ataxia*</w:t>
            </w:r>
          </w:p>
        </w:tc>
        <w:tc>
          <w:tcPr>
            <w:tcW w:w="2283" w:type="dxa"/>
          </w:tcPr>
          <w:p w14:paraId="0C18D0F1"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1</w:t>
            </w:r>
          </w:p>
        </w:tc>
        <w:tc>
          <w:tcPr>
            <w:tcW w:w="2111" w:type="dxa"/>
          </w:tcPr>
          <w:p w14:paraId="2F145C28"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89</w:t>
            </w:r>
          </w:p>
        </w:tc>
        <w:tc>
          <w:tcPr>
            <w:tcW w:w="2126" w:type="dxa"/>
          </w:tcPr>
          <w:p w14:paraId="3B20439F"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0.009</w:t>
            </w:r>
          </w:p>
        </w:tc>
      </w:tr>
      <w:tr w:rsidR="00242CE5" w:rsidRPr="00242CE5" w14:paraId="141263FB" w14:textId="77777777" w:rsidTr="005C22A2">
        <w:tc>
          <w:tcPr>
            <w:tcW w:w="2547" w:type="dxa"/>
          </w:tcPr>
          <w:p w14:paraId="23C53B8F" w14:textId="77777777" w:rsidR="006C54CA" w:rsidRPr="00242CE5" w:rsidRDefault="006C54CA" w:rsidP="005C22A2">
            <w:pPr>
              <w:jc w:val="both"/>
              <w:rPr>
                <w:color w:val="000000" w:themeColor="text1"/>
              </w:rPr>
            </w:pPr>
            <w:r w:rsidRPr="00242CE5">
              <w:rPr>
                <w:color w:val="000000" w:themeColor="text1"/>
              </w:rPr>
              <w:t>Cranial nerve deficits</w:t>
            </w:r>
          </w:p>
        </w:tc>
        <w:tc>
          <w:tcPr>
            <w:tcW w:w="2283" w:type="dxa"/>
          </w:tcPr>
          <w:p w14:paraId="608AA76D"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4245EF91" w14:textId="77777777" w:rsidR="006C54CA" w:rsidRPr="00242CE5" w:rsidRDefault="006C54CA" w:rsidP="005C22A2">
            <w:pPr>
              <w:jc w:val="both"/>
              <w:rPr>
                <w:rFonts w:cstheme="minorHAnsi"/>
                <w:color w:val="000000" w:themeColor="text1"/>
              </w:rPr>
            </w:pPr>
            <w:r w:rsidRPr="00242CE5">
              <w:rPr>
                <w:rFonts w:cstheme="minorHAnsi"/>
                <w:color w:val="000000" w:themeColor="text1"/>
              </w:rPr>
              <w:t>8</w:t>
            </w:r>
          </w:p>
        </w:tc>
        <w:tc>
          <w:tcPr>
            <w:tcW w:w="2126" w:type="dxa"/>
          </w:tcPr>
          <w:p w14:paraId="100467E5" w14:textId="77777777" w:rsidR="006C54CA" w:rsidRPr="00242CE5" w:rsidRDefault="006C54CA" w:rsidP="005C22A2">
            <w:pPr>
              <w:jc w:val="both"/>
              <w:rPr>
                <w:rFonts w:cstheme="minorHAnsi"/>
                <w:color w:val="000000" w:themeColor="text1"/>
              </w:rPr>
            </w:pPr>
            <w:r w:rsidRPr="00242CE5">
              <w:rPr>
                <w:rFonts w:cstheme="minorHAnsi"/>
                <w:color w:val="000000" w:themeColor="text1"/>
              </w:rPr>
              <w:t>1.000</w:t>
            </w:r>
          </w:p>
        </w:tc>
      </w:tr>
      <w:tr w:rsidR="00242CE5" w:rsidRPr="00242CE5" w14:paraId="2F5824E9" w14:textId="77777777" w:rsidTr="005C22A2">
        <w:tc>
          <w:tcPr>
            <w:tcW w:w="2547" w:type="dxa"/>
          </w:tcPr>
          <w:p w14:paraId="209258F8" w14:textId="77777777" w:rsidR="006C54CA" w:rsidRPr="00242CE5" w:rsidRDefault="006C54CA" w:rsidP="005C22A2">
            <w:pPr>
              <w:jc w:val="both"/>
              <w:rPr>
                <w:color w:val="000000" w:themeColor="text1"/>
              </w:rPr>
            </w:pPr>
            <w:r w:rsidRPr="00242CE5">
              <w:rPr>
                <w:color w:val="000000" w:themeColor="text1"/>
              </w:rPr>
              <w:t>General signs</w:t>
            </w:r>
          </w:p>
        </w:tc>
        <w:tc>
          <w:tcPr>
            <w:tcW w:w="2283" w:type="dxa"/>
          </w:tcPr>
          <w:p w14:paraId="296BF232" w14:textId="77777777" w:rsidR="006C54CA" w:rsidRPr="00242CE5" w:rsidRDefault="006C54CA" w:rsidP="005C22A2">
            <w:pPr>
              <w:jc w:val="both"/>
              <w:rPr>
                <w:rFonts w:cstheme="minorHAnsi"/>
                <w:color w:val="000000" w:themeColor="text1"/>
              </w:rPr>
            </w:pPr>
            <w:r w:rsidRPr="00242CE5">
              <w:rPr>
                <w:rFonts w:cstheme="minorHAnsi"/>
                <w:color w:val="000000" w:themeColor="text1"/>
              </w:rPr>
              <w:t>9</w:t>
            </w:r>
          </w:p>
        </w:tc>
        <w:tc>
          <w:tcPr>
            <w:tcW w:w="2111" w:type="dxa"/>
          </w:tcPr>
          <w:p w14:paraId="2D37224F" w14:textId="77777777" w:rsidR="006C54CA" w:rsidRPr="00242CE5" w:rsidRDefault="006C54CA" w:rsidP="005C22A2">
            <w:pPr>
              <w:jc w:val="both"/>
              <w:rPr>
                <w:rFonts w:cstheme="minorHAnsi"/>
                <w:color w:val="000000" w:themeColor="text1"/>
              </w:rPr>
            </w:pPr>
            <w:r w:rsidRPr="00242CE5">
              <w:rPr>
                <w:rFonts w:cstheme="minorHAnsi"/>
                <w:color w:val="000000" w:themeColor="text1"/>
              </w:rPr>
              <w:t>36</w:t>
            </w:r>
          </w:p>
        </w:tc>
        <w:tc>
          <w:tcPr>
            <w:tcW w:w="2126" w:type="dxa"/>
          </w:tcPr>
          <w:p w14:paraId="372C08BE" w14:textId="77777777" w:rsidR="006C54CA" w:rsidRPr="00242CE5" w:rsidRDefault="006C54CA" w:rsidP="005C22A2">
            <w:pPr>
              <w:jc w:val="both"/>
              <w:rPr>
                <w:rFonts w:cstheme="minorHAnsi"/>
                <w:color w:val="000000" w:themeColor="text1"/>
              </w:rPr>
            </w:pPr>
            <w:r w:rsidRPr="00242CE5">
              <w:rPr>
                <w:rFonts w:cstheme="minorHAnsi"/>
                <w:color w:val="000000" w:themeColor="text1"/>
              </w:rPr>
              <w:t>0.029</w:t>
            </w:r>
          </w:p>
        </w:tc>
      </w:tr>
      <w:tr w:rsidR="00242CE5" w:rsidRPr="00242CE5" w14:paraId="3F702C04" w14:textId="77777777" w:rsidTr="005C22A2">
        <w:tc>
          <w:tcPr>
            <w:tcW w:w="2547" w:type="dxa"/>
          </w:tcPr>
          <w:p w14:paraId="638CC7D9" w14:textId="77777777" w:rsidR="006C54CA" w:rsidRPr="00242CE5" w:rsidRDefault="006C54CA" w:rsidP="005C22A2">
            <w:pPr>
              <w:jc w:val="both"/>
              <w:rPr>
                <w:color w:val="000000" w:themeColor="text1"/>
              </w:rPr>
            </w:pPr>
            <w:r w:rsidRPr="00242CE5">
              <w:rPr>
                <w:color w:val="000000" w:themeColor="text1"/>
              </w:rPr>
              <w:t>Incontinence</w:t>
            </w:r>
          </w:p>
        </w:tc>
        <w:tc>
          <w:tcPr>
            <w:tcW w:w="2283" w:type="dxa"/>
          </w:tcPr>
          <w:p w14:paraId="2ADBBB6E"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4AB23E81" w14:textId="77777777" w:rsidR="006C54CA" w:rsidRPr="00242CE5" w:rsidRDefault="006C54CA" w:rsidP="005C22A2">
            <w:pPr>
              <w:jc w:val="both"/>
              <w:rPr>
                <w:rFonts w:cstheme="minorHAnsi"/>
                <w:color w:val="000000" w:themeColor="text1"/>
              </w:rPr>
            </w:pPr>
            <w:r w:rsidRPr="00242CE5">
              <w:rPr>
                <w:rFonts w:cstheme="minorHAnsi"/>
                <w:color w:val="000000" w:themeColor="text1"/>
              </w:rPr>
              <w:t>6</w:t>
            </w:r>
          </w:p>
        </w:tc>
        <w:tc>
          <w:tcPr>
            <w:tcW w:w="2126" w:type="dxa"/>
          </w:tcPr>
          <w:p w14:paraId="3314C902" w14:textId="77777777" w:rsidR="006C54CA" w:rsidRPr="00242CE5" w:rsidRDefault="006C54CA" w:rsidP="005C22A2">
            <w:pPr>
              <w:jc w:val="both"/>
              <w:rPr>
                <w:rFonts w:cstheme="minorHAnsi"/>
                <w:color w:val="000000" w:themeColor="text1"/>
              </w:rPr>
            </w:pPr>
            <w:r w:rsidRPr="00242CE5">
              <w:rPr>
                <w:rFonts w:cstheme="minorHAnsi"/>
                <w:color w:val="000000" w:themeColor="text1"/>
              </w:rPr>
              <w:t>1.000</w:t>
            </w:r>
          </w:p>
        </w:tc>
      </w:tr>
      <w:tr w:rsidR="00242CE5" w:rsidRPr="00242CE5" w14:paraId="182657C2" w14:textId="77777777" w:rsidTr="005C22A2">
        <w:tc>
          <w:tcPr>
            <w:tcW w:w="2547" w:type="dxa"/>
          </w:tcPr>
          <w:p w14:paraId="4D556A92" w14:textId="77777777" w:rsidR="006C54CA" w:rsidRPr="00242CE5" w:rsidRDefault="006C54CA" w:rsidP="005C22A2">
            <w:pPr>
              <w:jc w:val="both"/>
              <w:rPr>
                <w:color w:val="000000" w:themeColor="text1"/>
              </w:rPr>
            </w:pPr>
            <w:r w:rsidRPr="00242CE5">
              <w:rPr>
                <w:color w:val="000000" w:themeColor="text1"/>
              </w:rPr>
              <w:t>Involuntary movement</w:t>
            </w:r>
          </w:p>
        </w:tc>
        <w:tc>
          <w:tcPr>
            <w:tcW w:w="2283" w:type="dxa"/>
          </w:tcPr>
          <w:p w14:paraId="60E64A10" w14:textId="77777777" w:rsidR="006C54CA" w:rsidRPr="00242CE5" w:rsidRDefault="006C54CA" w:rsidP="005C22A2">
            <w:pPr>
              <w:jc w:val="both"/>
              <w:rPr>
                <w:rFonts w:cstheme="minorHAnsi"/>
                <w:color w:val="000000" w:themeColor="text1"/>
              </w:rPr>
            </w:pPr>
            <w:r w:rsidRPr="00242CE5">
              <w:rPr>
                <w:rFonts w:cstheme="minorHAnsi"/>
                <w:color w:val="000000" w:themeColor="text1"/>
              </w:rPr>
              <w:t>2</w:t>
            </w:r>
          </w:p>
        </w:tc>
        <w:tc>
          <w:tcPr>
            <w:tcW w:w="2111" w:type="dxa"/>
          </w:tcPr>
          <w:p w14:paraId="7DB43EA5" w14:textId="77777777" w:rsidR="006C54CA" w:rsidRPr="00242CE5" w:rsidRDefault="006C54CA" w:rsidP="005C22A2">
            <w:pPr>
              <w:jc w:val="both"/>
              <w:rPr>
                <w:rFonts w:cstheme="minorHAnsi"/>
                <w:color w:val="000000" w:themeColor="text1"/>
              </w:rPr>
            </w:pPr>
            <w:r w:rsidRPr="00242CE5">
              <w:rPr>
                <w:rFonts w:cstheme="minorHAnsi"/>
                <w:color w:val="000000" w:themeColor="text1"/>
              </w:rPr>
              <w:t>12</w:t>
            </w:r>
          </w:p>
        </w:tc>
        <w:tc>
          <w:tcPr>
            <w:tcW w:w="2126" w:type="dxa"/>
          </w:tcPr>
          <w:p w14:paraId="06D4434B" w14:textId="77777777" w:rsidR="006C54CA" w:rsidRPr="00242CE5" w:rsidRDefault="006C54CA" w:rsidP="005C22A2">
            <w:pPr>
              <w:jc w:val="both"/>
              <w:rPr>
                <w:rFonts w:cstheme="minorHAnsi"/>
                <w:color w:val="000000" w:themeColor="text1"/>
              </w:rPr>
            </w:pPr>
            <w:r w:rsidRPr="00242CE5">
              <w:rPr>
                <w:rFonts w:cstheme="minorHAnsi"/>
                <w:color w:val="000000" w:themeColor="text1"/>
              </w:rPr>
              <w:t>0.650</w:t>
            </w:r>
          </w:p>
        </w:tc>
      </w:tr>
      <w:tr w:rsidR="00242CE5" w:rsidRPr="00242CE5" w14:paraId="13B22541" w14:textId="77777777" w:rsidTr="005C22A2">
        <w:tc>
          <w:tcPr>
            <w:tcW w:w="2547" w:type="dxa"/>
          </w:tcPr>
          <w:p w14:paraId="12017A35" w14:textId="77777777" w:rsidR="006C54CA" w:rsidRPr="00242CE5" w:rsidRDefault="006C54CA" w:rsidP="005C22A2">
            <w:pPr>
              <w:jc w:val="both"/>
              <w:rPr>
                <w:b/>
                <w:color w:val="000000" w:themeColor="text1"/>
              </w:rPr>
            </w:pPr>
            <w:r w:rsidRPr="00242CE5">
              <w:rPr>
                <w:b/>
                <w:color w:val="000000" w:themeColor="text1"/>
              </w:rPr>
              <w:t>Lameness</w:t>
            </w:r>
          </w:p>
        </w:tc>
        <w:tc>
          <w:tcPr>
            <w:tcW w:w="2283" w:type="dxa"/>
          </w:tcPr>
          <w:p w14:paraId="5DB9F6BA" w14:textId="77777777" w:rsidR="006C54CA" w:rsidRPr="00242CE5" w:rsidRDefault="006C54CA" w:rsidP="005C22A2">
            <w:pPr>
              <w:jc w:val="both"/>
              <w:rPr>
                <w:rFonts w:cstheme="minorHAnsi"/>
                <w:b/>
                <w:color w:val="000000" w:themeColor="text1"/>
              </w:rPr>
            </w:pPr>
            <w:r w:rsidRPr="00242CE5">
              <w:rPr>
                <w:rFonts w:cstheme="minorHAnsi"/>
                <w:b/>
                <w:color w:val="000000" w:themeColor="text1"/>
              </w:rPr>
              <w:t>18</w:t>
            </w:r>
          </w:p>
        </w:tc>
        <w:tc>
          <w:tcPr>
            <w:tcW w:w="2111" w:type="dxa"/>
          </w:tcPr>
          <w:p w14:paraId="423B359B" w14:textId="77777777" w:rsidR="006C54CA" w:rsidRPr="00242CE5" w:rsidRDefault="006C54CA" w:rsidP="005C22A2">
            <w:pPr>
              <w:jc w:val="both"/>
              <w:rPr>
                <w:rFonts w:cstheme="minorHAnsi"/>
                <w:b/>
                <w:color w:val="000000" w:themeColor="text1"/>
              </w:rPr>
            </w:pPr>
            <w:r w:rsidRPr="00242CE5">
              <w:rPr>
                <w:rFonts w:cstheme="minorHAnsi"/>
                <w:b/>
                <w:color w:val="000000" w:themeColor="text1"/>
              </w:rPr>
              <w:t>34</w:t>
            </w:r>
          </w:p>
        </w:tc>
        <w:tc>
          <w:tcPr>
            <w:tcW w:w="2126" w:type="dxa"/>
          </w:tcPr>
          <w:p w14:paraId="748454B2" w14:textId="77777777" w:rsidR="006C54CA" w:rsidRPr="00242CE5" w:rsidRDefault="006C54CA" w:rsidP="005C22A2">
            <w:pPr>
              <w:jc w:val="both"/>
              <w:rPr>
                <w:rFonts w:cstheme="minorHAnsi"/>
                <w:b/>
                <w:color w:val="000000" w:themeColor="text1"/>
              </w:rPr>
            </w:pPr>
            <w:r w:rsidRPr="00242CE5">
              <w:rPr>
                <w:rFonts w:cstheme="minorHAnsi"/>
                <w:b/>
                <w:color w:val="000000" w:themeColor="text1"/>
              </w:rPr>
              <w:t>&lt;0.001</w:t>
            </w:r>
          </w:p>
        </w:tc>
      </w:tr>
      <w:tr w:rsidR="00242CE5" w:rsidRPr="00242CE5" w14:paraId="342FB808" w14:textId="77777777" w:rsidTr="005C22A2">
        <w:tc>
          <w:tcPr>
            <w:tcW w:w="2547" w:type="dxa"/>
          </w:tcPr>
          <w:p w14:paraId="344BFA5E" w14:textId="77777777" w:rsidR="006C54CA" w:rsidRPr="00242CE5" w:rsidRDefault="006C54CA" w:rsidP="005C22A2">
            <w:pPr>
              <w:jc w:val="both"/>
              <w:rPr>
                <w:color w:val="000000" w:themeColor="text1"/>
              </w:rPr>
            </w:pPr>
            <w:r w:rsidRPr="00242CE5">
              <w:rPr>
                <w:color w:val="000000" w:themeColor="text1"/>
              </w:rPr>
              <w:t>Miscellaneous</w:t>
            </w:r>
          </w:p>
        </w:tc>
        <w:tc>
          <w:tcPr>
            <w:tcW w:w="2283" w:type="dxa"/>
          </w:tcPr>
          <w:p w14:paraId="61D0B420"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1E9B1082" w14:textId="77777777" w:rsidR="006C54CA" w:rsidRPr="00242CE5" w:rsidRDefault="006C54CA" w:rsidP="005C22A2">
            <w:pPr>
              <w:jc w:val="both"/>
              <w:rPr>
                <w:rFonts w:cstheme="minorHAnsi"/>
                <w:color w:val="000000" w:themeColor="text1"/>
              </w:rPr>
            </w:pPr>
            <w:r w:rsidRPr="00242CE5">
              <w:rPr>
                <w:rFonts w:cstheme="minorHAnsi"/>
                <w:color w:val="000000" w:themeColor="text1"/>
              </w:rPr>
              <w:t>8</w:t>
            </w:r>
          </w:p>
        </w:tc>
        <w:tc>
          <w:tcPr>
            <w:tcW w:w="2126" w:type="dxa"/>
          </w:tcPr>
          <w:p w14:paraId="3DD51FBF" w14:textId="77777777" w:rsidR="006C54CA" w:rsidRPr="00242CE5" w:rsidRDefault="006C54CA" w:rsidP="005C22A2">
            <w:pPr>
              <w:jc w:val="both"/>
              <w:rPr>
                <w:rFonts w:cstheme="minorHAnsi"/>
                <w:color w:val="000000" w:themeColor="text1"/>
              </w:rPr>
            </w:pPr>
            <w:r w:rsidRPr="00242CE5">
              <w:rPr>
                <w:rFonts w:cstheme="minorHAnsi"/>
                <w:color w:val="000000" w:themeColor="text1"/>
              </w:rPr>
              <w:t>1.000</w:t>
            </w:r>
          </w:p>
        </w:tc>
      </w:tr>
      <w:tr w:rsidR="00242CE5" w:rsidRPr="00242CE5" w14:paraId="0ED52BF1" w14:textId="77777777" w:rsidTr="005C22A2">
        <w:tc>
          <w:tcPr>
            <w:tcW w:w="2547" w:type="dxa"/>
          </w:tcPr>
          <w:p w14:paraId="25B3D5FD" w14:textId="77777777" w:rsidR="006C54CA" w:rsidRPr="00242CE5" w:rsidRDefault="006C54CA" w:rsidP="005C22A2">
            <w:pPr>
              <w:jc w:val="both"/>
              <w:rPr>
                <w:color w:val="000000" w:themeColor="text1"/>
              </w:rPr>
            </w:pPr>
            <w:r w:rsidRPr="00242CE5">
              <w:rPr>
                <w:color w:val="000000" w:themeColor="text1"/>
              </w:rPr>
              <w:t>Muscle atrophy</w:t>
            </w:r>
          </w:p>
        </w:tc>
        <w:tc>
          <w:tcPr>
            <w:tcW w:w="2283" w:type="dxa"/>
          </w:tcPr>
          <w:p w14:paraId="7F24FE88" w14:textId="77777777" w:rsidR="006C54CA" w:rsidRPr="00242CE5" w:rsidRDefault="006C54CA" w:rsidP="005C22A2">
            <w:pPr>
              <w:jc w:val="both"/>
              <w:rPr>
                <w:rFonts w:cstheme="minorHAnsi"/>
                <w:color w:val="000000" w:themeColor="text1"/>
              </w:rPr>
            </w:pPr>
            <w:r w:rsidRPr="00242CE5">
              <w:rPr>
                <w:rFonts w:cstheme="minorHAnsi"/>
                <w:color w:val="000000" w:themeColor="text1"/>
              </w:rPr>
              <w:t>1</w:t>
            </w:r>
          </w:p>
        </w:tc>
        <w:tc>
          <w:tcPr>
            <w:tcW w:w="2111" w:type="dxa"/>
          </w:tcPr>
          <w:p w14:paraId="4945AD61" w14:textId="77777777" w:rsidR="006C54CA" w:rsidRPr="00242CE5" w:rsidRDefault="006C54CA" w:rsidP="005C22A2">
            <w:pPr>
              <w:jc w:val="both"/>
              <w:rPr>
                <w:rFonts w:cstheme="minorHAnsi"/>
                <w:color w:val="000000" w:themeColor="text1"/>
              </w:rPr>
            </w:pPr>
            <w:r w:rsidRPr="00242CE5">
              <w:rPr>
                <w:rFonts w:cstheme="minorHAnsi"/>
                <w:color w:val="000000" w:themeColor="text1"/>
              </w:rPr>
              <w:t>6</w:t>
            </w:r>
          </w:p>
        </w:tc>
        <w:tc>
          <w:tcPr>
            <w:tcW w:w="2126" w:type="dxa"/>
          </w:tcPr>
          <w:p w14:paraId="11193364" w14:textId="77777777" w:rsidR="006C54CA" w:rsidRPr="00242CE5" w:rsidRDefault="006C54CA" w:rsidP="005C22A2">
            <w:pPr>
              <w:jc w:val="both"/>
              <w:rPr>
                <w:rFonts w:cstheme="minorHAnsi"/>
                <w:color w:val="000000" w:themeColor="text1"/>
              </w:rPr>
            </w:pPr>
            <w:r w:rsidRPr="00242CE5">
              <w:rPr>
                <w:rFonts w:cstheme="minorHAnsi"/>
                <w:color w:val="000000" w:themeColor="text1"/>
              </w:rPr>
              <w:t>0.517</w:t>
            </w:r>
          </w:p>
        </w:tc>
      </w:tr>
      <w:tr w:rsidR="00242CE5" w:rsidRPr="00242CE5" w14:paraId="39171448" w14:textId="77777777" w:rsidTr="005C22A2">
        <w:tc>
          <w:tcPr>
            <w:tcW w:w="2547" w:type="dxa"/>
          </w:tcPr>
          <w:p w14:paraId="23038143" w14:textId="77777777" w:rsidR="006C54CA" w:rsidRPr="00242CE5" w:rsidRDefault="006C54CA" w:rsidP="005C22A2">
            <w:pPr>
              <w:jc w:val="both"/>
              <w:rPr>
                <w:color w:val="000000" w:themeColor="text1"/>
              </w:rPr>
            </w:pPr>
            <w:r w:rsidRPr="00242CE5">
              <w:rPr>
                <w:color w:val="000000" w:themeColor="text1"/>
              </w:rPr>
              <w:t>Ophthalmological signs</w:t>
            </w:r>
          </w:p>
        </w:tc>
        <w:tc>
          <w:tcPr>
            <w:tcW w:w="2283" w:type="dxa"/>
          </w:tcPr>
          <w:p w14:paraId="5882B078" w14:textId="77777777" w:rsidR="006C54CA" w:rsidRPr="00242CE5" w:rsidRDefault="006C54CA" w:rsidP="005C22A2">
            <w:pPr>
              <w:jc w:val="both"/>
              <w:rPr>
                <w:rFonts w:cstheme="minorHAnsi"/>
                <w:color w:val="000000" w:themeColor="text1"/>
              </w:rPr>
            </w:pPr>
            <w:r w:rsidRPr="00242CE5">
              <w:rPr>
                <w:rFonts w:cstheme="minorHAnsi"/>
                <w:color w:val="000000" w:themeColor="text1"/>
              </w:rPr>
              <w:t>2</w:t>
            </w:r>
          </w:p>
        </w:tc>
        <w:tc>
          <w:tcPr>
            <w:tcW w:w="2111" w:type="dxa"/>
          </w:tcPr>
          <w:p w14:paraId="28B8D039" w14:textId="77777777" w:rsidR="006C54CA" w:rsidRPr="00242CE5" w:rsidRDefault="006C54CA" w:rsidP="005C22A2">
            <w:pPr>
              <w:jc w:val="both"/>
              <w:rPr>
                <w:rFonts w:cstheme="minorHAnsi"/>
                <w:color w:val="000000" w:themeColor="text1"/>
              </w:rPr>
            </w:pPr>
            <w:r w:rsidRPr="00242CE5">
              <w:rPr>
                <w:rFonts w:cstheme="minorHAnsi"/>
                <w:color w:val="000000" w:themeColor="text1"/>
              </w:rPr>
              <w:t>1</w:t>
            </w:r>
          </w:p>
        </w:tc>
        <w:tc>
          <w:tcPr>
            <w:tcW w:w="2126" w:type="dxa"/>
          </w:tcPr>
          <w:p w14:paraId="5518F25F" w14:textId="77777777" w:rsidR="006C54CA" w:rsidRPr="00242CE5" w:rsidRDefault="006C54CA" w:rsidP="005C22A2">
            <w:pPr>
              <w:jc w:val="both"/>
              <w:rPr>
                <w:rFonts w:cstheme="minorHAnsi"/>
                <w:color w:val="000000" w:themeColor="text1"/>
              </w:rPr>
            </w:pPr>
            <w:r w:rsidRPr="00242CE5">
              <w:rPr>
                <w:rFonts w:cstheme="minorHAnsi"/>
                <w:color w:val="000000" w:themeColor="text1"/>
              </w:rPr>
              <w:t>0.027</w:t>
            </w:r>
          </w:p>
        </w:tc>
      </w:tr>
      <w:tr w:rsidR="00242CE5" w:rsidRPr="00242CE5" w14:paraId="6D56E570" w14:textId="77777777" w:rsidTr="005C22A2">
        <w:tc>
          <w:tcPr>
            <w:tcW w:w="2547" w:type="dxa"/>
          </w:tcPr>
          <w:p w14:paraId="4571EBF7" w14:textId="77777777" w:rsidR="006C54CA" w:rsidRPr="00242CE5" w:rsidRDefault="006C54CA" w:rsidP="005C22A2">
            <w:pPr>
              <w:jc w:val="both"/>
              <w:rPr>
                <w:color w:val="000000" w:themeColor="text1"/>
              </w:rPr>
            </w:pPr>
            <w:r w:rsidRPr="00242CE5">
              <w:rPr>
                <w:color w:val="000000" w:themeColor="text1"/>
              </w:rPr>
              <w:lastRenderedPageBreak/>
              <w:t>Pain*</w:t>
            </w:r>
          </w:p>
        </w:tc>
        <w:tc>
          <w:tcPr>
            <w:tcW w:w="2283" w:type="dxa"/>
          </w:tcPr>
          <w:p w14:paraId="3E764C74"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8</w:t>
            </w:r>
          </w:p>
        </w:tc>
        <w:tc>
          <w:tcPr>
            <w:tcW w:w="2111" w:type="dxa"/>
          </w:tcPr>
          <w:p w14:paraId="5B5FE34B"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98</w:t>
            </w:r>
          </w:p>
        </w:tc>
        <w:tc>
          <w:tcPr>
            <w:tcW w:w="2126" w:type="dxa"/>
          </w:tcPr>
          <w:p w14:paraId="089F9655"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0.584</w:t>
            </w:r>
          </w:p>
        </w:tc>
      </w:tr>
      <w:tr w:rsidR="00242CE5" w:rsidRPr="00242CE5" w14:paraId="667EA996" w14:textId="77777777" w:rsidTr="005C22A2">
        <w:tc>
          <w:tcPr>
            <w:tcW w:w="2547" w:type="dxa"/>
          </w:tcPr>
          <w:p w14:paraId="39ACDA1F" w14:textId="77777777" w:rsidR="006C54CA" w:rsidRPr="00242CE5" w:rsidRDefault="006C54CA" w:rsidP="005C22A2">
            <w:pPr>
              <w:jc w:val="both"/>
              <w:rPr>
                <w:color w:val="000000" w:themeColor="text1"/>
              </w:rPr>
            </w:pPr>
            <w:r w:rsidRPr="00242CE5">
              <w:rPr>
                <w:color w:val="000000" w:themeColor="text1"/>
              </w:rPr>
              <w:t>Paresis*</w:t>
            </w:r>
          </w:p>
        </w:tc>
        <w:tc>
          <w:tcPr>
            <w:tcW w:w="2283" w:type="dxa"/>
          </w:tcPr>
          <w:p w14:paraId="3738A869"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2</w:t>
            </w:r>
          </w:p>
        </w:tc>
        <w:tc>
          <w:tcPr>
            <w:tcW w:w="2111" w:type="dxa"/>
          </w:tcPr>
          <w:p w14:paraId="13A1931F"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79</w:t>
            </w:r>
          </w:p>
        </w:tc>
        <w:tc>
          <w:tcPr>
            <w:tcW w:w="2126" w:type="dxa"/>
          </w:tcPr>
          <w:p w14:paraId="3895D0F9"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0.038</w:t>
            </w:r>
          </w:p>
        </w:tc>
      </w:tr>
      <w:tr w:rsidR="00242CE5" w:rsidRPr="00242CE5" w14:paraId="2C11F53B" w14:textId="77777777" w:rsidTr="005C22A2">
        <w:tc>
          <w:tcPr>
            <w:tcW w:w="2547" w:type="dxa"/>
          </w:tcPr>
          <w:p w14:paraId="243CC41F" w14:textId="77777777" w:rsidR="006C54CA" w:rsidRPr="00242CE5" w:rsidRDefault="006C54CA" w:rsidP="005C22A2">
            <w:pPr>
              <w:jc w:val="both"/>
              <w:rPr>
                <w:color w:val="000000" w:themeColor="text1"/>
              </w:rPr>
            </w:pPr>
            <w:r w:rsidRPr="00242CE5">
              <w:rPr>
                <w:color w:val="000000" w:themeColor="text1"/>
              </w:rPr>
              <w:t>Plegia</w:t>
            </w:r>
          </w:p>
        </w:tc>
        <w:tc>
          <w:tcPr>
            <w:tcW w:w="2283" w:type="dxa"/>
          </w:tcPr>
          <w:p w14:paraId="4A3CB0ED"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155C61DF" w14:textId="77777777" w:rsidR="006C54CA" w:rsidRPr="00242CE5" w:rsidRDefault="006C54CA" w:rsidP="005C22A2">
            <w:pPr>
              <w:jc w:val="both"/>
              <w:rPr>
                <w:rFonts w:cstheme="minorHAnsi"/>
                <w:color w:val="000000" w:themeColor="text1"/>
              </w:rPr>
            </w:pPr>
            <w:r w:rsidRPr="00242CE5">
              <w:rPr>
                <w:rFonts w:cstheme="minorHAnsi"/>
                <w:color w:val="000000" w:themeColor="text1"/>
              </w:rPr>
              <w:t>15</w:t>
            </w:r>
          </w:p>
        </w:tc>
        <w:tc>
          <w:tcPr>
            <w:tcW w:w="2126" w:type="dxa"/>
          </w:tcPr>
          <w:p w14:paraId="14235F76" w14:textId="77777777" w:rsidR="006C54CA" w:rsidRPr="00242CE5" w:rsidRDefault="006C54CA" w:rsidP="005C22A2">
            <w:pPr>
              <w:jc w:val="both"/>
              <w:rPr>
                <w:rFonts w:cstheme="minorHAnsi"/>
                <w:color w:val="000000" w:themeColor="text1"/>
              </w:rPr>
            </w:pPr>
            <w:r w:rsidRPr="00242CE5">
              <w:rPr>
                <w:rFonts w:cstheme="minorHAnsi"/>
                <w:color w:val="000000" w:themeColor="text1"/>
              </w:rPr>
              <w:t>0.381</w:t>
            </w:r>
          </w:p>
        </w:tc>
      </w:tr>
      <w:tr w:rsidR="00242CE5" w:rsidRPr="00242CE5" w14:paraId="7CD94FA3" w14:textId="77777777" w:rsidTr="005C22A2">
        <w:tc>
          <w:tcPr>
            <w:tcW w:w="2547" w:type="dxa"/>
          </w:tcPr>
          <w:p w14:paraId="47F99739" w14:textId="77777777" w:rsidR="006C54CA" w:rsidRPr="00242CE5" w:rsidRDefault="006C54CA" w:rsidP="005C22A2">
            <w:pPr>
              <w:jc w:val="both"/>
              <w:rPr>
                <w:color w:val="000000" w:themeColor="text1"/>
              </w:rPr>
            </w:pPr>
            <w:r w:rsidRPr="00242CE5">
              <w:rPr>
                <w:color w:val="000000" w:themeColor="text1"/>
              </w:rPr>
              <w:t>Seizures*</w:t>
            </w:r>
          </w:p>
        </w:tc>
        <w:tc>
          <w:tcPr>
            <w:tcW w:w="2283" w:type="dxa"/>
          </w:tcPr>
          <w:p w14:paraId="4D2B47CA"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0</w:t>
            </w:r>
          </w:p>
        </w:tc>
        <w:tc>
          <w:tcPr>
            <w:tcW w:w="2111" w:type="dxa"/>
          </w:tcPr>
          <w:p w14:paraId="106DE14F"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60</w:t>
            </w:r>
          </w:p>
        </w:tc>
        <w:tc>
          <w:tcPr>
            <w:tcW w:w="2126" w:type="dxa"/>
          </w:tcPr>
          <w:p w14:paraId="62694DC4" w14:textId="77777777" w:rsidR="006C54CA" w:rsidRPr="00242CE5" w:rsidRDefault="006C54CA" w:rsidP="005C22A2">
            <w:pPr>
              <w:jc w:val="both"/>
              <w:rPr>
                <w:rFonts w:cstheme="minorHAnsi"/>
                <w:bCs/>
                <w:color w:val="000000" w:themeColor="text1"/>
              </w:rPr>
            </w:pPr>
            <w:r w:rsidRPr="00242CE5">
              <w:rPr>
                <w:rFonts w:cstheme="minorHAnsi"/>
                <w:bCs/>
                <w:color w:val="000000" w:themeColor="text1"/>
              </w:rPr>
              <w:t>0.014</w:t>
            </w:r>
          </w:p>
        </w:tc>
      </w:tr>
      <w:tr w:rsidR="00242CE5" w:rsidRPr="00242CE5" w14:paraId="7ABEE96F" w14:textId="77777777" w:rsidTr="005C22A2">
        <w:tc>
          <w:tcPr>
            <w:tcW w:w="2547" w:type="dxa"/>
          </w:tcPr>
          <w:p w14:paraId="37D10E96" w14:textId="77777777" w:rsidR="006C54CA" w:rsidRPr="00242CE5" w:rsidRDefault="006C54CA" w:rsidP="005C22A2">
            <w:pPr>
              <w:jc w:val="both"/>
              <w:rPr>
                <w:color w:val="000000" w:themeColor="text1"/>
              </w:rPr>
            </w:pPr>
            <w:r w:rsidRPr="00242CE5">
              <w:rPr>
                <w:color w:val="000000" w:themeColor="text1"/>
              </w:rPr>
              <w:t>Stiffness</w:t>
            </w:r>
          </w:p>
        </w:tc>
        <w:tc>
          <w:tcPr>
            <w:tcW w:w="2283" w:type="dxa"/>
          </w:tcPr>
          <w:p w14:paraId="6A295965" w14:textId="77777777" w:rsidR="006C54CA" w:rsidRPr="00242CE5" w:rsidRDefault="006C54CA" w:rsidP="005C22A2">
            <w:pPr>
              <w:jc w:val="both"/>
              <w:rPr>
                <w:rFonts w:cstheme="minorHAnsi"/>
                <w:color w:val="000000" w:themeColor="text1"/>
              </w:rPr>
            </w:pPr>
            <w:r w:rsidRPr="00242CE5">
              <w:rPr>
                <w:rFonts w:cstheme="minorHAnsi"/>
                <w:color w:val="000000" w:themeColor="text1"/>
              </w:rPr>
              <w:t>1</w:t>
            </w:r>
          </w:p>
        </w:tc>
        <w:tc>
          <w:tcPr>
            <w:tcW w:w="2111" w:type="dxa"/>
          </w:tcPr>
          <w:p w14:paraId="4F576DC7" w14:textId="77777777" w:rsidR="006C54CA" w:rsidRPr="00242CE5" w:rsidRDefault="006C54CA" w:rsidP="005C22A2">
            <w:pPr>
              <w:jc w:val="both"/>
              <w:rPr>
                <w:rFonts w:cstheme="minorHAnsi"/>
                <w:color w:val="000000" w:themeColor="text1"/>
              </w:rPr>
            </w:pPr>
            <w:r w:rsidRPr="00242CE5">
              <w:rPr>
                <w:rFonts w:cstheme="minorHAnsi"/>
                <w:color w:val="000000" w:themeColor="text1"/>
              </w:rPr>
              <w:t>5</w:t>
            </w:r>
          </w:p>
        </w:tc>
        <w:tc>
          <w:tcPr>
            <w:tcW w:w="2126" w:type="dxa"/>
          </w:tcPr>
          <w:p w14:paraId="681B4F52" w14:textId="77777777" w:rsidR="006C54CA" w:rsidRPr="00242CE5" w:rsidRDefault="006C54CA" w:rsidP="005C22A2">
            <w:pPr>
              <w:jc w:val="both"/>
              <w:rPr>
                <w:rFonts w:cstheme="minorHAnsi"/>
                <w:color w:val="000000" w:themeColor="text1"/>
              </w:rPr>
            </w:pPr>
            <w:r w:rsidRPr="00242CE5">
              <w:rPr>
                <w:rFonts w:cstheme="minorHAnsi"/>
                <w:color w:val="000000" w:themeColor="text1"/>
              </w:rPr>
              <w:t>0.464</w:t>
            </w:r>
          </w:p>
        </w:tc>
      </w:tr>
      <w:tr w:rsidR="00242CE5" w:rsidRPr="00242CE5" w14:paraId="67A4DC26" w14:textId="77777777" w:rsidTr="005C22A2">
        <w:tc>
          <w:tcPr>
            <w:tcW w:w="2547" w:type="dxa"/>
          </w:tcPr>
          <w:p w14:paraId="090E2FB4" w14:textId="77777777" w:rsidR="006C54CA" w:rsidRPr="00242CE5" w:rsidRDefault="006C54CA" w:rsidP="005C22A2">
            <w:pPr>
              <w:jc w:val="both"/>
              <w:rPr>
                <w:color w:val="000000" w:themeColor="text1"/>
              </w:rPr>
            </w:pPr>
            <w:r w:rsidRPr="00242CE5">
              <w:rPr>
                <w:color w:val="000000" w:themeColor="text1"/>
              </w:rPr>
              <w:t>Vestibular signs</w:t>
            </w:r>
          </w:p>
        </w:tc>
        <w:tc>
          <w:tcPr>
            <w:tcW w:w="2283" w:type="dxa"/>
          </w:tcPr>
          <w:p w14:paraId="0048C0EB" w14:textId="77777777" w:rsidR="006C54CA" w:rsidRPr="00242CE5" w:rsidRDefault="006C54CA" w:rsidP="005C22A2">
            <w:pPr>
              <w:jc w:val="both"/>
              <w:rPr>
                <w:rFonts w:cstheme="minorHAnsi"/>
                <w:color w:val="000000" w:themeColor="text1"/>
              </w:rPr>
            </w:pPr>
            <w:r w:rsidRPr="00242CE5">
              <w:rPr>
                <w:rFonts w:cstheme="minorHAnsi"/>
                <w:color w:val="000000" w:themeColor="text1"/>
              </w:rPr>
              <w:t>0</w:t>
            </w:r>
          </w:p>
        </w:tc>
        <w:tc>
          <w:tcPr>
            <w:tcW w:w="2111" w:type="dxa"/>
          </w:tcPr>
          <w:p w14:paraId="021DB784" w14:textId="77777777" w:rsidR="006C54CA" w:rsidRPr="00242CE5" w:rsidRDefault="006C54CA" w:rsidP="005C22A2">
            <w:pPr>
              <w:jc w:val="both"/>
              <w:rPr>
                <w:rFonts w:cstheme="minorHAnsi"/>
                <w:color w:val="000000" w:themeColor="text1"/>
              </w:rPr>
            </w:pPr>
            <w:r w:rsidRPr="00242CE5">
              <w:rPr>
                <w:rFonts w:cstheme="minorHAnsi"/>
                <w:color w:val="000000" w:themeColor="text1"/>
              </w:rPr>
              <w:t>30</w:t>
            </w:r>
          </w:p>
        </w:tc>
        <w:tc>
          <w:tcPr>
            <w:tcW w:w="2126" w:type="dxa"/>
          </w:tcPr>
          <w:p w14:paraId="4915E2A6" w14:textId="77777777" w:rsidR="006C54CA" w:rsidRPr="00242CE5" w:rsidRDefault="006C54CA" w:rsidP="005C22A2">
            <w:pPr>
              <w:jc w:val="both"/>
              <w:rPr>
                <w:rFonts w:cstheme="minorHAnsi"/>
                <w:color w:val="000000" w:themeColor="text1"/>
              </w:rPr>
            </w:pPr>
            <w:r w:rsidRPr="00242CE5">
              <w:rPr>
                <w:rFonts w:cstheme="minorHAnsi"/>
                <w:color w:val="000000" w:themeColor="text1"/>
              </w:rPr>
              <w:t>0.059</w:t>
            </w:r>
          </w:p>
        </w:tc>
      </w:tr>
      <w:tr w:rsidR="00242CE5" w:rsidRPr="00242CE5" w14:paraId="77381ED6" w14:textId="77777777" w:rsidTr="005C22A2">
        <w:tc>
          <w:tcPr>
            <w:tcW w:w="2547" w:type="dxa"/>
          </w:tcPr>
          <w:p w14:paraId="3A9E8043" w14:textId="77777777" w:rsidR="006C54CA" w:rsidRPr="00242CE5" w:rsidRDefault="006C54CA" w:rsidP="005C22A2">
            <w:pPr>
              <w:jc w:val="both"/>
              <w:rPr>
                <w:color w:val="000000" w:themeColor="text1"/>
              </w:rPr>
            </w:pPr>
            <w:r w:rsidRPr="00242CE5">
              <w:rPr>
                <w:color w:val="000000" w:themeColor="text1"/>
              </w:rPr>
              <w:t>Weakness/exercise intolerance/collapse</w:t>
            </w:r>
          </w:p>
        </w:tc>
        <w:tc>
          <w:tcPr>
            <w:tcW w:w="2283" w:type="dxa"/>
          </w:tcPr>
          <w:p w14:paraId="6DAB57BD" w14:textId="77777777" w:rsidR="006C54CA" w:rsidRPr="00242CE5" w:rsidRDefault="006C54CA" w:rsidP="005C22A2">
            <w:pPr>
              <w:jc w:val="both"/>
              <w:rPr>
                <w:rFonts w:cstheme="minorHAnsi"/>
                <w:color w:val="000000" w:themeColor="text1"/>
              </w:rPr>
            </w:pPr>
            <w:r w:rsidRPr="00242CE5">
              <w:rPr>
                <w:rFonts w:cstheme="minorHAnsi"/>
                <w:color w:val="000000" w:themeColor="text1"/>
              </w:rPr>
              <w:t>6</w:t>
            </w:r>
          </w:p>
        </w:tc>
        <w:tc>
          <w:tcPr>
            <w:tcW w:w="2111" w:type="dxa"/>
          </w:tcPr>
          <w:p w14:paraId="6151DFD9" w14:textId="77777777" w:rsidR="006C54CA" w:rsidRPr="00242CE5" w:rsidRDefault="006C54CA" w:rsidP="005C22A2">
            <w:pPr>
              <w:jc w:val="both"/>
              <w:rPr>
                <w:rFonts w:cstheme="minorHAnsi"/>
                <w:color w:val="000000" w:themeColor="text1"/>
              </w:rPr>
            </w:pPr>
            <w:r w:rsidRPr="00242CE5">
              <w:rPr>
                <w:rFonts w:cstheme="minorHAnsi"/>
                <w:color w:val="000000" w:themeColor="text1"/>
              </w:rPr>
              <w:t>32</w:t>
            </w:r>
          </w:p>
        </w:tc>
        <w:tc>
          <w:tcPr>
            <w:tcW w:w="2126" w:type="dxa"/>
          </w:tcPr>
          <w:p w14:paraId="1D058125" w14:textId="77777777" w:rsidR="006C54CA" w:rsidRPr="00242CE5" w:rsidRDefault="006C54CA" w:rsidP="005C22A2">
            <w:pPr>
              <w:jc w:val="both"/>
              <w:rPr>
                <w:rFonts w:cstheme="minorHAnsi"/>
                <w:color w:val="000000" w:themeColor="text1"/>
              </w:rPr>
            </w:pPr>
            <w:r w:rsidRPr="00242CE5">
              <w:rPr>
                <w:rFonts w:cstheme="minorHAnsi"/>
                <w:color w:val="000000" w:themeColor="text1"/>
              </w:rPr>
              <w:t>0.246</w:t>
            </w:r>
          </w:p>
        </w:tc>
      </w:tr>
    </w:tbl>
    <w:p w14:paraId="158E1933" w14:textId="63D6F4B6" w:rsidR="006C54CA" w:rsidRPr="00242CE5" w:rsidRDefault="006C54CA" w:rsidP="006C54CA">
      <w:pPr>
        <w:jc w:val="both"/>
        <w:rPr>
          <w:color w:val="000000" w:themeColor="text1"/>
        </w:rPr>
      </w:pPr>
      <w:r w:rsidRPr="00242CE5">
        <w:rPr>
          <w:color w:val="000000" w:themeColor="text1"/>
        </w:rPr>
        <w:t xml:space="preserve">Chi-square test, or *Fisher’s exact test. N = number of cases. </w:t>
      </w:r>
      <w:r w:rsidR="00192290" w:rsidRPr="00242CE5">
        <w:rPr>
          <w:color w:val="000000" w:themeColor="text1"/>
        </w:rPr>
        <w:t xml:space="preserve">‘Abnormal gait’ was a change in gait that was not defined specifically as ataxia, paresis, weakness or lameness by the clinician. </w:t>
      </w:r>
      <w:r w:rsidRPr="00242CE5">
        <w:rPr>
          <w:color w:val="000000" w:themeColor="text1"/>
        </w:rPr>
        <w:t xml:space="preserve">General signs include anorexia, inappetence, lymphadenomegaly, weight loss, lethargy, pyrexia and vomiting. Miscellaneous includes </w:t>
      </w:r>
      <w:r w:rsidR="00192290" w:rsidRPr="00242CE5">
        <w:rPr>
          <w:color w:val="000000" w:themeColor="text1"/>
        </w:rPr>
        <w:t>one</w:t>
      </w:r>
      <w:r w:rsidRPr="00242CE5">
        <w:rPr>
          <w:color w:val="000000" w:themeColor="text1"/>
        </w:rPr>
        <w:t xml:space="preserve"> or </w:t>
      </w:r>
      <w:r w:rsidR="00192290" w:rsidRPr="00242CE5">
        <w:rPr>
          <w:color w:val="000000" w:themeColor="text1"/>
        </w:rPr>
        <w:t>two</w:t>
      </w:r>
      <w:r w:rsidRPr="00242CE5">
        <w:rPr>
          <w:color w:val="000000" w:themeColor="text1"/>
        </w:rPr>
        <w:t xml:space="preserve"> cases each of coughing, difficulty opening </w:t>
      </w:r>
      <w:r w:rsidR="00192290" w:rsidRPr="00242CE5">
        <w:rPr>
          <w:color w:val="000000" w:themeColor="text1"/>
        </w:rPr>
        <w:t xml:space="preserve">the </w:t>
      </w:r>
      <w:r w:rsidRPr="00242CE5">
        <w:rPr>
          <w:color w:val="000000" w:themeColor="text1"/>
        </w:rPr>
        <w:t xml:space="preserve">jaw, facial swelling, facial irritation, </w:t>
      </w:r>
      <w:r w:rsidR="00192290" w:rsidRPr="00242CE5">
        <w:rPr>
          <w:color w:val="000000" w:themeColor="text1"/>
        </w:rPr>
        <w:t xml:space="preserve">presence of a </w:t>
      </w:r>
      <w:r w:rsidRPr="00242CE5">
        <w:rPr>
          <w:color w:val="000000" w:themeColor="text1"/>
        </w:rPr>
        <w:t xml:space="preserve">mass, panting and hypersalivation. </w:t>
      </w:r>
      <w:r w:rsidR="00192290" w:rsidRPr="00242CE5">
        <w:rPr>
          <w:color w:val="000000" w:themeColor="text1"/>
        </w:rPr>
        <w:t xml:space="preserve">‘Incontinence’ includes both urinary and faecal. ‘Muscle atrophy’ localised to a limb or specific muscle group.  ‘Ophthalmological signs’ includes blindness and enophthalmus. ‘Pain’ includes spinal and general pain. ‘Seizures’ = epileptic seizures. Significant findings (P </w:t>
      </w:r>
      <w:r w:rsidR="00192290" w:rsidRPr="00242CE5">
        <w:rPr>
          <w:rFonts w:eastAsia="Times New Roman" w:cstheme="minorHAnsi"/>
          <w:color w:val="000000" w:themeColor="text1"/>
        </w:rPr>
        <w:sym w:font="Symbol" w:char="F0A3"/>
      </w:r>
      <w:r w:rsidR="00192290" w:rsidRPr="00242CE5">
        <w:rPr>
          <w:color w:val="000000" w:themeColor="text1"/>
        </w:rPr>
        <w:t>0.003) in bold.</w:t>
      </w:r>
    </w:p>
    <w:p w14:paraId="683D1784" w14:textId="77777777" w:rsidR="00192290" w:rsidRPr="00242CE5" w:rsidRDefault="00192290" w:rsidP="006C54CA">
      <w:pPr>
        <w:jc w:val="both"/>
        <w:rPr>
          <w:color w:val="000000" w:themeColor="text1"/>
          <w:sz w:val="26"/>
          <w:szCs w:val="26"/>
        </w:rPr>
      </w:pPr>
    </w:p>
    <w:p w14:paraId="076976F9" w14:textId="454E7503" w:rsidR="006C54CA" w:rsidRPr="00242CE5" w:rsidRDefault="006C54CA" w:rsidP="006C54CA">
      <w:pPr>
        <w:jc w:val="both"/>
        <w:rPr>
          <w:color w:val="000000" w:themeColor="text1"/>
          <w:sz w:val="26"/>
          <w:szCs w:val="26"/>
        </w:rPr>
      </w:pPr>
      <w:r w:rsidRPr="00242CE5">
        <w:rPr>
          <w:color w:val="000000" w:themeColor="text1"/>
          <w:sz w:val="26"/>
          <w:szCs w:val="26"/>
        </w:rPr>
        <w:t xml:space="preserve">Table </w:t>
      </w:r>
      <w:r w:rsidR="00192290" w:rsidRPr="00242CE5">
        <w:rPr>
          <w:color w:val="000000" w:themeColor="text1"/>
          <w:sz w:val="26"/>
          <w:szCs w:val="26"/>
        </w:rPr>
        <w:t>2</w:t>
      </w:r>
      <w:r w:rsidRPr="00242CE5">
        <w:rPr>
          <w:color w:val="000000" w:themeColor="text1"/>
          <w:sz w:val="26"/>
          <w:szCs w:val="26"/>
        </w:rPr>
        <w:t>: Odd’s Ratio and Relative Risk for different variables associated with neurological mimics rather than primary neurological conditions.</w:t>
      </w:r>
    </w:p>
    <w:tbl>
      <w:tblPr>
        <w:tblStyle w:val="TableGrid"/>
        <w:tblW w:w="0" w:type="auto"/>
        <w:tblLook w:val="04A0" w:firstRow="1" w:lastRow="0" w:firstColumn="1" w:lastColumn="0" w:noHBand="0" w:noVBand="1"/>
      </w:tblPr>
      <w:tblGrid>
        <w:gridCol w:w="2809"/>
        <w:gridCol w:w="1014"/>
        <w:gridCol w:w="1134"/>
        <w:gridCol w:w="1701"/>
        <w:gridCol w:w="1134"/>
        <w:gridCol w:w="1558"/>
      </w:tblGrid>
      <w:tr w:rsidR="00242CE5" w:rsidRPr="00242CE5" w14:paraId="10ACC6EF" w14:textId="77777777" w:rsidTr="005C22A2">
        <w:tc>
          <w:tcPr>
            <w:tcW w:w="2809" w:type="dxa"/>
            <w:shd w:val="clear" w:color="auto" w:fill="auto"/>
          </w:tcPr>
          <w:p w14:paraId="7405DFD5" w14:textId="77777777" w:rsidR="006C54CA" w:rsidRPr="00242CE5" w:rsidRDefault="006C54CA" w:rsidP="005C22A2">
            <w:pPr>
              <w:rPr>
                <w:b/>
                <w:color w:val="000000" w:themeColor="text1"/>
              </w:rPr>
            </w:pPr>
            <w:r w:rsidRPr="00242CE5">
              <w:rPr>
                <w:b/>
                <w:color w:val="000000" w:themeColor="text1"/>
              </w:rPr>
              <w:lastRenderedPageBreak/>
              <w:t>Variable associated with neurological mimics rather than primary neurological conditions</w:t>
            </w:r>
          </w:p>
        </w:tc>
        <w:tc>
          <w:tcPr>
            <w:tcW w:w="1014" w:type="dxa"/>
          </w:tcPr>
          <w:p w14:paraId="2068E31F" w14:textId="77777777" w:rsidR="006C54CA" w:rsidRPr="00242CE5" w:rsidRDefault="006C54CA" w:rsidP="005C22A2">
            <w:pPr>
              <w:rPr>
                <w:b/>
                <w:color w:val="000000" w:themeColor="text1"/>
              </w:rPr>
            </w:pPr>
            <w:r w:rsidRPr="00242CE5">
              <w:rPr>
                <w:b/>
                <w:color w:val="000000" w:themeColor="text1"/>
              </w:rPr>
              <w:t>P-value</w:t>
            </w:r>
          </w:p>
        </w:tc>
        <w:tc>
          <w:tcPr>
            <w:tcW w:w="1134" w:type="dxa"/>
            <w:shd w:val="clear" w:color="auto" w:fill="auto"/>
          </w:tcPr>
          <w:p w14:paraId="72DDCFBC" w14:textId="77777777" w:rsidR="006C54CA" w:rsidRPr="00242CE5" w:rsidRDefault="006C54CA" w:rsidP="005C22A2">
            <w:pPr>
              <w:rPr>
                <w:b/>
                <w:color w:val="000000" w:themeColor="text1"/>
              </w:rPr>
            </w:pPr>
            <w:r w:rsidRPr="00242CE5">
              <w:rPr>
                <w:b/>
                <w:color w:val="000000" w:themeColor="text1"/>
              </w:rPr>
              <w:t>OR</w:t>
            </w:r>
          </w:p>
        </w:tc>
        <w:tc>
          <w:tcPr>
            <w:tcW w:w="1701" w:type="dxa"/>
          </w:tcPr>
          <w:p w14:paraId="42775755" w14:textId="77777777" w:rsidR="006C54CA" w:rsidRPr="00242CE5" w:rsidRDefault="006C54CA" w:rsidP="005C22A2">
            <w:pPr>
              <w:rPr>
                <w:b/>
                <w:color w:val="000000" w:themeColor="text1"/>
              </w:rPr>
            </w:pPr>
            <w:r w:rsidRPr="00242CE5">
              <w:rPr>
                <w:b/>
                <w:color w:val="000000" w:themeColor="text1"/>
              </w:rPr>
              <w:t>OR 95% CI</w:t>
            </w:r>
          </w:p>
        </w:tc>
        <w:tc>
          <w:tcPr>
            <w:tcW w:w="1134" w:type="dxa"/>
          </w:tcPr>
          <w:p w14:paraId="775E316A" w14:textId="77777777" w:rsidR="006C54CA" w:rsidRPr="00242CE5" w:rsidRDefault="006C54CA" w:rsidP="005C22A2">
            <w:pPr>
              <w:rPr>
                <w:b/>
                <w:color w:val="000000" w:themeColor="text1"/>
              </w:rPr>
            </w:pPr>
            <w:r w:rsidRPr="00242CE5">
              <w:rPr>
                <w:b/>
                <w:color w:val="000000" w:themeColor="text1"/>
              </w:rPr>
              <w:t>RR</w:t>
            </w:r>
          </w:p>
        </w:tc>
        <w:tc>
          <w:tcPr>
            <w:tcW w:w="1558" w:type="dxa"/>
          </w:tcPr>
          <w:p w14:paraId="739AB208" w14:textId="77777777" w:rsidR="006C54CA" w:rsidRPr="00242CE5" w:rsidRDefault="006C54CA" w:rsidP="005C22A2">
            <w:pPr>
              <w:rPr>
                <w:b/>
                <w:color w:val="000000" w:themeColor="text1"/>
              </w:rPr>
            </w:pPr>
            <w:r w:rsidRPr="00242CE5">
              <w:rPr>
                <w:b/>
                <w:color w:val="000000" w:themeColor="text1"/>
              </w:rPr>
              <w:t>RR 95% CI</w:t>
            </w:r>
          </w:p>
        </w:tc>
      </w:tr>
      <w:tr w:rsidR="00242CE5" w:rsidRPr="00242CE5" w14:paraId="4B51A390" w14:textId="77777777" w:rsidTr="005C22A2">
        <w:tc>
          <w:tcPr>
            <w:tcW w:w="2809" w:type="dxa"/>
            <w:shd w:val="clear" w:color="auto" w:fill="auto"/>
          </w:tcPr>
          <w:p w14:paraId="4F587333" w14:textId="77777777" w:rsidR="006C54CA" w:rsidRPr="00242CE5" w:rsidRDefault="006C54CA" w:rsidP="005C22A2">
            <w:pPr>
              <w:rPr>
                <w:color w:val="000000" w:themeColor="text1"/>
              </w:rPr>
            </w:pPr>
            <w:r w:rsidRPr="00242CE5">
              <w:rPr>
                <w:color w:val="000000" w:themeColor="text1"/>
              </w:rPr>
              <w:t>Lameness</w:t>
            </w:r>
          </w:p>
        </w:tc>
        <w:tc>
          <w:tcPr>
            <w:tcW w:w="1014" w:type="dxa"/>
          </w:tcPr>
          <w:p w14:paraId="0F484419" w14:textId="77777777" w:rsidR="006C54CA" w:rsidRPr="00242CE5" w:rsidRDefault="006C54CA" w:rsidP="005C22A2">
            <w:pPr>
              <w:rPr>
                <w:b/>
                <w:bCs/>
                <w:color w:val="000000" w:themeColor="text1"/>
              </w:rPr>
            </w:pPr>
            <w:r w:rsidRPr="00242CE5">
              <w:rPr>
                <w:b/>
                <w:bCs/>
                <w:color w:val="000000" w:themeColor="text1"/>
              </w:rPr>
              <w:t>&lt;0.001</w:t>
            </w:r>
          </w:p>
        </w:tc>
        <w:tc>
          <w:tcPr>
            <w:tcW w:w="1134" w:type="dxa"/>
            <w:shd w:val="clear" w:color="auto" w:fill="auto"/>
          </w:tcPr>
          <w:p w14:paraId="62691B04" w14:textId="77777777" w:rsidR="006C54CA" w:rsidRPr="00242CE5" w:rsidRDefault="006C54CA" w:rsidP="005C22A2">
            <w:pPr>
              <w:rPr>
                <w:color w:val="000000" w:themeColor="text1"/>
              </w:rPr>
            </w:pPr>
            <w:r w:rsidRPr="00242CE5">
              <w:rPr>
                <w:color w:val="000000" w:themeColor="text1"/>
              </w:rPr>
              <w:t>7.76</w:t>
            </w:r>
          </w:p>
        </w:tc>
        <w:tc>
          <w:tcPr>
            <w:tcW w:w="1701" w:type="dxa"/>
          </w:tcPr>
          <w:p w14:paraId="753E6189" w14:textId="77777777" w:rsidR="006C54CA" w:rsidRPr="00242CE5" w:rsidRDefault="006C54CA" w:rsidP="005C22A2">
            <w:pPr>
              <w:rPr>
                <w:color w:val="000000" w:themeColor="text1"/>
              </w:rPr>
            </w:pPr>
            <w:r w:rsidRPr="00242CE5">
              <w:rPr>
                <w:color w:val="000000" w:themeColor="text1"/>
              </w:rPr>
              <w:t>3.84 - 15.71</w:t>
            </w:r>
          </w:p>
        </w:tc>
        <w:tc>
          <w:tcPr>
            <w:tcW w:w="1134" w:type="dxa"/>
          </w:tcPr>
          <w:p w14:paraId="7530B2FC" w14:textId="77777777" w:rsidR="006C54CA" w:rsidRPr="00242CE5" w:rsidRDefault="006C54CA" w:rsidP="005C22A2">
            <w:pPr>
              <w:rPr>
                <w:color w:val="000000" w:themeColor="text1"/>
              </w:rPr>
            </w:pPr>
            <w:r w:rsidRPr="00242CE5">
              <w:rPr>
                <w:color w:val="000000" w:themeColor="text1"/>
              </w:rPr>
              <w:t>5.42</w:t>
            </w:r>
          </w:p>
        </w:tc>
        <w:tc>
          <w:tcPr>
            <w:tcW w:w="1558" w:type="dxa"/>
          </w:tcPr>
          <w:p w14:paraId="684F753D" w14:textId="77777777" w:rsidR="006C54CA" w:rsidRPr="00242CE5" w:rsidRDefault="006C54CA" w:rsidP="005C22A2">
            <w:pPr>
              <w:rPr>
                <w:color w:val="000000" w:themeColor="text1"/>
              </w:rPr>
            </w:pPr>
            <w:r w:rsidRPr="00242CE5">
              <w:rPr>
                <w:color w:val="000000" w:themeColor="text1"/>
              </w:rPr>
              <w:t>3.17 - 9.29</w:t>
            </w:r>
          </w:p>
        </w:tc>
      </w:tr>
      <w:tr w:rsidR="00242CE5" w:rsidRPr="00242CE5" w14:paraId="31F8A4C6" w14:textId="77777777" w:rsidTr="005C22A2">
        <w:tc>
          <w:tcPr>
            <w:tcW w:w="2809" w:type="dxa"/>
            <w:shd w:val="clear" w:color="auto" w:fill="auto"/>
          </w:tcPr>
          <w:p w14:paraId="15FCB590" w14:textId="77777777" w:rsidR="006C54CA" w:rsidRPr="00242CE5" w:rsidRDefault="006C54CA" w:rsidP="005C22A2">
            <w:pPr>
              <w:rPr>
                <w:color w:val="000000" w:themeColor="text1"/>
              </w:rPr>
            </w:pPr>
            <w:r w:rsidRPr="00242CE5">
              <w:rPr>
                <w:color w:val="000000" w:themeColor="text1"/>
              </w:rPr>
              <w:t>Normal neurological examination</w:t>
            </w:r>
          </w:p>
        </w:tc>
        <w:tc>
          <w:tcPr>
            <w:tcW w:w="1014" w:type="dxa"/>
          </w:tcPr>
          <w:p w14:paraId="1ACE1E85" w14:textId="77777777" w:rsidR="006C54CA" w:rsidRPr="00242CE5" w:rsidRDefault="006C54CA" w:rsidP="005C22A2">
            <w:pPr>
              <w:rPr>
                <w:b/>
                <w:bCs/>
                <w:color w:val="000000" w:themeColor="text1"/>
              </w:rPr>
            </w:pPr>
            <w:r w:rsidRPr="00242CE5">
              <w:rPr>
                <w:b/>
                <w:bCs/>
                <w:color w:val="000000" w:themeColor="text1"/>
              </w:rPr>
              <w:t>&lt;0.001</w:t>
            </w:r>
          </w:p>
        </w:tc>
        <w:tc>
          <w:tcPr>
            <w:tcW w:w="1134" w:type="dxa"/>
            <w:shd w:val="clear" w:color="auto" w:fill="auto"/>
          </w:tcPr>
          <w:p w14:paraId="7075998C" w14:textId="2C775C68" w:rsidR="006C54CA" w:rsidRPr="00242CE5" w:rsidRDefault="00192290" w:rsidP="005C22A2">
            <w:pPr>
              <w:rPr>
                <w:color w:val="000000" w:themeColor="text1"/>
              </w:rPr>
            </w:pPr>
            <w:r w:rsidRPr="00242CE5">
              <w:rPr>
                <w:color w:val="000000" w:themeColor="text1"/>
              </w:rPr>
              <w:t>23.16</w:t>
            </w:r>
          </w:p>
        </w:tc>
        <w:tc>
          <w:tcPr>
            <w:tcW w:w="1701" w:type="dxa"/>
          </w:tcPr>
          <w:p w14:paraId="6A9089C4" w14:textId="06CD83D5" w:rsidR="006C54CA" w:rsidRPr="00242CE5" w:rsidRDefault="00192290" w:rsidP="005C22A2">
            <w:pPr>
              <w:rPr>
                <w:color w:val="000000" w:themeColor="text1"/>
              </w:rPr>
            </w:pPr>
            <w:r w:rsidRPr="00242CE5">
              <w:rPr>
                <w:color w:val="000000" w:themeColor="text1"/>
              </w:rPr>
              <w:t>10.20</w:t>
            </w:r>
            <w:r w:rsidR="006C54CA" w:rsidRPr="00242CE5">
              <w:rPr>
                <w:color w:val="000000" w:themeColor="text1"/>
              </w:rPr>
              <w:t xml:space="preserve"> </w:t>
            </w:r>
            <w:r w:rsidRPr="00242CE5">
              <w:rPr>
                <w:color w:val="000000" w:themeColor="text1"/>
              </w:rPr>
              <w:t>–</w:t>
            </w:r>
            <w:r w:rsidR="006C54CA" w:rsidRPr="00242CE5">
              <w:rPr>
                <w:color w:val="000000" w:themeColor="text1"/>
              </w:rPr>
              <w:t xml:space="preserve"> 5</w:t>
            </w:r>
            <w:r w:rsidRPr="00242CE5">
              <w:rPr>
                <w:color w:val="000000" w:themeColor="text1"/>
              </w:rPr>
              <w:t>2.54</w:t>
            </w:r>
          </w:p>
        </w:tc>
        <w:tc>
          <w:tcPr>
            <w:tcW w:w="1134" w:type="dxa"/>
          </w:tcPr>
          <w:p w14:paraId="4602126C" w14:textId="2D668D25" w:rsidR="006C54CA" w:rsidRPr="00242CE5" w:rsidRDefault="006C54CA" w:rsidP="005C22A2">
            <w:pPr>
              <w:rPr>
                <w:color w:val="000000" w:themeColor="text1"/>
              </w:rPr>
            </w:pPr>
            <w:r w:rsidRPr="00242CE5">
              <w:rPr>
                <w:color w:val="000000" w:themeColor="text1"/>
              </w:rPr>
              <w:t>14.</w:t>
            </w:r>
            <w:r w:rsidR="00192290" w:rsidRPr="00242CE5">
              <w:rPr>
                <w:color w:val="000000" w:themeColor="text1"/>
              </w:rPr>
              <w:t>97</w:t>
            </w:r>
          </w:p>
        </w:tc>
        <w:tc>
          <w:tcPr>
            <w:tcW w:w="1558" w:type="dxa"/>
          </w:tcPr>
          <w:p w14:paraId="58899A7D" w14:textId="165397DD" w:rsidR="006C54CA" w:rsidRPr="00242CE5" w:rsidRDefault="006C54CA" w:rsidP="005C22A2">
            <w:pPr>
              <w:rPr>
                <w:color w:val="000000" w:themeColor="text1"/>
              </w:rPr>
            </w:pPr>
            <w:r w:rsidRPr="00242CE5">
              <w:rPr>
                <w:color w:val="000000" w:themeColor="text1"/>
              </w:rPr>
              <w:t>7.</w:t>
            </w:r>
            <w:r w:rsidR="00192290" w:rsidRPr="00242CE5">
              <w:rPr>
                <w:color w:val="000000" w:themeColor="text1"/>
              </w:rPr>
              <w:t>18</w:t>
            </w:r>
            <w:r w:rsidRPr="00242CE5">
              <w:rPr>
                <w:color w:val="000000" w:themeColor="text1"/>
              </w:rPr>
              <w:t xml:space="preserve"> – 3</w:t>
            </w:r>
            <w:r w:rsidR="00192290" w:rsidRPr="00242CE5">
              <w:rPr>
                <w:color w:val="000000" w:themeColor="text1"/>
              </w:rPr>
              <w:t>1</w:t>
            </w:r>
            <w:r w:rsidRPr="00242CE5">
              <w:rPr>
                <w:color w:val="000000" w:themeColor="text1"/>
              </w:rPr>
              <w:t>.</w:t>
            </w:r>
            <w:r w:rsidR="00192290" w:rsidRPr="00242CE5">
              <w:rPr>
                <w:color w:val="000000" w:themeColor="text1"/>
              </w:rPr>
              <w:t>20</w:t>
            </w:r>
          </w:p>
        </w:tc>
      </w:tr>
      <w:tr w:rsidR="00242CE5" w:rsidRPr="00242CE5" w14:paraId="11C8C9C4" w14:textId="77777777" w:rsidTr="005C22A2">
        <w:tc>
          <w:tcPr>
            <w:tcW w:w="2809" w:type="dxa"/>
            <w:shd w:val="clear" w:color="auto" w:fill="auto"/>
          </w:tcPr>
          <w:p w14:paraId="2AD600F8" w14:textId="77777777" w:rsidR="006C54CA" w:rsidRPr="00242CE5" w:rsidRDefault="006C54CA" w:rsidP="005C22A2">
            <w:pPr>
              <w:rPr>
                <w:color w:val="000000" w:themeColor="text1"/>
              </w:rPr>
            </w:pPr>
            <w:r w:rsidRPr="00242CE5">
              <w:rPr>
                <w:color w:val="000000" w:themeColor="text1"/>
              </w:rPr>
              <w:t>Normal neurological examination  not presenting with seizures</w:t>
            </w:r>
          </w:p>
        </w:tc>
        <w:tc>
          <w:tcPr>
            <w:tcW w:w="1014" w:type="dxa"/>
          </w:tcPr>
          <w:p w14:paraId="6EEFF70B" w14:textId="77777777" w:rsidR="006C54CA" w:rsidRPr="00242CE5" w:rsidRDefault="006C54CA" w:rsidP="005C22A2">
            <w:pPr>
              <w:rPr>
                <w:b/>
                <w:bCs/>
                <w:color w:val="000000" w:themeColor="text1"/>
              </w:rPr>
            </w:pPr>
            <w:r w:rsidRPr="00242CE5">
              <w:rPr>
                <w:b/>
                <w:color w:val="000000" w:themeColor="text1"/>
              </w:rPr>
              <w:t>&lt;0.001</w:t>
            </w:r>
          </w:p>
        </w:tc>
        <w:tc>
          <w:tcPr>
            <w:tcW w:w="1134" w:type="dxa"/>
            <w:shd w:val="clear" w:color="auto" w:fill="auto"/>
          </w:tcPr>
          <w:p w14:paraId="06E54FBE" w14:textId="772BEDBE" w:rsidR="006C54CA" w:rsidRPr="00242CE5" w:rsidRDefault="006C54CA" w:rsidP="005C22A2">
            <w:pPr>
              <w:rPr>
                <w:color w:val="000000" w:themeColor="text1"/>
              </w:rPr>
            </w:pPr>
            <w:r w:rsidRPr="00242CE5">
              <w:rPr>
                <w:color w:val="000000" w:themeColor="text1"/>
              </w:rPr>
              <w:t>5</w:t>
            </w:r>
            <w:r w:rsidR="00192290" w:rsidRPr="00242CE5">
              <w:rPr>
                <w:color w:val="000000" w:themeColor="text1"/>
              </w:rPr>
              <w:t>1</w:t>
            </w:r>
            <w:r w:rsidRPr="00242CE5">
              <w:rPr>
                <w:color w:val="000000" w:themeColor="text1"/>
              </w:rPr>
              <w:t>.</w:t>
            </w:r>
            <w:r w:rsidR="00192290" w:rsidRPr="00242CE5">
              <w:rPr>
                <w:color w:val="000000" w:themeColor="text1"/>
              </w:rPr>
              <w:t>65</w:t>
            </w:r>
          </w:p>
        </w:tc>
        <w:tc>
          <w:tcPr>
            <w:tcW w:w="1701" w:type="dxa"/>
          </w:tcPr>
          <w:p w14:paraId="2630F17C" w14:textId="5A542E34" w:rsidR="006C54CA" w:rsidRPr="00242CE5" w:rsidRDefault="006C54CA" w:rsidP="005C22A2">
            <w:pPr>
              <w:rPr>
                <w:color w:val="000000" w:themeColor="text1"/>
              </w:rPr>
            </w:pPr>
            <w:r w:rsidRPr="00242CE5">
              <w:rPr>
                <w:color w:val="000000" w:themeColor="text1"/>
              </w:rPr>
              <w:t>21.</w:t>
            </w:r>
            <w:r w:rsidR="00192290" w:rsidRPr="00242CE5">
              <w:rPr>
                <w:color w:val="000000" w:themeColor="text1"/>
              </w:rPr>
              <w:t>69</w:t>
            </w:r>
            <w:r w:rsidRPr="00242CE5">
              <w:rPr>
                <w:color w:val="000000" w:themeColor="text1"/>
              </w:rPr>
              <w:t xml:space="preserve"> – 1</w:t>
            </w:r>
            <w:r w:rsidR="00192290" w:rsidRPr="00242CE5">
              <w:rPr>
                <w:color w:val="000000" w:themeColor="text1"/>
              </w:rPr>
              <w:t>23.02</w:t>
            </w:r>
          </w:p>
        </w:tc>
        <w:tc>
          <w:tcPr>
            <w:tcW w:w="1134" w:type="dxa"/>
          </w:tcPr>
          <w:p w14:paraId="3EACE422" w14:textId="46A1E82E" w:rsidR="006C54CA" w:rsidRPr="00242CE5" w:rsidRDefault="006C54CA" w:rsidP="005C22A2">
            <w:pPr>
              <w:rPr>
                <w:color w:val="000000" w:themeColor="text1"/>
              </w:rPr>
            </w:pPr>
            <w:r w:rsidRPr="00242CE5">
              <w:rPr>
                <w:color w:val="000000" w:themeColor="text1"/>
              </w:rPr>
              <w:t>2</w:t>
            </w:r>
            <w:r w:rsidR="00192290" w:rsidRPr="00242CE5">
              <w:rPr>
                <w:color w:val="000000" w:themeColor="text1"/>
              </w:rPr>
              <w:t>2</w:t>
            </w:r>
            <w:r w:rsidRPr="00242CE5">
              <w:rPr>
                <w:color w:val="000000" w:themeColor="text1"/>
              </w:rPr>
              <w:t>.</w:t>
            </w:r>
            <w:r w:rsidR="00192290" w:rsidRPr="00242CE5">
              <w:rPr>
                <w:color w:val="000000" w:themeColor="text1"/>
              </w:rPr>
              <w:t>95</w:t>
            </w:r>
            <w:r w:rsidRPr="00242CE5">
              <w:rPr>
                <w:color w:val="000000" w:themeColor="text1"/>
              </w:rPr>
              <w:t xml:space="preserve"> </w:t>
            </w:r>
          </w:p>
        </w:tc>
        <w:tc>
          <w:tcPr>
            <w:tcW w:w="1558" w:type="dxa"/>
          </w:tcPr>
          <w:p w14:paraId="09B8CE23" w14:textId="6C4C3ACE" w:rsidR="006C54CA" w:rsidRPr="00242CE5" w:rsidRDefault="006C54CA" w:rsidP="005C22A2">
            <w:pPr>
              <w:rPr>
                <w:color w:val="000000" w:themeColor="text1"/>
              </w:rPr>
            </w:pPr>
            <w:r w:rsidRPr="00242CE5">
              <w:rPr>
                <w:color w:val="000000" w:themeColor="text1"/>
              </w:rPr>
              <w:t>11.</w:t>
            </w:r>
            <w:r w:rsidR="00192290" w:rsidRPr="00242CE5">
              <w:rPr>
                <w:color w:val="000000" w:themeColor="text1"/>
              </w:rPr>
              <w:t>18</w:t>
            </w:r>
            <w:r w:rsidRPr="00242CE5">
              <w:rPr>
                <w:color w:val="000000" w:themeColor="text1"/>
              </w:rPr>
              <w:t xml:space="preserve"> – </w:t>
            </w:r>
            <w:r w:rsidR="00192290" w:rsidRPr="00242CE5">
              <w:rPr>
                <w:color w:val="000000" w:themeColor="text1"/>
              </w:rPr>
              <w:t>47</w:t>
            </w:r>
            <w:r w:rsidRPr="00242CE5">
              <w:rPr>
                <w:color w:val="000000" w:themeColor="text1"/>
              </w:rPr>
              <w:t>.</w:t>
            </w:r>
            <w:r w:rsidR="00192290" w:rsidRPr="00242CE5">
              <w:rPr>
                <w:color w:val="000000" w:themeColor="text1"/>
              </w:rPr>
              <w:t>11</w:t>
            </w:r>
          </w:p>
        </w:tc>
      </w:tr>
      <w:tr w:rsidR="00242CE5" w:rsidRPr="00242CE5" w14:paraId="5EF8E7CF" w14:textId="77777777" w:rsidTr="005C22A2">
        <w:tc>
          <w:tcPr>
            <w:tcW w:w="2809" w:type="dxa"/>
            <w:shd w:val="clear" w:color="auto" w:fill="auto"/>
          </w:tcPr>
          <w:p w14:paraId="5EF12EC1" w14:textId="77777777" w:rsidR="006C54CA" w:rsidRPr="00242CE5" w:rsidRDefault="006C54CA" w:rsidP="005C22A2">
            <w:pPr>
              <w:rPr>
                <w:color w:val="000000" w:themeColor="text1"/>
              </w:rPr>
            </w:pPr>
            <w:r w:rsidRPr="00242CE5">
              <w:rPr>
                <w:color w:val="000000" w:themeColor="text1"/>
              </w:rPr>
              <w:t>Normal neurological examination presenting with lameness</w:t>
            </w:r>
          </w:p>
        </w:tc>
        <w:tc>
          <w:tcPr>
            <w:tcW w:w="1014" w:type="dxa"/>
          </w:tcPr>
          <w:p w14:paraId="659B980C" w14:textId="77777777" w:rsidR="006C54CA" w:rsidRPr="00242CE5" w:rsidRDefault="006C54CA" w:rsidP="005C22A2">
            <w:pPr>
              <w:rPr>
                <w:b/>
                <w:bCs/>
                <w:color w:val="000000" w:themeColor="text1"/>
              </w:rPr>
            </w:pPr>
            <w:r w:rsidRPr="00242CE5">
              <w:rPr>
                <w:b/>
                <w:bCs/>
                <w:color w:val="000000" w:themeColor="text1"/>
              </w:rPr>
              <w:t>&lt;0.001</w:t>
            </w:r>
          </w:p>
        </w:tc>
        <w:tc>
          <w:tcPr>
            <w:tcW w:w="1134" w:type="dxa"/>
            <w:shd w:val="clear" w:color="auto" w:fill="auto"/>
          </w:tcPr>
          <w:p w14:paraId="1D2500D1" w14:textId="77777777" w:rsidR="006C54CA" w:rsidRPr="00242CE5" w:rsidRDefault="006C54CA" w:rsidP="005C22A2">
            <w:pPr>
              <w:rPr>
                <w:color w:val="000000" w:themeColor="text1"/>
              </w:rPr>
            </w:pPr>
            <w:r w:rsidRPr="00242CE5">
              <w:rPr>
                <w:color w:val="000000" w:themeColor="text1"/>
              </w:rPr>
              <w:t xml:space="preserve">80.0 </w:t>
            </w:r>
          </w:p>
        </w:tc>
        <w:tc>
          <w:tcPr>
            <w:tcW w:w="1701" w:type="dxa"/>
          </w:tcPr>
          <w:p w14:paraId="2F9D2074" w14:textId="77777777" w:rsidR="006C54CA" w:rsidRPr="00242CE5" w:rsidRDefault="006C54CA" w:rsidP="005C22A2">
            <w:pPr>
              <w:rPr>
                <w:color w:val="000000" w:themeColor="text1"/>
              </w:rPr>
            </w:pPr>
            <w:r w:rsidRPr="00242CE5">
              <w:rPr>
                <w:color w:val="000000" w:themeColor="text1"/>
              </w:rPr>
              <w:t>12.07 - 530.3</w:t>
            </w:r>
          </w:p>
        </w:tc>
        <w:tc>
          <w:tcPr>
            <w:tcW w:w="1134" w:type="dxa"/>
          </w:tcPr>
          <w:p w14:paraId="39F2C367" w14:textId="77777777" w:rsidR="006C54CA" w:rsidRPr="00242CE5" w:rsidRDefault="006C54CA" w:rsidP="005C22A2">
            <w:pPr>
              <w:rPr>
                <w:color w:val="000000" w:themeColor="text1"/>
              </w:rPr>
            </w:pPr>
            <w:r w:rsidRPr="00242CE5">
              <w:rPr>
                <w:color w:val="000000" w:themeColor="text1"/>
              </w:rPr>
              <w:t xml:space="preserve">10.29 </w:t>
            </w:r>
          </w:p>
        </w:tc>
        <w:tc>
          <w:tcPr>
            <w:tcW w:w="1558" w:type="dxa"/>
          </w:tcPr>
          <w:p w14:paraId="313F2847" w14:textId="77777777" w:rsidR="006C54CA" w:rsidRPr="00242CE5" w:rsidRDefault="006C54CA" w:rsidP="005C22A2">
            <w:pPr>
              <w:rPr>
                <w:color w:val="000000" w:themeColor="text1"/>
              </w:rPr>
            </w:pPr>
            <w:r w:rsidRPr="00242CE5">
              <w:rPr>
                <w:color w:val="000000" w:themeColor="text1"/>
              </w:rPr>
              <w:t>3.44 - 30.80</w:t>
            </w:r>
          </w:p>
        </w:tc>
      </w:tr>
    </w:tbl>
    <w:p w14:paraId="3CC63C85" w14:textId="47E60372" w:rsidR="006C54CA" w:rsidRPr="00242CE5" w:rsidRDefault="006C54CA" w:rsidP="006C54CA">
      <w:pPr>
        <w:jc w:val="both"/>
        <w:rPr>
          <w:color w:val="000000" w:themeColor="text1"/>
          <w:sz w:val="26"/>
          <w:szCs w:val="26"/>
        </w:rPr>
      </w:pPr>
      <w:r w:rsidRPr="00242CE5">
        <w:rPr>
          <w:color w:val="000000" w:themeColor="text1"/>
          <w:sz w:val="26"/>
          <w:szCs w:val="26"/>
        </w:rPr>
        <w:t>OR = Odd’s Ratio, RR = Relative Risk, CI = Confidence Intervals. Significant P-values in bold</w:t>
      </w:r>
      <w:r w:rsidR="00192290" w:rsidRPr="00242CE5">
        <w:rPr>
          <w:color w:val="000000" w:themeColor="text1"/>
          <w:sz w:val="26"/>
          <w:szCs w:val="26"/>
        </w:rPr>
        <w:t>,</w:t>
      </w:r>
      <w:r w:rsidRPr="00242CE5">
        <w:rPr>
          <w:color w:val="000000" w:themeColor="text1"/>
          <w:sz w:val="26"/>
          <w:szCs w:val="26"/>
        </w:rPr>
        <w:t xml:space="preserve"> </w:t>
      </w:r>
      <w:r w:rsidR="00192290" w:rsidRPr="00242CE5">
        <w:rPr>
          <w:color w:val="000000" w:themeColor="text1"/>
          <w:sz w:val="26"/>
          <w:szCs w:val="26"/>
        </w:rPr>
        <w:t>P</w:t>
      </w:r>
      <w:r w:rsidRPr="00242CE5">
        <w:rPr>
          <w:color w:val="000000" w:themeColor="text1"/>
          <w:sz w:val="26"/>
          <w:szCs w:val="26"/>
        </w:rPr>
        <w:t>&lt;0.05.</w:t>
      </w:r>
      <w:r w:rsidRPr="00242CE5">
        <w:rPr>
          <w:b/>
          <w:color w:val="000000" w:themeColor="text1"/>
          <w:sz w:val="26"/>
          <w:szCs w:val="26"/>
        </w:rPr>
        <w:br w:type="page"/>
      </w:r>
    </w:p>
    <w:p w14:paraId="460766E1" w14:textId="00A7B48D" w:rsidR="000851D8" w:rsidRPr="00242CE5" w:rsidRDefault="000851D8" w:rsidP="000851D8">
      <w:pPr>
        <w:jc w:val="both"/>
        <w:rPr>
          <w:b/>
          <w:color w:val="000000" w:themeColor="text1"/>
          <w:sz w:val="26"/>
          <w:szCs w:val="26"/>
        </w:rPr>
      </w:pPr>
      <w:r w:rsidRPr="00242CE5">
        <w:rPr>
          <w:b/>
          <w:color w:val="000000" w:themeColor="text1"/>
          <w:sz w:val="26"/>
          <w:szCs w:val="26"/>
        </w:rPr>
        <w:lastRenderedPageBreak/>
        <w:t>FIGURE LEGENDS</w:t>
      </w:r>
    </w:p>
    <w:p w14:paraId="123FF75D" w14:textId="0AF5302B" w:rsidR="000851D8" w:rsidRPr="00242CE5" w:rsidRDefault="00891073" w:rsidP="000851D8">
      <w:pPr>
        <w:jc w:val="both"/>
        <w:rPr>
          <w:color w:val="000000" w:themeColor="text1"/>
        </w:rPr>
      </w:pPr>
      <w:r w:rsidRPr="00242CE5">
        <w:rPr>
          <w:color w:val="000000" w:themeColor="text1"/>
        </w:rPr>
        <w:t xml:space="preserve">Figure </w:t>
      </w:r>
      <w:r w:rsidR="00C105C4" w:rsidRPr="00242CE5">
        <w:rPr>
          <w:color w:val="000000" w:themeColor="text1"/>
        </w:rPr>
        <w:t>1</w:t>
      </w:r>
      <w:r w:rsidRPr="00242CE5">
        <w:rPr>
          <w:color w:val="000000" w:themeColor="text1"/>
        </w:rPr>
        <w:t xml:space="preserve">: </w:t>
      </w:r>
      <w:r w:rsidR="00C965F5" w:rsidRPr="00242CE5">
        <w:rPr>
          <w:color w:val="000000" w:themeColor="text1"/>
        </w:rPr>
        <w:t xml:space="preserve">The total number of clinical signs observed over all cases divided into categories based on their final diagnosis. </w:t>
      </w:r>
      <w:r w:rsidR="00C105C4" w:rsidRPr="00242CE5">
        <w:rPr>
          <w:color w:val="000000" w:themeColor="text1"/>
        </w:rPr>
        <w:t xml:space="preserve">‘Pain’ includes spinal and general pain. ‘Seizures’ = epileptic seizures. </w:t>
      </w:r>
      <w:r w:rsidR="00307073" w:rsidRPr="00242CE5">
        <w:rPr>
          <w:color w:val="000000" w:themeColor="text1"/>
        </w:rPr>
        <w:t>General signs include anorexia, inappetence, lymphadenomegaly, weight loss, lethargy, pyrexia</w:t>
      </w:r>
      <w:r w:rsidR="006C13B5" w:rsidRPr="00242CE5">
        <w:rPr>
          <w:color w:val="000000" w:themeColor="text1"/>
        </w:rPr>
        <w:t xml:space="preserve"> and </w:t>
      </w:r>
      <w:r w:rsidR="00307073" w:rsidRPr="00242CE5">
        <w:rPr>
          <w:color w:val="000000" w:themeColor="text1"/>
        </w:rPr>
        <w:t xml:space="preserve">vomiting. </w:t>
      </w:r>
      <w:r w:rsidR="00BE7367" w:rsidRPr="00242CE5">
        <w:rPr>
          <w:color w:val="000000" w:themeColor="text1"/>
        </w:rPr>
        <w:t xml:space="preserve">Miscellaneous includes cough, difficulty opening </w:t>
      </w:r>
      <w:r w:rsidR="00C105C4" w:rsidRPr="00242CE5">
        <w:rPr>
          <w:color w:val="000000" w:themeColor="text1"/>
        </w:rPr>
        <w:t xml:space="preserve">the </w:t>
      </w:r>
      <w:r w:rsidR="00BE7367" w:rsidRPr="00242CE5">
        <w:rPr>
          <w:color w:val="000000" w:themeColor="text1"/>
        </w:rPr>
        <w:t xml:space="preserve">jaw, facial swelling, </w:t>
      </w:r>
      <w:r w:rsidR="00C105C4" w:rsidRPr="00242CE5">
        <w:rPr>
          <w:color w:val="000000" w:themeColor="text1"/>
        </w:rPr>
        <w:t xml:space="preserve">presence of a </w:t>
      </w:r>
      <w:r w:rsidR="00BE7367" w:rsidRPr="00242CE5">
        <w:rPr>
          <w:color w:val="000000" w:themeColor="text1"/>
        </w:rPr>
        <w:t>mass, panting, facial irritation</w:t>
      </w:r>
      <w:r w:rsidR="00C105C4" w:rsidRPr="00242CE5">
        <w:rPr>
          <w:color w:val="000000" w:themeColor="text1"/>
        </w:rPr>
        <w:t xml:space="preserve"> and</w:t>
      </w:r>
      <w:r w:rsidR="00BE7367" w:rsidRPr="00242CE5">
        <w:rPr>
          <w:color w:val="000000" w:themeColor="text1"/>
        </w:rPr>
        <w:t xml:space="preserve"> hypersalivation. </w:t>
      </w:r>
      <w:r w:rsidR="00C105C4" w:rsidRPr="00242CE5">
        <w:rPr>
          <w:color w:val="000000" w:themeColor="text1"/>
        </w:rPr>
        <w:t xml:space="preserve">‘Ex intol’ = exercise intolerance. ‘Abnormal gait’ was a change in gait that was not defined specifically as ataxia, paresis, weakness or lameness by the clinician. ‘Muscle atrophy’ localised to a limb or specific muscle group. ‘Incontinence’ includes both urinary and faecal.  ‘Ophthalmological signs’ includes blindness and enophthalmus. </w:t>
      </w:r>
      <w:r w:rsidR="00C965F5" w:rsidRPr="00242CE5">
        <w:rPr>
          <w:color w:val="000000" w:themeColor="text1"/>
        </w:rPr>
        <w:t>Lameness is over-represented in neurological mimics, highlighted by the arrow and circled</w:t>
      </w:r>
      <w:r w:rsidR="00835B65" w:rsidRPr="00242CE5">
        <w:rPr>
          <w:color w:val="000000" w:themeColor="text1"/>
        </w:rPr>
        <w:t>.</w:t>
      </w:r>
    </w:p>
    <w:p w14:paraId="6E8822DB" w14:textId="77777777" w:rsidR="00307073" w:rsidRPr="00242CE5" w:rsidRDefault="00307073" w:rsidP="000851D8">
      <w:pPr>
        <w:jc w:val="both"/>
        <w:rPr>
          <w:color w:val="000000" w:themeColor="text1"/>
        </w:rPr>
      </w:pPr>
    </w:p>
    <w:p w14:paraId="224AD71D" w14:textId="0C7F7DC9" w:rsidR="000B78F1" w:rsidRPr="00AB2997" w:rsidRDefault="000B78F1" w:rsidP="000B78F1">
      <w:pPr>
        <w:jc w:val="both"/>
        <w:rPr>
          <w:i/>
        </w:rPr>
      </w:pPr>
      <w:r>
        <w:rPr>
          <w:color w:val="000000" w:themeColor="text1"/>
        </w:rPr>
        <w:t>Supplementary Table 1:</w:t>
      </w:r>
      <w:r w:rsidRPr="000B78F1">
        <w:t xml:space="preserve"> Details of orthopaedic cases diagnosed with cruciate ligament disease.</w:t>
      </w:r>
      <w:r>
        <w:t xml:space="preserve"> HL = hindlimb.</w:t>
      </w:r>
    </w:p>
    <w:p w14:paraId="24AB130D" w14:textId="174EDB13" w:rsidR="000B78F1" w:rsidRDefault="000B78F1" w:rsidP="000851D8">
      <w:pPr>
        <w:jc w:val="both"/>
        <w:rPr>
          <w:color w:val="000000" w:themeColor="text1"/>
        </w:rPr>
      </w:pPr>
    </w:p>
    <w:p w14:paraId="0E7DA9BA" w14:textId="09873FE6" w:rsidR="000851D8" w:rsidRPr="00242CE5" w:rsidRDefault="0021157D" w:rsidP="000851D8">
      <w:pPr>
        <w:jc w:val="both"/>
        <w:rPr>
          <w:color w:val="000000" w:themeColor="text1"/>
          <w:szCs w:val="26"/>
        </w:rPr>
      </w:pPr>
      <w:r w:rsidRPr="00242CE5">
        <w:rPr>
          <w:color w:val="000000" w:themeColor="text1"/>
        </w:rPr>
        <w:t xml:space="preserve">Supplementary </w:t>
      </w:r>
      <w:r w:rsidR="00891073" w:rsidRPr="00242CE5">
        <w:rPr>
          <w:color w:val="000000" w:themeColor="text1"/>
        </w:rPr>
        <w:t xml:space="preserve">Figure </w:t>
      </w:r>
      <w:r w:rsidRPr="00242CE5">
        <w:rPr>
          <w:color w:val="000000" w:themeColor="text1"/>
        </w:rPr>
        <w:t>1</w:t>
      </w:r>
      <w:r w:rsidR="00C965F5" w:rsidRPr="00242CE5">
        <w:rPr>
          <w:color w:val="000000" w:themeColor="text1"/>
        </w:rPr>
        <w:t>:</w:t>
      </w:r>
      <w:r w:rsidR="00741909" w:rsidRPr="00242CE5">
        <w:rPr>
          <w:color w:val="000000" w:themeColor="text1"/>
        </w:rPr>
        <w:t xml:space="preserve"> </w:t>
      </w:r>
      <w:r w:rsidR="00C965F5" w:rsidRPr="00242CE5">
        <w:rPr>
          <w:color w:val="000000" w:themeColor="text1"/>
          <w:szCs w:val="26"/>
        </w:rPr>
        <w:t>Neurological exam</w:t>
      </w:r>
      <w:r w:rsidR="006C13B5" w:rsidRPr="00242CE5">
        <w:rPr>
          <w:color w:val="000000" w:themeColor="text1"/>
          <w:szCs w:val="26"/>
        </w:rPr>
        <w:t>ination</w:t>
      </w:r>
      <w:r w:rsidR="00C965F5" w:rsidRPr="00242CE5">
        <w:rPr>
          <w:color w:val="000000" w:themeColor="text1"/>
          <w:szCs w:val="26"/>
        </w:rPr>
        <w:t xml:space="preserve"> result of neurological mimics and primary neurological conditions.</w:t>
      </w:r>
    </w:p>
    <w:p w14:paraId="05E4ED2F" w14:textId="77777777" w:rsidR="000851D8" w:rsidRPr="00242CE5" w:rsidRDefault="000851D8" w:rsidP="000851D8">
      <w:pPr>
        <w:jc w:val="both"/>
        <w:rPr>
          <w:color w:val="000000" w:themeColor="text1"/>
          <w:szCs w:val="26"/>
        </w:rPr>
      </w:pPr>
    </w:p>
    <w:p w14:paraId="3A6BE8C9" w14:textId="3DE8C68B" w:rsidR="000851D8" w:rsidRPr="00242CE5" w:rsidRDefault="0021157D" w:rsidP="00891073">
      <w:pPr>
        <w:jc w:val="both"/>
        <w:rPr>
          <w:color w:val="000000" w:themeColor="text1"/>
          <w:szCs w:val="26"/>
        </w:rPr>
      </w:pPr>
      <w:r w:rsidRPr="00242CE5">
        <w:rPr>
          <w:color w:val="000000" w:themeColor="text1"/>
          <w:szCs w:val="26"/>
        </w:rPr>
        <w:t>Supplementary Figure 2</w:t>
      </w:r>
      <w:r w:rsidR="00C938E6" w:rsidRPr="00242CE5">
        <w:rPr>
          <w:color w:val="000000" w:themeColor="text1"/>
          <w:szCs w:val="26"/>
        </w:rPr>
        <w:t>:</w:t>
      </w:r>
      <w:r w:rsidR="00891073" w:rsidRPr="00242CE5">
        <w:rPr>
          <w:color w:val="000000" w:themeColor="text1"/>
          <w:szCs w:val="26"/>
        </w:rPr>
        <w:t xml:space="preserve"> </w:t>
      </w:r>
      <w:r w:rsidR="000851D8" w:rsidRPr="00242CE5">
        <w:rPr>
          <w:color w:val="000000" w:themeColor="text1"/>
          <w:szCs w:val="26"/>
        </w:rPr>
        <w:t>The sex and neuter status of animals with a primary neurological or neurological mimic diagnosis.</w:t>
      </w:r>
    </w:p>
    <w:p w14:paraId="58CE3026" w14:textId="77777777" w:rsidR="000851D8" w:rsidRPr="00242CE5" w:rsidRDefault="000851D8" w:rsidP="000851D8">
      <w:pPr>
        <w:jc w:val="both"/>
        <w:rPr>
          <w:color w:val="000000" w:themeColor="text1"/>
          <w:szCs w:val="26"/>
        </w:rPr>
      </w:pPr>
    </w:p>
    <w:p w14:paraId="791A066E" w14:textId="452D7553" w:rsidR="000851D8" w:rsidRPr="00242CE5" w:rsidRDefault="0021157D" w:rsidP="000851D8">
      <w:pPr>
        <w:jc w:val="both"/>
        <w:rPr>
          <w:color w:val="000000" w:themeColor="text1"/>
          <w:szCs w:val="26"/>
        </w:rPr>
      </w:pPr>
      <w:r w:rsidRPr="00242CE5">
        <w:rPr>
          <w:color w:val="000000" w:themeColor="text1"/>
          <w:szCs w:val="26"/>
        </w:rPr>
        <w:t>Supplementary Figure 3:</w:t>
      </w:r>
      <w:r w:rsidR="000851D8" w:rsidRPr="00242CE5">
        <w:rPr>
          <w:color w:val="000000" w:themeColor="text1"/>
          <w:szCs w:val="26"/>
        </w:rPr>
        <w:t xml:space="preserve"> The age of animals (in years) with a primary neurological or neurological mimic diagnosis. ‘X’ year old includes all animals aged from ‘X’ year 0 months to ‘X’ year 11 months old.</w:t>
      </w:r>
    </w:p>
    <w:p w14:paraId="7675A7FD" w14:textId="77777777" w:rsidR="000851D8" w:rsidRPr="00242CE5" w:rsidRDefault="000851D8" w:rsidP="000851D8">
      <w:pPr>
        <w:jc w:val="both"/>
        <w:rPr>
          <w:color w:val="000000" w:themeColor="text1"/>
          <w:szCs w:val="26"/>
        </w:rPr>
      </w:pPr>
    </w:p>
    <w:p w14:paraId="70785B11" w14:textId="5A162DBD" w:rsidR="00762A25" w:rsidRPr="00242CE5" w:rsidRDefault="0021157D">
      <w:pPr>
        <w:jc w:val="both"/>
        <w:rPr>
          <w:color w:val="000000" w:themeColor="text1"/>
          <w:szCs w:val="26"/>
        </w:rPr>
      </w:pPr>
      <w:r w:rsidRPr="00242CE5">
        <w:rPr>
          <w:color w:val="000000" w:themeColor="text1"/>
          <w:szCs w:val="26"/>
        </w:rPr>
        <w:t>Supplementary Figure 4</w:t>
      </w:r>
      <w:r w:rsidR="000851D8" w:rsidRPr="00242CE5">
        <w:rPr>
          <w:color w:val="000000" w:themeColor="text1"/>
          <w:szCs w:val="26"/>
        </w:rPr>
        <w:t xml:space="preserve">: </w:t>
      </w:r>
      <w:r w:rsidR="00530564" w:rsidRPr="00242CE5">
        <w:rPr>
          <w:color w:val="000000" w:themeColor="text1"/>
          <w:szCs w:val="26"/>
        </w:rPr>
        <w:t xml:space="preserve">Classification </w:t>
      </w:r>
      <w:r w:rsidR="000851D8" w:rsidRPr="00242CE5">
        <w:rPr>
          <w:color w:val="000000" w:themeColor="text1"/>
          <w:szCs w:val="26"/>
        </w:rPr>
        <w:t>of neurological mimics into cats and breed of dog, compared to the number of these cases with a primary neurological diagnosis</w:t>
      </w:r>
      <w:r w:rsidR="00703150" w:rsidRPr="00242CE5">
        <w:rPr>
          <w:color w:val="000000" w:themeColor="text1"/>
          <w:szCs w:val="26"/>
        </w:rPr>
        <w:t xml:space="preserve">. </w:t>
      </w:r>
      <w:r w:rsidR="00762A25" w:rsidRPr="00242CE5">
        <w:rPr>
          <w:color w:val="000000" w:themeColor="text1"/>
          <w:szCs w:val="26"/>
        </w:rPr>
        <w:t xml:space="preserve">WHWT = West Highland White Terrier, SBT = Staffordshire Bull Terrier, GSD = German Shepherd Dog. </w:t>
      </w:r>
      <w:r w:rsidR="000851D8" w:rsidRPr="00242CE5">
        <w:rPr>
          <w:color w:val="000000" w:themeColor="text1"/>
          <w:szCs w:val="26"/>
        </w:rPr>
        <w:t xml:space="preserve">From left to right dog breeds are ordered roughly by increasing </w:t>
      </w:r>
      <w:r w:rsidR="00BE7367" w:rsidRPr="00242CE5">
        <w:rPr>
          <w:color w:val="000000" w:themeColor="text1"/>
          <w:szCs w:val="26"/>
        </w:rPr>
        <w:t>weight</w:t>
      </w:r>
      <w:r w:rsidR="000851D8" w:rsidRPr="00242CE5">
        <w:rPr>
          <w:color w:val="000000" w:themeColor="text1"/>
          <w:szCs w:val="26"/>
        </w:rPr>
        <w:t xml:space="preserve">, followed by crossbreeds and cats. </w:t>
      </w:r>
      <w:r w:rsidR="00762A25" w:rsidRPr="00242CE5">
        <w:rPr>
          <w:color w:val="000000" w:themeColor="text1"/>
        </w:rPr>
        <w:t>Due to the smaller number of cats, their breeds were not analysed separately in the figure. Primary neurological cases consisted of Domestic Shorthair (n=13), British Shorthair, Domestic Longhair and Maine Coon (n=2 each), Ragdoll and Scottish Fold (n=1 each). Neurological mimics were Domestic Shorthair (n=2) and Ragdoll (n=1).</w:t>
      </w:r>
      <w:r w:rsidR="00762A25" w:rsidRPr="00242CE5">
        <w:rPr>
          <w:color w:val="000000" w:themeColor="text1"/>
          <w:szCs w:val="26"/>
        </w:rPr>
        <w:t xml:space="preserve"> </w:t>
      </w:r>
    </w:p>
    <w:sectPr w:rsidR="00762A25" w:rsidRPr="00242CE5" w:rsidSect="006C54CA">
      <w:headerReference w:type="even" r:id="rId9"/>
      <w:headerReference w:type="default" r:id="rId10"/>
      <w:footerReference w:type="even" r:id="rId11"/>
      <w:footerReference w:type="default" r:id="rId12"/>
      <w:endnotePr>
        <w:numFmt w:val="decimal"/>
      </w:endnotePr>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7479" w14:textId="77777777" w:rsidR="002C59D0" w:rsidRDefault="002C59D0">
      <w:pPr>
        <w:spacing w:after="0" w:line="240" w:lineRule="auto"/>
      </w:pPr>
      <w:r>
        <w:separator/>
      </w:r>
    </w:p>
  </w:endnote>
  <w:endnote w:type="continuationSeparator" w:id="0">
    <w:p w14:paraId="4DC7D9A5" w14:textId="77777777" w:rsidR="002C59D0" w:rsidRDefault="002C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603703"/>
      <w:docPartObj>
        <w:docPartGallery w:val="Page Numbers (Bottom of Page)"/>
        <w:docPartUnique/>
      </w:docPartObj>
    </w:sdtPr>
    <w:sdtEndPr>
      <w:rPr>
        <w:rStyle w:val="PageNumber"/>
      </w:rPr>
    </w:sdtEndPr>
    <w:sdtContent>
      <w:p w14:paraId="1D3DCC67" w14:textId="6BCDFAC4" w:rsidR="00063B7B" w:rsidRDefault="00063B7B" w:rsidP="000211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3C15C" w14:textId="77777777" w:rsidR="00063B7B" w:rsidRDefault="00063B7B" w:rsidP="00063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F7E9" w14:textId="77777777" w:rsidR="00063B7B" w:rsidRDefault="00063B7B" w:rsidP="00063B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5694" w14:textId="77777777" w:rsidR="002C59D0" w:rsidRDefault="002C59D0">
      <w:pPr>
        <w:spacing w:after="0" w:line="240" w:lineRule="auto"/>
      </w:pPr>
      <w:r>
        <w:separator/>
      </w:r>
    </w:p>
  </w:footnote>
  <w:footnote w:type="continuationSeparator" w:id="0">
    <w:p w14:paraId="51C90418" w14:textId="77777777" w:rsidR="002C59D0" w:rsidRDefault="002C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849017"/>
      <w:docPartObj>
        <w:docPartGallery w:val="Page Numbers (Top of Page)"/>
        <w:docPartUnique/>
      </w:docPartObj>
    </w:sdtPr>
    <w:sdtEndPr>
      <w:rPr>
        <w:rStyle w:val="PageNumber"/>
      </w:rPr>
    </w:sdtEndPr>
    <w:sdtContent>
      <w:p w14:paraId="70687018" w14:textId="77777777" w:rsidR="006411F6" w:rsidRDefault="006411F6" w:rsidP="00063B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131D7" w14:textId="77777777" w:rsidR="006411F6" w:rsidRDefault="006411F6" w:rsidP="00083B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593057"/>
      <w:docPartObj>
        <w:docPartGallery w:val="Page Numbers (Top of Page)"/>
        <w:docPartUnique/>
      </w:docPartObj>
    </w:sdtPr>
    <w:sdtEndPr>
      <w:rPr>
        <w:rStyle w:val="PageNumber"/>
      </w:rPr>
    </w:sdtEndPr>
    <w:sdtContent>
      <w:p w14:paraId="6491314E" w14:textId="2E2D5DA8" w:rsidR="00063B7B" w:rsidRDefault="00063B7B" w:rsidP="000211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48D385" w14:textId="77777777" w:rsidR="006411F6" w:rsidRDefault="006411F6" w:rsidP="00083B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276"/>
    <w:multiLevelType w:val="hybridMultilevel"/>
    <w:tmpl w:val="6AAC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426CF"/>
    <w:multiLevelType w:val="multilevel"/>
    <w:tmpl w:val="0D7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D8"/>
    <w:rsid w:val="00007750"/>
    <w:rsid w:val="00051935"/>
    <w:rsid w:val="00061443"/>
    <w:rsid w:val="00063B7B"/>
    <w:rsid w:val="000643E5"/>
    <w:rsid w:val="000761B2"/>
    <w:rsid w:val="00083B84"/>
    <w:rsid w:val="000851D8"/>
    <w:rsid w:val="000B78F1"/>
    <w:rsid w:val="000D1AAE"/>
    <w:rsid w:val="000D46A9"/>
    <w:rsid w:val="000E5CF1"/>
    <w:rsid w:val="000E6631"/>
    <w:rsid w:val="000F0ED2"/>
    <w:rsid w:val="00150BD1"/>
    <w:rsid w:val="001552CF"/>
    <w:rsid w:val="001561A0"/>
    <w:rsid w:val="00157116"/>
    <w:rsid w:val="00167B46"/>
    <w:rsid w:val="00172843"/>
    <w:rsid w:val="00173EE5"/>
    <w:rsid w:val="0018287E"/>
    <w:rsid w:val="001906B9"/>
    <w:rsid w:val="00192290"/>
    <w:rsid w:val="00196C32"/>
    <w:rsid w:val="001A68AA"/>
    <w:rsid w:val="001C0221"/>
    <w:rsid w:val="001C12D3"/>
    <w:rsid w:val="001F1E59"/>
    <w:rsid w:val="001F730E"/>
    <w:rsid w:val="0020201B"/>
    <w:rsid w:val="0021157D"/>
    <w:rsid w:val="00217202"/>
    <w:rsid w:val="002235A4"/>
    <w:rsid w:val="00234F04"/>
    <w:rsid w:val="00242217"/>
    <w:rsid w:val="00242CE5"/>
    <w:rsid w:val="00262E7E"/>
    <w:rsid w:val="00277758"/>
    <w:rsid w:val="002A1E4C"/>
    <w:rsid w:val="002A3513"/>
    <w:rsid w:val="002B26FB"/>
    <w:rsid w:val="002B30EA"/>
    <w:rsid w:val="002C34DF"/>
    <w:rsid w:val="002C59D0"/>
    <w:rsid w:val="002E36A1"/>
    <w:rsid w:val="002E37AF"/>
    <w:rsid w:val="002F25E1"/>
    <w:rsid w:val="002F26E6"/>
    <w:rsid w:val="00304A0C"/>
    <w:rsid w:val="0030689B"/>
    <w:rsid w:val="00307073"/>
    <w:rsid w:val="003138C8"/>
    <w:rsid w:val="00320B04"/>
    <w:rsid w:val="00347486"/>
    <w:rsid w:val="00367651"/>
    <w:rsid w:val="0037332B"/>
    <w:rsid w:val="003810B0"/>
    <w:rsid w:val="00384C9A"/>
    <w:rsid w:val="00393B3C"/>
    <w:rsid w:val="003952DA"/>
    <w:rsid w:val="00396C44"/>
    <w:rsid w:val="00396DAD"/>
    <w:rsid w:val="003A22B0"/>
    <w:rsid w:val="003A22B3"/>
    <w:rsid w:val="003A3573"/>
    <w:rsid w:val="003C642A"/>
    <w:rsid w:val="003E290F"/>
    <w:rsid w:val="00405234"/>
    <w:rsid w:val="00405796"/>
    <w:rsid w:val="00415CB8"/>
    <w:rsid w:val="00444E28"/>
    <w:rsid w:val="00446C06"/>
    <w:rsid w:val="00467F8B"/>
    <w:rsid w:val="0047535F"/>
    <w:rsid w:val="00477F2F"/>
    <w:rsid w:val="00484CA9"/>
    <w:rsid w:val="00484D0F"/>
    <w:rsid w:val="004C67DC"/>
    <w:rsid w:val="004F385A"/>
    <w:rsid w:val="004F71DD"/>
    <w:rsid w:val="005004BE"/>
    <w:rsid w:val="00523032"/>
    <w:rsid w:val="00527A0D"/>
    <w:rsid w:val="00530564"/>
    <w:rsid w:val="00554009"/>
    <w:rsid w:val="00577324"/>
    <w:rsid w:val="00582220"/>
    <w:rsid w:val="005B1361"/>
    <w:rsid w:val="005C299B"/>
    <w:rsid w:val="005C480B"/>
    <w:rsid w:val="00623248"/>
    <w:rsid w:val="00626635"/>
    <w:rsid w:val="0063593B"/>
    <w:rsid w:val="006411F6"/>
    <w:rsid w:val="00670F11"/>
    <w:rsid w:val="00693964"/>
    <w:rsid w:val="0069436A"/>
    <w:rsid w:val="006A21CD"/>
    <w:rsid w:val="006C13B5"/>
    <w:rsid w:val="006C54CA"/>
    <w:rsid w:val="006D7360"/>
    <w:rsid w:val="007011EA"/>
    <w:rsid w:val="00703150"/>
    <w:rsid w:val="007101F7"/>
    <w:rsid w:val="00730440"/>
    <w:rsid w:val="00741909"/>
    <w:rsid w:val="00762A25"/>
    <w:rsid w:val="00790192"/>
    <w:rsid w:val="007B0C9E"/>
    <w:rsid w:val="007D2F3A"/>
    <w:rsid w:val="007F0F37"/>
    <w:rsid w:val="008012DB"/>
    <w:rsid w:val="00811768"/>
    <w:rsid w:val="00835B65"/>
    <w:rsid w:val="00846D8B"/>
    <w:rsid w:val="00864EF6"/>
    <w:rsid w:val="00891073"/>
    <w:rsid w:val="008941CA"/>
    <w:rsid w:val="00896B1C"/>
    <w:rsid w:val="008B4E09"/>
    <w:rsid w:val="008B797A"/>
    <w:rsid w:val="008C08E7"/>
    <w:rsid w:val="008C7F13"/>
    <w:rsid w:val="008D52ED"/>
    <w:rsid w:val="0090079D"/>
    <w:rsid w:val="009303C3"/>
    <w:rsid w:val="00932EFD"/>
    <w:rsid w:val="0093634F"/>
    <w:rsid w:val="009367B1"/>
    <w:rsid w:val="00977EAA"/>
    <w:rsid w:val="00987669"/>
    <w:rsid w:val="00996386"/>
    <w:rsid w:val="009A252D"/>
    <w:rsid w:val="009A4298"/>
    <w:rsid w:val="009C4AAE"/>
    <w:rsid w:val="009E7303"/>
    <w:rsid w:val="009F5393"/>
    <w:rsid w:val="00A2444B"/>
    <w:rsid w:val="00A45A4B"/>
    <w:rsid w:val="00A56B26"/>
    <w:rsid w:val="00A634EA"/>
    <w:rsid w:val="00A800D0"/>
    <w:rsid w:val="00A81109"/>
    <w:rsid w:val="00A9585D"/>
    <w:rsid w:val="00AA3854"/>
    <w:rsid w:val="00AB0290"/>
    <w:rsid w:val="00AB2997"/>
    <w:rsid w:val="00AB3594"/>
    <w:rsid w:val="00AC5560"/>
    <w:rsid w:val="00AF1FED"/>
    <w:rsid w:val="00B411C8"/>
    <w:rsid w:val="00B53BE5"/>
    <w:rsid w:val="00B57287"/>
    <w:rsid w:val="00B7054A"/>
    <w:rsid w:val="00B70938"/>
    <w:rsid w:val="00B82995"/>
    <w:rsid w:val="00B9143C"/>
    <w:rsid w:val="00BA049C"/>
    <w:rsid w:val="00BA7CC3"/>
    <w:rsid w:val="00BB41B5"/>
    <w:rsid w:val="00BB72AD"/>
    <w:rsid w:val="00BC540A"/>
    <w:rsid w:val="00BD4DB0"/>
    <w:rsid w:val="00BD5BFF"/>
    <w:rsid w:val="00BE4223"/>
    <w:rsid w:val="00BE7367"/>
    <w:rsid w:val="00BF5CD0"/>
    <w:rsid w:val="00BF5F4E"/>
    <w:rsid w:val="00C00277"/>
    <w:rsid w:val="00C105C4"/>
    <w:rsid w:val="00C31533"/>
    <w:rsid w:val="00C41BE5"/>
    <w:rsid w:val="00C53F95"/>
    <w:rsid w:val="00C545EA"/>
    <w:rsid w:val="00C71C27"/>
    <w:rsid w:val="00C80AA4"/>
    <w:rsid w:val="00C85979"/>
    <w:rsid w:val="00C86C46"/>
    <w:rsid w:val="00C938E6"/>
    <w:rsid w:val="00C965F5"/>
    <w:rsid w:val="00C96D40"/>
    <w:rsid w:val="00CA148D"/>
    <w:rsid w:val="00CA7498"/>
    <w:rsid w:val="00CD4A7F"/>
    <w:rsid w:val="00D2575E"/>
    <w:rsid w:val="00D302AC"/>
    <w:rsid w:val="00D604F5"/>
    <w:rsid w:val="00D667FA"/>
    <w:rsid w:val="00D70BCE"/>
    <w:rsid w:val="00D928B9"/>
    <w:rsid w:val="00D92A66"/>
    <w:rsid w:val="00DA3CEC"/>
    <w:rsid w:val="00DB1A5A"/>
    <w:rsid w:val="00DE1537"/>
    <w:rsid w:val="00E0291C"/>
    <w:rsid w:val="00E040BF"/>
    <w:rsid w:val="00E15300"/>
    <w:rsid w:val="00E24695"/>
    <w:rsid w:val="00E25CD6"/>
    <w:rsid w:val="00E4175D"/>
    <w:rsid w:val="00E4703D"/>
    <w:rsid w:val="00E70F3A"/>
    <w:rsid w:val="00E72BF1"/>
    <w:rsid w:val="00E74C62"/>
    <w:rsid w:val="00E775B1"/>
    <w:rsid w:val="00EA0CF4"/>
    <w:rsid w:val="00EA4B2E"/>
    <w:rsid w:val="00EB1410"/>
    <w:rsid w:val="00EB510A"/>
    <w:rsid w:val="00ED1074"/>
    <w:rsid w:val="00EE2BEB"/>
    <w:rsid w:val="00F04461"/>
    <w:rsid w:val="00F10CD2"/>
    <w:rsid w:val="00F12369"/>
    <w:rsid w:val="00F24014"/>
    <w:rsid w:val="00F36856"/>
    <w:rsid w:val="00F46E6C"/>
    <w:rsid w:val="00F61D9C"/>
    <w:rsid w:val="00F901B4"/>
    <w:rsid w:val="00FB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C376"/>
  <w15:chartTrackingRefBased/>
  <w15:docId w15:val="{AF6CC22E-BF10-774B-A5D8-F6EFEC09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D8"/>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1D8"/>
    <w:pPr>
      <w:spacing w:after="16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851D8"/>
    <w:rPr>
      <w:sz w:val="20"/>
      <w:szCs w:val="20"/>
    </w:rPr>
  </w:style>
  <w:style w:type="character" w:customStyle="1" w:styleId="EndnoteTextChar">
    <w:name w:val="Endnote Text Char"/>
    <w:basedOn w:val="DefaultParagraphFont"/>
    <w:link w:val="EndnoteText"/>
    <w:uiPriority w:val="99"/>
    <w:rsid w:val="000851D8"/>
    <w:rPr>
      <w:sz w:val="20"/>
      <w:szCs w:val="20"/>
    </w:rPr>
  </w:style>
  <w:style w:type="paragraph" w:styleId="Header">
    <w:name w:val="header"/>
    <w:basedOn w:val="Normal"/>
    <w:link w:val="HeaderChar"/>
    <w:uiPriority w:val="99"/>
    <w:unhideWhenUsed/>
    <w:rsid w:val="000851D8"/>
    <w:pPr>
      <w:tabs>
        <w:tab w:val="center" w:pos="4680"/>
        <w:tab w:val="right" w:pos="9360"/>
      </w:tabs>
    </w:pPr>
  </w:style>
  <w:style w:type="character" w:customStyle="1" w:styleId="HeaderChar">
    <w:name w:val="Header Char"/>
    <w:basedOn w:val="DefaultParagraphFont"/>
    <w:link w:val="Header"/>
    <w:uiPriority w:val="99"/>
    <w:rsid w:val="000851D8"/>
  </w:style>
  <w:style w:type="character" w:styleId="PageNumber">
    <w:name w:val="page number"/>
    <w:basedOn w:val="DefaultParagraphFont"/>
    <w:uiPriority w:val="99"/>
    <w:semiHidden/>
    <w:unhideWhenUsed/>
    <w:rsid w:val="000851D8"/>
  </w:style>
  <w:style w:type="character" w:styleId="CommentReference">
    <w:name w:val="annotation reference"/>
    <w:basedOn w:val="DefaultParagraphFont"/>
    <w:uiPriority w:val="99"/>
    <w:semiHidden/>
    <w:unhideWhenUsed/>
    <w:rsid w:val="000851D8"/>
    <w:rPr>
      <w:sz w:val="18"/>
      <w:szCs w:val="18"/>
    </w:rPr>
  </w:style>
  <w:style w:type="paragraph" w:styleId="CommentText">
    <w:name w:val="annotation text"/>
    <w:basedOn w:val="Normal"/>
    <w:link w:val="CommentTextChar"/>
    <w:uiPriority w:val="99"/>
    <w:semiHidden/>
    <w:unhideWhenUsed/>
    <w:rsid w:val="000851D8"/>
    <w:pPr>
      <w:spacing w:line="240" w:lineRule="auto"/>
    </w:pPr>
  </w:style>
  <w:style w:type="character" w:customStyle="1" w:styleId="CommentTextChar">
    <w:name w:val="Comment Text Char"/>
    <w:basedOn w:val="DefaultParagraphFont"/>
    <w:link w:val="CommentText"/>
    <w:uiPriority w:val="99"/>
    <w:semiHidden/>
    <w:rsid w:val="000851D8"/>
  </w:style>
  <w:style w:type="paragraph" w:styleId="BalloonText">
    <w:name w:val="Balloon Text"/>
    <w:basedOn w:val="Normal"/>
    <w:link w:val="BalloonTextChar"/>
    <w:uiPriority w:val="99"/>
    <w:semiHidden/>
    <w:unhideWhenUsed/>
    <w:rsid w:val="000851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1D8"/>
    <w:rPr>
      <w:rFonts w:ascii="Times New Roman" w:hAnsi="Times New Roman" w:cs="Times New Roman"/>
      <w:sz w:val="18"/>
      <w:szCs w:val="18"/>
    </w:rPr>
  </w:style>
  <w:style w:type="character" w:styleId="LineNumber">
    <w:name w:val="line number"/>
    <w:basedOn w:val="DefaultParagraphFont"/>
    <w:uiPriority w:val="99"/>
    <w:semiHidden/>
    <w:unhideWhenUsed/>
    <w:rsid w:val="000851D8"/>
  </w:style>
  <w:style w:type="paragraph" w:styleId="Revision">
    <w:name w:val="Revision"/>
    <w:hidden/>
    <w:uiPriority w:val="99"/>
    <w:semiHidden/>
    <w:rsid w:val="002F26E6"/>
  </w:style>
  <w:style w:type="paragraph" w:styleId="NormalWeb">
    <w:name w:val="Normal (Web)"/>
    <w:basedOn w:val="Normal"/>
    <w:uiPriority w:val="99"/>
    <w:semiHidden/>
    <w:unhideWhenUsed/>
    <w:rsid w:val="0020201B"/>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20201B"/>
  </w:style>
  <w:style w:type="paragraph" w:styleId="CommentSubject">
    <w:name w:val="annotation subject"/>
    <w:basedOn w:val="CommentText"/>
    <w:next w:val="CommentText"/>
    <w:link w:val="CommentSubjectChar"/>
    <w:uiPriority w:val="99"/>
    <w:semiHidden/>
    <w:unhideWhenUsed/>
    <w:rsid w:val="00F36856"/>
    <w:rPr>
      <w:b/>
      <w:bCs/>
      <w:sz w:val="20"/>
      <w:szCs w:val="20"/>
    </w:rPr>
  </w:style>
  <w:style w:type="character" w:customStyle="1" w:styleId="CommentSubjectChar">
    <w:name w:val="Comment Subject Char"/>
    <w:basedOn w:val="CommentTextChar"/>
    <w:link w:val="CommentSubject"/>
    <w:uiPriority w:val="99"/>
    <w:semiHidden/>
    <w:rsid w:val="00F36856"/>
    <w:rPr>
      <w:b/>
      <w:bCs/>
      <w:sz w:val="20"/>
      <w:szCs w:val="20"/>
    </w:rPr>
  </w:style>
  <w:style w:type="character" w:styleId="Hyperlink">
    <w:name w:val="Hyperlink"/>
    <w:basedOn w:val="DefaultParagraphFont"/>
    <w:uiPriority w:val="99"/>
    <w:unhideWhenUsed/>
    <w:rsid w:val="00217202"/>
    <w:rPr>
      <w:color w:val="0563C1" w:themeColor="hyperlink"/>
      <w:u w:val="single"/>
    </w:rPr>
  </w:style>
  <w:style w:type="character" w:styleId="UnresolvedMention">
    <w:name w:val="Unresolved Mention"/>
    <w:basedOn w:val="DefaultParagraphFont"/>
    <w:uiPriority w:val="99"/>
    <w:semiHidden/>
    <w:unhideWhenUsed/>
    <w:rsid w:val="00217202"/>
    <w:rPr>
      <w:color w:val="605E5C"/>
      <w:shd w:val="clear" w:color="auto" w:fill="E1DFDD"/>
    </w:rPr>
  </w:style>
  <w:style w:type="character" w:styleId="SubtleEmphasis">
    <w:name w:val="Subtle Emphasis"/>
    <w:basedOn w:val="DefaultParagraphFont"/>
    <w:uiPriority w:val="19"/>
    <w:qFormat/>
    <w:rsid w:val="00AF1FED"/>
    <w:rPr>
      <w:i/>
      <w:iCs/>
      <w:color w:val="404040" w:themeColor="text1" w:themeTint="BF"/>
    </w:rPr>
  </w:style>
  <w:style w:type="paragraph" w:styleId="ListParagraph">
    <w:name w:val="List Paragraph"/>
    <w:basedOn w:val="Normal"/>
    <w:uiPriority w:val="34"/>
    <w:qFormat/>
    <w:rsid w:val="00582220"/>
    <w:pPr>
      <w:spacing w:after="0" w:line="240" w:lineRule="auto"/>
      <w:ind w:left="720"/>
      <w:contextualSpacing/>
    </w:pPr>
  </w:style>
  <w:style w:type="paragraph" w:styleId="Footer">
    <w:name w:val="footer"/>
    <w:basedOn w:val="Normal"/>
    <w:link w:val="FooterChar"/>
    <w:uiPriority w:val="99"/>
    <w:unhideWhenUsed/>
    <w:rsid w:val="00FB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705">
      <w:bodyDiv w:val="1"/>
      <w:marLeft w:val="0"/>
      <w:marRight w:val="0"/>
      <w:marTop w:val="0"/>
      <w:marBottom w:val="0"/>
      <w:divBdr>
        <w:top w:val="none" w:sz="0" w:space="0" w:color="auto"/>
        <w:left w:val="none" w:sz="0" w:space="0" w:color="auto"/>
        <w:bottom w:val="none" w:sz="0" w:space="0" w:color="auto"/>
        <w:right w:val="none" w:sz="0" w:space="0" w:color="auto"/>
      </w:divBdr>
      <w:divsChild>
        <w:div w:id="597951711">
          <w:marLeft w:val="0"/>
          <w:marRight w:val="0"/>
          <w:marTop w:val="0"/>
          <w:marBottom w:val="0"/>
          <w:divBdr>
            <w:top w:val="none" w:sz="0" w:space="0" w:color="auto"/>
            <w:left w:val="none" w:sz="0" w:space="0" w:color="auto"/>
            <w:bottom w:val="none" w:sz="0" w:space="0" w:color="auto"/>
            <w:right w:val="none" w:sz="0" w:space="0" w:color="auto"/>
          </w:divBdr>
        </w:div>
        <w:div w:id="1696079887">
          <w:marLeft w:val="0"/>
          <w:marRight w:val="0"/>
          <w:marTop w:val="0"/>
          <w:marBottom w:val="0"/>
          <w:divBdr>
            <w:top w:val="none" w:sz="0" w:space="0" w:color="auto"/>
            <w:left w:val="none" w:sz="0" w:space="0" w:color="auto"/>
            <w:bottom w:val="none" w:sz="0" w:space="0" w:color="auto"/>
            <w:right w:val="none" w:sz="0" w:space="0" w:color="auto"/>
          </w:divBdr>
        </w:div>
      </w:divsChild>
    </w:div>
    <w:div w:id="220528785">
      <w:bodyDiv w:val="1"/>
      <w:marLeft w:val="0"/>
      <w:marRight w:val="0"/>
      <w:marTop w:val="0"/>
      <w:marBottom w:val="0"/>
      <w:divBdr>
        <w:top w:val="none" w:sz="0" w:space="0" w:color="auto"/>
        <w:left w:val="none" w:sz="0" w:space="0" w:color="auto"/>
        <w:bottom w:val="none" w:sz="0" w:space="0" w:color="auto"/>
        <w:right w:val="none" w:sz="0" w:space="0" w:color="auto"/>
      </w:divBdr>
      <w:divsChild>
        <w:div w:id="349339077">
          <w:marLeft w:val="0"/>
          <w:marRight w:val="0"/>
          <w:marTop w:val="0"/>
          <w:marBottom w:val="0"/>
          <w:divBdr>
            <w:top w:val="none" w:sz="0" w:space="0" w:color="auto"/>
            <w:left w:val="none" w:sz="0" w:space="0" w:color="auto"/>
            <w:bottom w:val="none" w:sz="0" w:space="0" w:color="auto"/>
            <w:right w:val="none" w:sz="0" w:space="0" w:color="auto"/>
          </w:divBdr>
          <w:divsChild>
            <w:div w:id="421537842">
              <w:marLeft w:val="0"/>
              <w:marRight w:val="0"/>
              <w:marTop w:val="0"/>
              <w:marBottom w:val="0"/>
              <w:divBdr>
                <w:top w:val="none" w:sz="0" w:space="0" w:color="auto"/>
                <w:left w:val="none" w:sz="0" w:space="0" w:color="auto"/>
                <w:bottom w:val="none" w:sz="0" w:space="0" w:color="auto"/>
                <w:right w:val="none" w:sz="0" w:space="0" w:color="auto"/>
              </w:divBdr>
              <w:divsChild>
                <w:div w:id="6317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0567">
      <w:bodyDiv w:val="1"/>
      <w:marLeft w:val="0"/>
      <w:marRight w:val="0"/>
      <w:marTop w:val="0"/>
      <w:marBottom w:val="0"/>
      <w:divBdr>
        <w:top w:val="none" w:sz="0" w:space="0" w:color="auto"/>
        <w:left w:val="none" w:sz="0" w:space="0" w:color="auto"/>
        <w:bottom w:val="none" w:sz="0" w:space="0" w:color="auto"/>
        <w:right w:val="none" w:sz="0" w:space="0" w:color="auto"/>
      </w:divBdr>
    </w:div>
    <w:div w:id="322899202">
      <w:bodyDiv w:val="1"/>
      <w:marLeft w:val="0"/>
      <w:marRight w:val="0"/>
      <w:marTop w:val="0"/>
      <w:marBottom w:val="0"/>
      <w:divBdr>
        <w:top w:val="none" w:sz="0" w:space="0" w:color="auto"/>
        <w:left w:val="none" w:sz="0" w:space="0" w:color="auto"/>
        <w:bottom w:val="none" w:sz="0" w:space="0" w:color="auto"/>
        <w:right w:val="none" w:sz="0" w:space="0" w:color="auto"/>
      </w:divBdr>
    </w:div>
    <w:div w:id="393166974">
      <w:bodyDiv w:val="1"/>
      <w:marLeft w:val="0"/>
      <w:marRight w:val="0"/>
      <w:marTop w:val="0"/>
      <w:marBottom w:val="0"/>
      <w:divBdr>
        <w:top w:val="none" w:sz="0" w:space="0" w:color="auto"/>
        <w:left w:val="none" w:sz="0" w:space="0" w:color="auto"/>
        <w:bottom w:val="none" w:sz="0" w:space="0" w:color="auto"/>
        <w:right w:val="none" w:sz="0" w:space="0" w:color="auto"/>
      </w:divBdr>
    </w:div>
    <w:div w:id="453910296">
      <w:bodyDiv w:val="1"/>
      <w:marLeft w:val="0"/>
      <w:marRight w:val="0"/>
      <w:marTop w:val="0"/>
      <w:marBottom w:val="0"/>
      <w:divBdr>
        <w:top w:val="none" w:sz="0" w:space="0" w:color="auto"/>
        <w:left w:val="none" w:sz="0" w:space="0" w:color="auto"/>
        <w:bottom w:val="none" w:sz="0" w:space="0" w:color="auto"/>
        <w:right w:val="none" w:sz="0" w:space="0" w:color="auto"/>
      </w:divBdr>
    </w:div>
    <w:div w:id="488787139">
      <w:bodyDiv w:val="1"/>
      <w:marLeft w:val="0"/>
      <w:marRight w:val="0"/>
      <w:marTop w:val="0"/>
      <w:marBottom w:val="0"/>
      <w:divBdr>
        <w:top w:val="none" w:sz="0" w:space="0" w:color="auto"/>
        <w:left w:val="none" w:sz="0" w:space="0" w:color="auto"/>
        <w:bottom w:val="none" w:sz="0" w:space="0" w:color="auto"/>
        <w:right w:val="none" w:sz="0" w:space="0" w:color="auto"/>
      </w:divBdr>
      <w:divsChild>
        <w:div w:id="2037610729">
          <w:marLeft w:val="0"/>
          <w:marRight w:val="0"/>
          <w:marTop w:val="0"/>
          <w:marBottom w:val="0"/>
          <w:divBdr>
            <w:top w:val="none" w:sz="0" w:space="0" w:color="auto"/>
            <w:left w:val="none" w:sz="0" w:space="0" w:color="auto"/>
            <w:bottom w:val="none" w:sz="0" w:space="0" w:color="auto"/>
            <w:right w:val="none" w:sz="0" w:space="0" w:color="auto"/>
          </w:divBdr>
          <w:divsChild>
            <w:div w:id="109055163">
              <w:marLeft w:val="0"/>
              <w:marRight w:val="0"/>
              <w:marTop w:val="0"/>
              <w:marBottom w:val="0"/>
              <w:divBdr>
                <w:top w:val="none" w:sz="0" w:space="0" w:color="auto"/>
                <w:left w:val="none" w:sz="0" w:space="0" w:color="auto"/>
                <w:bottom w:val="none" w:sz="0" w:space="0" w:color="auto"/>
                <w:right w:val="none" w:sz="0" w:space="0" w:color="auto"/>
              </w:divBdr>
              <w:divsChild>
                <w:div w:id="1161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1700">
      <w:bodyDiv w:val="1"/>
      <w:marLeft w:val="0"/>
      <w:marRight w:val="0"/>
      <w:marTop w:val="0"/>
      <w:marBottom w:val="0"/>
      <w:divBdr>
        <w:top w:val="none" w:sz="0" w:space="0" w:color="auto"/>
        <w:left w:val="none" w:sz="0" w:space="0" w:color="auto"/>
        <w:bottom w:val="none" w:sz="0" w:space="0" w:color="auto"/>
        <w:right w:val="none" w:sz="0" w:space="0" w:color="auto"/>
      </w:divBdr>
    </w:div>
    <w:div w:id="583684316">
      <w:bodyDiv w:val="1"/>
      <w:marLeft w:val="0"/>
      <w:marRight w:val="0"/>
      <w:marTop w:val="0"/>
      <w:marBottom w:val="0"/>
      <w:divBdr>
        <w:top w:val="none" w:sz="0" w:space="0" w:color="auto"/>
        <w:left w:val="none" w:sz="0" w:space="0" w:color="auto"/>
        <w:bottom w:val="none" w:sz="0" w:space="0" w:color="auto"/>
        <w:right w:val="none" w:sz="0" w:space="0" w:color="auto"/>
      </w:divBdr>
    </w:div>
    <w:div w:id="994068794">
      <w:bodyDiv w:val="1"/>
      <w:marLeft w:val="0"/>
      <w:marRight w:val="0"/>
      <w:marTop w:val="0"/>
      <w:marBottom w:val="0"/>
      <w:divBdr>
        <w:top w:val="none" w:sz="0" w:space="0" w:color="auto"/>
        <w:left w:val="none" w:sz="0" w:space="0" w:color="auto"/>
        <w:bottom w:val="none" w:sz="0" w:space="0" w:color="auto"/>
        <w:right w:val="none" w:sz="0" w:space="0" w:color="auto"/>
      </w:divBdr>
    </w:div>
    <w:div w:id="1322999892">
      <w:bodyDiv w:val="1"/>
      <w:marLeft w:val="0"/>
      <w:marRight w:val="0"/>
      <w:marTop w:val="0"/>
      <w:marBottom w:val="0"/>
      <w:divBdr>
        <w:top w:val="none" w:sz="0" w:space="0" w:color="auto"/>
        <w:left w:val="none" w:sz="0" w:space="0" w:color="auto"/>
        <w:bottom w:val="none" w:sz="0" w:space="0" w:color="auto"/>
        <w:right w:val="none" w:sz="0" w:space="0" w:color="auto"/>
      </w:divBdr>
    </w:div>
    <w:div w:id="1916671060">
      <w:bodyDiv w:val="1"/>
      <w:marLeft w:val="0"/>
      <w:marRight w:val="0"/>
      <w:marTop w:val="0"/>
      <w:marBottom w:val="0"/>
      <w:divBdr>
        <w:top w:val="none" w:sz="0" w:space="0" w:color="auto"/>
        <w:left w:val="none" w:sz="0" w:space="0" w:color="auto"/>
        <w:bottom w:val="none" w:sz="0" w:space="0" w:color="auto"/>
        <w:right w:val="none" w:sz="0" w:space="0" w:color="auto"/>
      </w:divBdr>
    </w:div>
    <w:div w:id="21379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walker17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ED995F4-97CB-9045-9DF5-5231D105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walker</dc:creator>
  <cp:keywords/>
  <dc:description/>
  <cp:lastModifiedBy>heidi.radke@outlook.com</cp:lastModifiedBy>
  <cp:revision>2</cp:revision>
  <dcterms:created xsi:type="dcterms:W3CDTF">2021-12-07T11:29:00Z</dcterms:created>
  <dcterms:modified xsi:type="dcterms:W3CDTF">2021-12-07T11:29:00Z</dcterms:modified>
</cp:coreProperties>
</file>